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DB27A4" w:rsidP="00744006">
      <w:pPr>
        <w:pStyle w:val="Textoindependiente3"/>
        <w:rPr>
          <w:rFonts w:ascii="Century Gothic" w:hAnsi="Century Gothic"/>
          <w:sz w:val="25"/>
          <w:szCs w:val="25"/>
        </w:rPr>
      </w:pPr>
      <w:r w:rsidRPr="00284C5D">
        <w:rPr>
          <w:rFonts w:ascii="Century Gothic" w:hAnsi="Century Gothic"/>
          <w:sz w:val="25"/>
          <w:szCs w:val="25"/>
        </w:rPr>
        <w:t xml:space="preserve">DECRETO No.       </w:t>
      </w:r>
    </w:p>
    <w:p w:rsidR="00DB27A4" w:rsidRPr="00DB5C64" w:rsidRDefault="00DB27A4" w:rsidP="00744006">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F3226C">
        <w:rPr>
          <w:rFonts w:ascii="Century Gothic" w:hAnsi="Century Gothic"/>
          <w:b/>
          <w:sz w:val="25"/>
          <w:szCs w:val="25"/>
          <w:lang w:val="es-MX"/>
        </w:rPr>
        <w:t>RFC</w:t>
      </w:r>
      <w:r w:rsidR="0015755B">
        <w:rPr>
          <w:rFonts w:ascii="Century Gothic" w:hAnsi="Century Gothic"/>
          <w:b/>
          <w:sz w:val="25"/>
          <w:szCs w:val="25"/>
          <w:lang w:val="es-MX"/>
        </w:rPr>
        <w:t>NT</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D22D20">
        <w:rPr>
          <w:rFonts w:ascii="Century Gothic" w:hAnsi="Century Gothic"/>
          <w:b/>
          <w:sz w:val="25"/>
          <w:szCs w:val="25"/>
          <w:lang w:val="es-MX"/>
        </w:rPr>
        <w:t>2</w:t>
      </w:r>
      <w:r w:rsidR="00F3226C">
        <w:rPr>
          <w:rFonts w:ascii="Century Gothic" w:hAnsi="Century Gothic"/>
          <w:b/>
          <w:sz w:val="25"/>
          <w:szCs w:val="25"/>
          <w:lang w:val="es-MX"/>
        </w:rPr>
        <w:t>49</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FC0E51" w:rsidRDefault="00DB27A4" w:rsidP="00DB27A4">
      <w:pPr>
        <w:ind w:left="284"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4C6609" w:rsidRDefault="004C6609" w:rsidP="00DB27A4">
      <w:pPr>
        <w:pStyle w:val="Textoindependiente3"/>
        <w:rPr>
          <w:rFonts w:ascii="Century Gothic" w:hAnsi="Century Gothic"/>
          <w:sz w:val="16"/>
          <w:szCs w:val="16"/>
        </w:rPr>
      </w:pPr>
    </w:p>
    <w:p w:rsidR="00A5279C" w:rsidRPr="0091485F" w:rsidRDefault="00A5279C"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724CAC" w:rsidRDefault="00054F47" w:rsidP="0063292C">
      <w:pPr>
        <w:pStyle w:val="Textosinformato"/>
        <w:jc w:val="both"/>
        <w:rPr>
          <w:rFonts w:ascii="Century Gothic" w:hAnsi="Century Gothic" w:cs="Arial"/>
          <w:b/>
          <w:bCs/>
          <w:sz w:val="16"/>
          <w:szCs w:val="16"/>
        </w:rPr>
      </w:pPr>
      <w:r w:rsidRPr="001E24BE">
        <w:rPr>
          <w:rFonts w:ascii="Century Gothic" w:hAnsi="Century Gothic" w:cs="Arial"/>
          <w:b/>
          <w:bCs/>
          <w:sz w:val="16"/>
          <w:szCs w:val="16"/>
        </w:rPr>
        <w:t xml:space="preserve"> </w:t>
      </w:r>
    </w:p>
    <w:p w:rsidR="0063292C" w:rsidRPr="0063292C" w:rsidRDefault="0063292C" w:rsidP="0063292C">
      <w:pPr>
        <w:pStyle w:val="Textosinformato"/>
        <w:jc w:val="both"/>
        <w:rPr>
          <w:rFonts w:ascii="Century Gothic" w:hAnsi="Century Gothic" w:cs="Arial"/>
          <w:sz w:val="32"/>
          <w:szCs w:val="32"/>
          <w:lang w:val="es-MX" w:eastAsia="es-MX"/>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bCs/>
          <w:sz w:val="28"/>
          <w:szCs w:val="28"/>
          <w:lang w:val="es-MX" w:eastAsia="en-US"/>
        </w:rPr>
        <w:t>ARTÍCULO ÚNICO.-</w:t>
      </w:r>
      <w:r w:rsidRPr="0063292C">
        <w:rPr>
          <w:rFonts w:ascii="Century Gothic" w:eastAsia="Calibri" w:hAnsi="Century Gothic" w:cs="Arial"/>
          <w:b/>
          <w:bCs/>
          <w:sz w:val="24"/>
          <w:szCs w:val="24"/>
          <w:lang w:val="es-MX" w:eastAsia="en-US"/>
        </w:rPr>
        <w:t xml:space="preserve"> </w:t>
      </w:r>
      <w:r w:rsidRPr="0063292C">
        <w:rPr>
          <w:rFonts w:ascii="Century Gothic" w:eastAsia="Calibri" w:hAnsi="Century Gothic" w:cs="Arial"/>
          <w:sz w:val="24"/>
          <w:szCs w:val="24"/>
          <w:lang w:val="es-MX" w:eastAsia="en-US"/>
        </w:rPr>
        <w:t xml:space="preserve"> Se </w:t>
      </w:r>
      <w:r w:rsidRPr="0063292C">
        <w:rPr>
          <w:rFonts w:ascii="Century Gothic" w:eastAsia="Calibri" w:hAnsi="Century Gothic" w:cs="Arial"/>
          <w:b/>
          <w:sz w:val="24"/>
          <w:szCs w:val="24"/>
          <w:lang w:val="es-MX" w:eastAsia="en-US"/>
        </w:rPr>
        <w:t>reforman</w:t>
      </w:r>
      <w:r w:rsidRPr="0063292C">
        <w:rPr>
          <w:rFonts w:ascii="Century Gothic" w:eastAsia="Calibri" w:hAnsi="Century Gothic" w:cs="Arial"/>
          <w:sz w:val="24"/>
          <w:szCs w:val="24"/>
          <w:lang w:val="es-MX" w:eastAsia="en-US"/>
        </w:rPr>
        <w:t xml:space="preserve"> los artículos 101, fracciones I, II, III, IV y V; 105, fracción IV, párrafo segundo; 108, párrafo primero; 109, párrafo primero; 110, fracciones IV y V; se </w:t>
      </w:r>
      <w:r w:rsidRPr="0063292C">
        <w:rPr>
          <w:rFonts w:ascii="Century Gothic" w:eastAsia="Calibri" w:hAnsi="Century Gothic" w:cs="Arial"/>
          <w:b/>
          <w:sz w:val="24"/>
          <w:szCs w:val="24"/>
          <w:lang w:val="es-MX" w:eastAsia="en-US"/>
        </w:rPr>
        <w:t xml:space="preserve">adicionan </w:t>
      </w:r>
      <w:r w:rsidRPr="0063292C">
        <w:rPr>
          <w:rFonts w:ascii="Century Gothic" w:eastAsia="Calibri" w:hAnsi="Century Gothic" w:cs="Arial"/>
          <w:sz w:val="24"/>
          <w:szCs w:val="24"/>
          <w:lang w:val="es-MX" w:eastAsia="en-US"/>
        </w:rPr>
        <w:t>a los artículos 101, fracción I, el párrafo segundo</w:t>
      </w:r>
      <w:r>
        <w:rPr>
          <w:rFonts w:ascii="Century Gothic" w:eastAsia="Calibri" w:hAnsi="Century Gothic" w:cs="Arial"/>
          <w:sz w:val="24"/>
          <w:szCs w:val="24"/>
          <w:lang w:val="es-MX" w:eastAsia="en-US"/>
        </w:rPr>
        <w:t xml:space="preserve">; </w:t>
      </w:r>
      <w:r w:rsidRPr="0063292C">
        <w:rPr>
          <w:rFonts w:ascii="Century Gothic" w:eastAsia="Calibri" w:hAnsi="Century Gothic" w:cs="Arial"/>
          <w:sz w:val="24"/>
          <w:szCs w:val="24"/>
          <w:lang w:val="es-MX" w:eastAsia="en-US"/>
        </w:rPr>
        <w:t>fracción III, los párrafos segundo y tercero</w:t>
      </w:r>
      <w:r>
        <w:rPr>
          <w:rFonts w:ascii="Century Gothic" w:eastAsia="Calibri" w:hAnsi="Century Gothic" w:cs="Arial"/>
          <w:sz w:val="24"/>
          <w:szCs w:val="24"/>
          <w:lang w:val="es-MX" w:eastAsia="en-US"/>
        </w:rPr>
        <w:t>;</w:t>
      </w:r>
      <w:r w:rsidRPr="0063292C">
        <w:rPr>
          <w:rFonts w:ascii="Century Gothic" w:eastAsia="Calibri" w:hAnsi="Century Gothic" w:cs="Arial"/>
          <w:sz w:val="24"/>
          <w:szCs w:val="24"/>
          <w:lang w:val="es-MX" w:eastAsia="en-US"/>
        </w:rPr>
        <w:t xml:space="preserve"> y fracción V, los párrafos tercero y cuarto; 104, la fracción VIII; y 110, la fracción XIX; y se </w:t>
      </w:r>
      <w:r w:rsidRPr="0063292C">
        <w:rPr>
          <w:rFonts w:ascii="Century Gothic" w:eastAsia="Calibri" w:hAnsi="Century Gothic" w:cs="Arial"/>
          <w:b/>
          <w:sz w:val="24"/>
          <w:szCs w:val="24"/>
          <w:lang w:val="es-MX" w:eastAsia="en-US"/>
        </w:rPr>
        <w:t xml:space="preserve">derogan </w:t>
      </w:r>
      <w:r w:rsidRPr="0063292C">
        <w:rPr>
          <w:rFonts w:ascii="Century Gothic" w:eastAsia="Calibri" w:hAnsi="Century Gothic" w:cs="Arial"/>
          <w:sz w:val="24"/>
          <w:szCs w:val="24"/>
          <w:lang w:val="es-MX" w:eastAsia="en-US"/>
        </w:rPr>
        <w:t>de los artículos</w:t>
      </w:r>
      <w:r w:rsidRPr="0063292C">
        <w:rPr>
          <w:rFonts w:ascii="Century Gothic" w:eastAsia="Calibri" w:hAnsi="Century Gothic" w:cs="Arial"/>
          <w:b/>
          <w:sz w:val="24"/>
          <w:szCs w:val="24"/>
          <w:lang w:val="es-MX" w:eastAsia="en-US"/>
        </w:rPr>
        <w:t xml:space="preserve"> </w:t>
      </w:r>
      <w:r w:rsidRPr="0063292C">
        <w:rPr>
          <w:rFonts w:ascii="Century Gothic" w:eastAsia="Calibri" w:hAnsi="Century Gothic" w:cs="Arial"/>
          <w:sz w:val="24"/>
          <w:szCs w:val="24"/>
          <w:lang w:val="es-MX" w:eastAsia="en-US"/>
        </w:rPr>
        <w:t xml:space="preserve">101, fracción II, el párrafo segundo; 109, los párrafos segundo y tercero; y 110, la fracción I, todos de la Constitución Política del Estado de Chihuahua, para quedar redactados de la siguiente manera:  </w:t>
      </w:r>
    </w:p>
    <w:p w:rsidR="0063292C" w:rsidRPr="0063292C" w:rsidRDefault="0063292C" w:rsidP="0063292C">
      <w:pPr>
        <w:spacing w:line="360" w:lineRule="auto"/>
        <w:ind w:firstLine="708"/>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sz w:val="24"/>
          <w:szCs w:val="24"/>
          <w:lang w:val="es-MX" w:eastAsia="en-US"/>
        </w:rPr>
        <w:t>ARTÍCULO 101.</w:t>
      </w:r>
      <w:r w:rsidRPr="0063292C">
        <w:rPr>
          <w:rFonts w:ascii="Century Gothic" w:eastAsia="Calibri" w:hAnsi="Century Gothic" w:cs="Arial"/>
          <w:sz w:val="24"/>
          <w:szCs w:val="24"/>
          <w:lang w:val="es-MX" w:eastAsia="en-US"/>
        </w:rPr>
        <w:t xml:space="preserve"> …</w:t>
      </w:r>
    </w:p>
    <w:p w:rsidR="0063292C" w:rsidRPr="0063292C" w:rsidRDefault="0063292C" w:rsidP="0063292C">
      <w:pPr>
        <w:spacing w:line="360" w:lineRule="auto"/>
        <w:ind w:firstLine="708"/>
        <w:contextualSpacing/>
        <w:jc w:val="both"/>
        <w:rPr>
          <w:rFonts w:ascii="Century Gothic" w:eastAsia="Calibri" w:hAnsi="Century Gothic" w:cs="Arial"/>
          <w:bCs/>
          <w:sz w:val="24"/>
          <w:szCs w:val="24"/>
          <w:lang w:val="es-MX" w:eastAsia="en-US"/>
        </w:rPr>
      </w:pPr>
    </w:p>
    <w:p w:rsidR="0063292C" w:rsidRPr="0063292C" w:rsidRDefault="0063292C" w:rsidP="001E5B67">
      <w:pPr>
        <w:numPr>
          <w:ilvl w:val="0"/>
          <w:numId w:val="2"/>
        </w:numPr>
        <w:spacing w:after="160" w:line="360" w:lineRule="auto"/>
        <w:ind w:hanging="43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 xml:space="preserve">En casos de faltas definitivas de Magistradas y Magistrados o la creación de otras Salas, el Pleno del Consejo de la Judicatura </w:t>
      </w:r>
      <w:r w:rsidRPr="0063292C">
        <w:rPr>
          <w:rFonts w:ascii="Century Gothic" w:eastAsia="Calibri" w:hAnsi="Century Gothic" w:cs="Arial"/>
          <w:sz w:val="24"/>
          <w:szCs w:val="24"/>
          <w:lang w:val="es-MX" w:eastAsia="en-US"/>
        </w:rPr>
        <w:lastRenderedPageBreak/>
        <w:t xml:space="preserve">convocará a </w:t>
      </w:r>
      <w:r w:rsidRPr="0063292C">
        <w:rPr>
          <w:rFonts w:ascii="Century Gothic" w:eastAsia="Calibri" w:hAnsi="Century Gothic" w:cs="Arial"/>
          <w:b/>
          <w:bCs/>
          <w:sz w:val="24"/>
          <w:szCs w:val="24"/>
          <w:lang w:val="es-MX" w:eastAsia="en-US"/>
        </w:rPr>
        <w:t xml:space="preserve">la Comisión Especial </w:t>
      </w:r>
      <w:r w:rsidRPr="0063292C">
        <w:rPr>
          <w:rFonts w:ascii="Century Gothic" w:eastAsia="Calibri" w:hAnsi="Century Gothic" w:cs="Arial"/>
          <w:sz w:val="24"/>
          <w:szCs w:val="24"/>
          <w:lang w:val="es-MX" w:eastAsia="en-US"/>
        </w:rPr>
        <w:t>para seleccionar a quienes deban cubrir las plazas vacantes o las creadas.</w:t>
      </w:r>
    </w:p>
    <w:p w:rsidR="0063292C" w:rsidRPr="0063292C" w:rsidRDefault="0063292C" w:rsidP="0063292C">
      <w:pPr>
        <w:spacing w:line="360" w:lineRule="auto"/>
        <w:ind w:firstLine="708"/>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ind w:left="709"/>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bCs/>
          <w:sz w:val="24"/>
          <w:szCs w:val="24"/>
          <w:lang w:val="es-MX" w:eastAsia="en-US"/>
        </w:rPr>
        <w:t xml:space="preserve">La Comisión Especial se integrará por una persona representante del Poder Legislativo, la cual será una Diputada o Diputado, cuya designación se efectuará por el Pleno del Congreso; una persona representante del Poder Judicial, la cual será una Magistrada o Magistrado, cuya designación se hará por el Pleno del Tribunal Superior de Justicia del Estado, y una persona representante del Poder Ejecutivo, designada por quien sea titular del mismo.   </w:t>
      </w:r>
      <w:r w:rsidRPr="0063292C">
        <w:rPr>
          <w:rFonts w:ascii="Century Gothic" w:eastAsia="Calibri" w:hAnsi="Century Gothic" w:cs="Arial"/>
          <w:sz w:val="24"/>
          <w:szCs w:val="24"/>
          <w:lang w:val="es-MX" w:eastAsia="en-US"/>
        </w:rPr>
        <w:t xml:space="preserve"> </w:t>
      </w:r>
    </w:p>
    <w:p w:rsidR="0063292C" w:rsidRPr="0063292C" w:rsidRDefault="0063292C" w:rsidP="0063292C">
      <w:pPr>
        <w:spacing w:line="360" w:lineRule="auto"/>
        <w:ind w:firstLine="708"/>
        <w:contextualSpacing/>
        <w:jc w:val="both"/>
        <w:rPr>
          <w:rFonts w:ascii="Century Gothic" w:eastAsia="Calibri" w:hAnsi="Century Gothic" w:cs="Arial"/>
          <w:bCs/>
          <w:sz w:val="24"/>
          <w:szCs w:val="24"/>
          <w:lang w:val="es-MX" w:eastAsia="en-US"/>
        </w:rPr>
      </w:pPr>
    </w:p>
    <w:p w:rsidR="0063292C" w:rsidRPr="0063292C" w:rsidRDefault="0063292C" w:rsidP="001E5B67">
      <w:pPr>
        <w:numPr>
          <w:ilvl w:val="0"/>
          <w:numId w:val="2"/>
        </w:numPr>
        <w:spacing w:after="160" w:line="360" w:lineRule="auto"/>
        <w:ind w:hanging="436"/>
        <w:contextualSpacing/>
        <w:jc w:val="both"/>
        <w:rPr>
          <w:rFonts w:ascii="Century Gothic" w:eastAsia="Calibri" w:hAnsi="Century Gothic" w:cs="Arial"/>
          <w:b/>
          <w:bCs/>
          <w:sz w:val="24"/>
          <w:szCs w:val="24"/>
          <w:lang w:val="es-MX" w:eastAsia="en-US"/>
        </w:rPr>
      </w:pPr>
      <w:r w:rsidRPr="0063292C">
        <w:rPr>
          <w:rFonts w:ascii="Century Gothic" w:eastAsia="Calibri" w:hAnsi="Century Gothic" w:cs="Arial"/>
          <w:b/>
          <w:bCs/>
          <w:sz w:val="24"/>
          <w:szCs w:val="24"/>
          <w:lang w:val="es-MX" w:eastAsia="en-US"/>
        </w:rPr>
        <w:t xml:space="preserve">La Comisión Especial enviará al Congreso del Estado una terna de personas aspirantes, quienes deberán cumplir con los requisitos establecidos en el artículo 104 de esta Constitución. </w:t>
      </w:r>
    </w:p>
    <w:p w:rsidR="0063292C" w:rsidRPr="0063292C" w:rsidRDefault="0063292C" w:rsidP="0063292C">
      <w:pPr>
        <w:spacing w:line="360" w:lineRule="auto"/>
        <w:ind w:left="720"/>
        <w:contextualSpacing/>
        <w:jc w:val="both"/>
        <w:rPr>
          <w:rFonts w:ascii="Century Gothic" w:eastAsia="Calibri" w:hAnsi="Century Gothic" w:cs="Arial"/>
          <w:b/>
          <w:bCs/>
          <w:sz w:val="24"/>
          <w:szCs w:val="24"/>
          <w:lang w:val="es-MX" w:eastAsia="en-US"/>
        </w:rPr>
      </w:pPr>
    </w:p>
    <w:p w:rsidR="0063292C" w:rsidRPr="0063292C" w:rsidRDefault="0063292C" w:rsidP="0063292C">
      <w:pPr>
        <w:spacing w:line="360" w:lineRule="auto"/>
        <w:ind w:left="720"/>
        <w:contextualSpacing/>
        <w:jc w:val="both"/>
        <w:rPr>
          <w:rFonts w:ascii="Century Gothic" w:eastAsia="Calibri" w:hAnsi="Century Gothic" w:cs="Arial"/>
          <w:b/>
          <w:bCs/>
          <w:sz w:val="24"/>
          <w:szCs w:val="24"/>
          <w:lang w:val="es-MX" w:eastAsia="en-US"/>
        </w:rPr>
      </w:pPr>
      <w:r w:rsidRPr="0063292C">
        <w:rPr>
          <w:rFonts w:ascii="Century Gothic" w:eastAsia="Calibri" w:hAnsi="Century Gothic" w:cs="Arial"/>
          <w:b/>
          <w:bCs/>
          <w:sz w:val="24"/>
          <w:szCs w:val="24"/>
          <w:lang w:val="es-MX" w:eastAsia="en-US"/>
        </w:rPr>
        <w:t>Se deroga.</w:t>
      </w:r>
    </w:p>
    <w:p w:rsidR="0063292C" w:rsidRPr="0063292C" w:rsidRDefault="0063292C" w:rsidP="0063292C">
      <w:pPr>
        <w:spacing w:line="360" w:lineRule="auto"/>
        <w:ind w:firstLine="708"/>
        <w:contextualSpacing/>
        <w:jc w:val="both"/>
        <w:rPr>
          <w:rFonts w:ascii="Century Gothic" w:eastAsia="Calibri" w:hAnsi="Century Gothic" w:cs="Arial"/>
          <w:b/>
          <w:bCs/>
          <w:sz w:val="24"/>
          <w:szCs w:val="24"/>
          <w:lang w:val="es-MX" w:eastAsia="en-US"/>
        </w:rPr>
      </w:pPr>
    </w:p>
    <w:p w:rsidR="0063292C" w:rsidRPr="0063292C" w:rsidRDefault="0063292C" w:rsidP="001E5B67">
      <w:pPr>
        <w:numPr>
          <w:ilvl w:val="0"/>
          <w:numId w:val="2"/>
        </w:numPr>
        <w:spacing w:after="160" w:line="360" w:lineRule="auto"/>
        <w:ind w:hanging="436"/>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b/>
          <w:sz w:val="24"/>
          <w:szCs w:val="24"/>
          <w:lang w:val="es-MX" w:eastAsia="en-US"/>
        </w:rPr>
        <w:t xml:space="preserve">La Comisión Especial </w:t>
      </w:r>
      <w:r w:rsidRPr="0063292C">
        <w:rPr>
          <w:rFonts w:ascii="Century Gothic" w:eastAsia="Calibri" w:hAnsi="Century Gothic" w:cs="Arial"/>
          <w:b/>
          <w:bCs/>
          <w:sz w:val="24"/>
          <w:szCs w:val="24"/>
          <w:lang w:val="es-MX" w:eastAsia="en-US"/>
        </w:rPr>
        <w:t>integrará una terna</w:t>
      </w:r>
      <w:r w:rsidRPr="0063292C">
        <w:rPr>
          <w:rFonts w:ascii="Century Gothic" w:eastAsia="Calibri" w:hAnsi="Century Gothic" w:cs="Arial"/>
          <w:bCs/>
          <w:sz w:val="24"/>
          <w:szCs w:val="24"/>
          <w:lang w:val="es-MX" w:eastAsia="en-US"/>
        </w:rPr>
        <w:t xml:space="preserve"> </w:t>
      </w:r>
      <w:r w:rsidRPr="0063292C">
        <w:rPr>
          <w:rFonts w:ascii="Century Gothic" w:eastAsia="Calibri" w:hAnsi="Century Gothic" w:cs="Arial"/>
          <w:b/>
          <w:sz w:val="24"/>
          <w:szCs w:val="24"/>
          <w:lang w:val="es-MX" w:eastAsia="en-US"/>
        </w:rPr>
        <w:t xml:space="preserve">para ocupar las vacantes, en un caso, únicamente con personas que presten sus servicios en el Poder Judicial y, en otro, solo con personas externas a dicho Poder, de manera alternada. </w:t>
      </w:r>
    </w:p>
    <w:p w:rsidR="0063292C" w:rsidRPr="0063292C" w:rsidRDefault="0063292C" w:rsidP="0063292C">
      <w:pPr>
        <w:spacing w:line="360" w:lineRule="auto"/>
        <w:ind w:left="720"/>
        <w:contextualSpacing/>
        <w:jc w:val="both"/>
        <w:rPr>
          <w:rFonts w:ascii="Calibri" w:eastAsia="Calibri" w:hAnsi="Calibri"/>
          <w:sz w:val="22"/>
          <w:szCs w:val="22"/>
          <w:lang w:val="es-MX" w:eastAsia="en-US"/>
        </w:rPr>
      </w:pPr>
    </w:p>
    <w:p w:rsidR="0063292C" w:rsidRPr="0063292C" w:rsidRDefault="0063292C" w:rsidP="0063292C">
      <w:pPr>
        <w:spacing w:line="360" w:lineRule="auto"/>
        <w:ind w:left="720"/>
        <w:contextualSpacing/>
        <w:jc w:val="both"/>
        <w:rPr>
          <w:rFonts w:ascii="Century Gothic" w:eastAsia="Calibri" w:hAnsi="Century Gothic"/>
          <w:b/>
          <w:sz w:val="24"/>
          <w:szCs w:val="24"/>
          <w:lang w:val="es-MX" w:eastAsia="en-US"/>
        </w:rPr>
      </w:pPr>
      <w:r w:rsidRPr="0063292C">
        <w:rPr>
          <w:rFonts w:ascii="Century Gothic" w:eastAsia="Calibri" w:hAnsi="Century Gothic"/>
          <w:b/>
          <w:sz w:val="24"/>
          <w:szCs w:val="24"/>
          <w:lang w:val="es-MX" w:eastAsia="en-US"/>
        </w:rPr>
        <w:lastRenderedPageBreak/>
        <w:t xml:space="preserve">La terna conformada con personas que presten sus servicios en el Poder Judicial, será compuesta por aquellas que sean merecedoras por su eficiencia y probidad en la administración de justicia. </w:t>
      </w:r>
    </w:p>
    <w:p w:rsidR="0063292C" w:rsidRPr="0063292C" w:rsidRDefault="0063292C" w:rsidP="0063292C">
      <w:pPr>
        <w:spacing w:line="360" w:lineRule="auto"/>
        <w:ind w:left="720"/>
        <w:contextualSpacing/>
        <w:jc w:val="both"/>
        <w:rPr>
          <w:rFonts w:ascii="Century Gothic" w:eastAsia="Calibri" w:hAnsi="Century Gothic"/>
          <w:b/>
          <w:sz w:val="24"/>
          <w:szCs w:val="24"/>
          <w:lang w:val="es-MX" w:eastAsia="en-US"/>
        </w:rPr>
      </w:pPr>
    </w:p>
    <w:p w:rsidR="0063292C" w:rsidRPr="0063292C" w:rsidRDefault="0063292C" w:rsidP="0063292C">
      <w:pPr>
        <w:spacing w:line="360" w:lineRule="auto"/>
        <w:ind w:left="720"/>
        <w:contextualSpacing/>
        <w:jc w:val="both"/>
        <w:rPr>
          <w:rFonts w:ascii="Century Gothic" w:eastAsia="Calibri" w:hAnsi="Century Gothic" w:cs="Arial"/>
          <w:b/>
          <w:sz w:val="24"/>
          <w:szCs w:val="24"/>
          <w:lang w:val="es-MX" w:eastAsia="en-US"/>
        </w:rPr>
      </w:pPr>
      <w:r w:rsidRPr="0063292C">
        <w:rPr>
          <w:rFonts w:ascii="Century Gothic" w:eastAsia="Calibri" w:hAnsi="Century Gothic"/>
          <w:b/>
          <w:sz w:val="24"/>
          <w:szCs w:val="24"/>
          <w:lang w:val="es-MX" w:eastAsia="en-US"/>
        </w:rPr>
        <w:t>La terna conformada por personas externas al Poder Judicial, será compuesta por aquellas que sean merecedoras por su honorabilidad, competencia y antecedentes en la profesión jurídica.</w:t>
      </w:r>
    </w:p>
    <w:p w:rsidR="0063292C" w:rsidRPr="0063292C" w:rsidRDefault="0063292C" w:rsidP="0063292C">
      <w:pPr>
        <w:spacing w:line="360" w:lineRule="auto"/>
        <w:contextualSpacing/>
        <w:jc w:val="both"/>
        <w:rPr>
          <w:rFonts w:ascii="Century Gothic" w:eastAsia="Calibri" w:hAnsi="Century Gothic" w:cs="Arial"/>
          <w:b/>
          <w:sz w:val="24"/>
          <w:szCs w:val="24"/>
          <w:lang w:val="es-MX" w:eastAsia="en-US"/>
        </w:rPr>
      </w:pPr>
    </w:p>
    <w:p w:rsidR="0063292C" w:rsidRPr="0063292C" w:rsidRDefault="0063292C" w:rsidP="001E5B67">
      <w:pPr>
        <w:numPr>
          <w:ilvl w:val="0"/>
          <w:numId w:val="2"/>
        </w:numPr>
        <w:spacing w:after="160" w:line="360" w:lineRule="auto"/>
        <w:ind w:hanging="436"/>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b/>
          <w:sz w:val="24"/>
          <w:szCs w:val="24"/>
          <w:lang w:val="es-MX" w:eastAsia="en-US"/>
        </w:rPr>
        <w:t>La Comisión Especial, en el proceso de selección de ternas de personas aspirantes,</w:t>
      </w:r>
      <w:r w:rsidRPr="0063292C">
        <w:rPr>
          <w:rFonts w:ascii="Century Gothic" w:eastAsia="Calibri" w:hAnsi="Century Gothic" w:cs="Arial"/>
          <w:bCs/>
          <w:sz w:val="24"/>
          <w:szCs w:val="24"/>
          <w:lang w:val="es-MX" w:eastAsia="en-US"/>
        </w:rPr>
        <w:t xml:space="preserve"> </w:t>
      </w:r>
      <w:r w:rsidRPr="0063292C">
        <w:rPr>
          <w:rFonts w:ascii="Century Gothic" w:eastAsia="Calibri" w:hAnsi="Century Gothic" w:cs="Arial"/>
          <w:b/>
          <w:sz w:val="24"/>
          <w:szCs w:val="24"/>
          <w:lang w:val="es-MX" w:eastAsia="en-US"/>
        </w:rPr>
        <w:t>se regirá por los principios de excelencia, transparencia, objetividad, exhaustividad,</w:t>
      </w:r>
      <w:r w:rsidR="005240FF">
        <w:rPr>
          <w:rFonts w:ascii="Century Gothic" w:eastAsia="Calibri" w:hAnsi="Century Gothic" w:cs="Arial"/>
          <w:b/>
          <w:sz w:val="24"/>
          <w:szCs w:val="24"/>
          <w:lang w:val="es-MX" w:eastAsia="en-US"/>
        </w:rPr>
        <w:t xml:space="preserve"> </w:t>
      </w:r>
      <w:r w:rsidRPr="0063292C">
        <w:rPr>
          <w:rFonts w:ascii="Century Gothic" w:eastAsia="Calibri" w:hAnsi="Century Gothic" w:cs="Arial"/>
          <w:b/>
          <w:sz w:val="24"/>
          <w:szCs w:val="24"/>
          <w:lang w:val="es-MX" w:eastAsia="en-US"/>
        </w:rPr>
        <w:t xml:space="preserve">imparcialidad, profesionalismo, independencia y paridad de género respecto de la materia de la magistratura que </w:t>
      </w:r>
      <w:r w:rsidRPr="0063292C">
        <w:rPr>
          <w:rFonts w:ascii="Century Gothic" w:eastAsia="Calibri" w:hAnsi="Century Gothic" w:cs="Arial"/>
          <w:b/>
          <w:bCs/>
          <w:sz w:val="24"/>
          <w:szCs w:val="24"/>
          <w:lang w:val="es-MX" w:eastAsia="en-US"/>
        </w:rPr>
        <w:t>eligen</w:t>
      </w:r>
      <w:r w:rsidRPr="0063292C">
        <w:rPr>
          <w:rFonts w:ascii="Century Gothic" w:eastAsia="Calibri" w:hAnsi="Century Gothic" w:cs="Arial"/>
          <w:b/>
          <w:sz w:val="24"/>
          <w:szCs w:val="24"/>
          <w:lang w:val="es-MX" w:eastAsia="en-US"/>
        </w:rPr>
        <w:t xml:space="preserve"> y en otras relacionadas con aquella. </w:t>
      </w:r>
    </w:p>
    <w:p w:rsidR="0063292C" w:rsidRPr="0063292C" w:rsidRDefault="0063292C" w:rsidP="0063292C">
      <w:pPr>
        <w:spacing w:line="360" w:lineRule="auto"/>
        <w:ind w:left="720"/>
        <w:contextualSpacing/>
        <w:jc w:val="both"/>
        <w:rPr>
          <w:rFonts w:ascii="Century Gothic" w:eastAsia="Calibri" w:hAnsi="Century Gothic" w:cs="Arial"/>
          <w:sz w:val="24"/>
          <w:szCs w:val="24"/>
          <w:lang w:val="es-MX" w:eastAsia="en-US"/>
        </w:rPr>
      </w:pPr>
    </w:p>
    <w:p w:rsidR="0063292C" w:rsidRPr="0063292C" w:rsidRDefault="0063292C" w:rsidP="001E5B67">
      <w:pPr>
        <w:numPr>
          <w:ilvl w:val="0"/>
          <w:numId w:val="2"/>
        </w:numPr>
        <w:spacing w:after="160" w:line="360" w:lineRule="auto"/>
        <w:ind w:hanging="43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sz w:val="24"/>
          <w:szCs w:val="24"/>
          <w:lang w:val="es-MX" w:eastAsia="en-US"/>
        </w:rPr>
        <w:t>Previa comparecencia pública de las personas integrantes de la terna ante la Junta de Coordinación Política, el</w:t>
      </w:r>
      <w:r w:rsidRPr="0063292C">
        <w:rPr>
          <w:rFonts w:ascii="Century Gothic" w:eastAsia="Calibri" w:hAnsi="Century Gothic" w:cs="Arial"/>
          <w:bCs/>
          <w:sz w:val="24"/>
          <w:szCs w:val="24"/>
          <w:lang w:val="es-MX" w:eastAsia="en-US"/>
        </w:rPr>
        <w:t xml:space="preserve"> </w:t>
      </w:r>
      <w:r w:rsidRPr="0063292C">
        <w:rPr>
          <w:rFonts w:ascii="Century Gothic" w:eastAsia="Calibri" w:hAnsi="Century Gothic" w:cs="Arial"/>
          <w:b/>
          <w:bCs/>
          <w:sz w:val="24"/>
          <w:szCs w:val="24"/>
          <w:lang w:val="es-MX" w:eastAsia="en-US"/>
        </w:rPr>
        <w:t>Pleno del</w:t>
      </w:r>
      <w:r w:rsidRPr="0063292C">
        <w:rPr>
          <w:rFonts w:ascii="Century Gothic" w:eastAsia="Calibri" w:hAnsi="Century Gothic" w:cs="Arial"/>
          <w:bCs/>
          <w:sz w:val="24"/>
          <w:szCs w:val="24"/>
          <w:lang w:val="es-MX" w:eastAsia="en-US"/>
        </w:rPr>
        <w:t xml:space="preserve"> Congreso del Estado </w:t>
      </w:r>
      <w:r w:rsidRPr="0063292C">
        <w:rPr>
          <w:rFonts w:ascii="Century Gothic" w:eastAsia="Calibri" w:hAnsi="Century Gothic" w:cs="Arial"/>
          <w:b/>
          <w:sz w:val="24"/>
          <w:szCs w:val="24"/>
          <w:lang w:val="es-MX" w:eastAsia="en-US"/>
        </w:rPr>
        <w:t xml:space="preserve">nombrará a quien deba ocupar la Magistratura, </w:t>
      </w:r>
      <w:r w:rsidRPr="0063292C">
        <w:rPr>
          <w:rFonts w:ascii="Century Gothic" w:eastAsia="Calibri" w:hAnsi="Century Gothic" w:cs="Arial"/>
          <w:bCs/>
          <w:sz w:val="24"/>
          <w:szCs w:val="24"/>
          <w:lang w:val="es-MX" w:eastAsia="en-US"/>
        </w:rPr>
        <w:t xml:space="preserve">por el voto de las dos terceras partes de sus integrantes presentes en la sesión respectiva, dentro </w:t>
      </w:r>
      <w:r w:rsidRPr="0063292C">
        <w:rPr>
          <w:rFonts w:ascii="Century Gothic" w:eastAsia="Calibri" w:hAnsi="Century Gothic" w:cs="Arial"/>
          <w:b/>
          <w:bCs/>
          <w:sz w:val="24"/>
          <w:szCs w:val="24"/>
          <w:lang w:val="es-MX" w:eastAsia="en-US"/>
        </w:rPr>
        <w:t>de un</w:t>
      </w:r>
      <w:r w:rsidRPr="0063292C">
        <w:rPr>
          <w:rFonts w:ascii="Century Gothic" w:eastAsia="Calibri" w:hAnsi="Century Gothic" w:cs="Arial"/>
          <w:bCs/>
          <w:sz w:val="24"/>
          <w:szCs w:val="24"/>
          <w:lang w:val="es-MX" w:eastAsia="en-US"/>
        </w:rPr>
        <w:t xml:space="preserve"> plazo improrrogable de treinta días naturales a partir de la presentación de la propuesta y se deberá aplicar el principio de paridad de género. </w:t>
      </w:r>
    </w:p>
    <w:p w:rsidR="0063292C" w:rsidRPr="0063292C" w:rsidRDefault="0063292C" w:rsidP="0063292C">
      <w:pPr>
        <w:spacing w:line="360" w:lineRule="auto"/>
        <w:ind w:firstLine="708"/>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ind w:left="709" w:hanging="1"/>
        <w:contextualSpacing/>
        <w:jc w:val="both"/>
        <w:rPr>
          <w:rFonts w:ascii="Century Gothic" w:eastAsia="Calibri" w:hAnsi="Century Gothic" w:cs="Arial"/>
          <w:bCs/>
          <w:sz w:val="24"/>
          <w:szCs w:val="24"/>
          <w:lang w:val="es-MX" w:eastAsia="en-US"/>
        </w:rPr>
      </w:pPr>
      <w:r w:rsidRPr="0063292C">
        <w:rPr>
          <w:rFonts w:ascii="Century Gothic" w:eastAsia="Calibri" w:hAnsi="Century Gothic" w:cs="Arial"/>
          <w:b/>
          <w:sz w:val="24"/>
          <w:szCs w:val="24"/>
          <w:lang w:val="es-MX" w:eastAsia="en-US"/>
        </w:rPr>
        <w:t>Durante la comparecencia se deberá garantizar la transparencia, objetividad, publicidad y acceso a los perfiles de las personas aspirantes</w:t>
      </w:r>
      <w:r w:rsidRPr="0063292C">
        <w:rPr>
          <w:rFonts w:ascii="Century Gothic" w:eastAsia="Calibri" w:hAnsi="Century Gothic" w:cs="Arial"/>
          <w:bCs/>
          <w:sz w:val="24"/>
          <w:szCs w:val="24"/>
          <w:lang w:val="es-MX" w:eastAsia="en-US"/>
        </w:rPr>
        <w:t xml:space="preserve">. </w:t>
      </w:r>
    </w:p>
    <w:p w:rsidR="0063292C" w:rsidRPr="0063292C" w:rsidRDefault="0063292C" w:rsidP="0063292C">
      <w:pPr>
        <w:spacing w:line="360" w:lineRule="auto"/>
        <w:ind w:left="709" w:hanging="1"/>
        <w:contextualSpacing/>
        <w:jc w:val="both"/>
        <w:rPr>
          <w:rFonts w:ascii="Century Gothic" w:eastAsia="Calibri" w:hAnsi="Century Gothic" w:cs="Arial"/>
          <w:bCs/>
          <w:sz w:val="24"/>
          <w:szCs w:val="24"/>
          <w:lang w:val="es-MX" w:eastAsia="en-US"/>
        </w:rPr>
      </w:pPr>
    </w:p>
    <w:p w:rsidR="0063292C" w:rsidRPr="0063292C" w:rsidRDefault="0063292C" w:rsidP="0063292C">
      <w:pPr>
        <w:spacing w:line="360" w:lineRule="auto"/>
        <w:ind w:left="709" w:hanging="1"/>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b/>
          <w:sz w:val="24"/>
          <w:szCs w:val="24"/>
          <w:lang w:val="es-MX" w:eastAsia="en-US"/>
        </w:rPr>
        <w:t xml:space="preserve">Cuando el Pleno del Congreso rechace la totalidad de la terna propuesta, la Comisión Especial presentará una nueva terna, conformada con personas distintas a la anterior. </w:t>
      </w:r>
    </w:p>
    <w:p w:rsidR="0063292C" w:rsidRPr="0063292C" w:rsidRDefault="0063292C" w:rsidP="0063292C">
      <w:pPr>
        <w:spacing w:line="360" w:lineRule="auto"/>
        <w:ind w:left="709" w:hanging="1"/>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ind w:left="709" w:hanging="1"/>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sz w:val="24"/>
          <w:szCs w:val="24"/>
          <w:lang w:val="es-MX" w:eastAsia="en-US"/>
        </w:rPr>
        <w:t xml:space="preserve">Si en la insaculación de la nueva terna no se alcanza la votación requerida para nombrar a quien debiera ocupar la magistratura, se hará una nueva votación, y será designada en la magistratura la persona que haya obtenido mayor número de votos. </w:t>
      </w:r>
    </w:p>
    <w:p w:rsidR="0063292C" w:rsidRPr="0063292C" w:rsidRDefault="0063292C" w:rsidP="0063292C">
      <w:pPr>
        <w:spacing w:line="360" w:lineRule="auto"/>
        <w:ind w:left="709" w:hanging="1"/>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sz w:val="24"/>
          <w:szCs w:val="24"/>
          <w:lang w:val="es-MX" w:eastAsia="en-US"/>
        </w:rPr>
        <w:t>ARTÍCULO 104</w:t>
      </w:r>
      <w:r w:rsidRPr="0063292C">
        <w:rPr>
          <w:rFonts w:ascii="Century Gothic" w:eastAsia="Calibri" w:hAnsi="Century Gothic" w:cs="Arial"/>
          <w:sz w:val="24"/>
          <w:szCs w:val="24"/>
          <w:lang w:val="es-MX" w:eastAsia="en-US"/>
        </w:rPr>
        <w:t>. …</w:t>
      </w:r>
    </w:p>
    <w:p w:rsidR="0063292C" w:rsidRPr="0063292C" w:rsidRDefault="0063292C" w:rsidP="0063292C">
      <w:pPr>
        <w:spacing w:line="360" w:lineRule="auto"/>
        <w:ind w:firstLine="708"/>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ind w:firstLine="42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I. a VII. …</w:t>
      </w:r>
    </w:p>
    <w:p w:rsidR="0063292C" w:rsidRPr="0063292C" w:rsidRDefault="0063292C" w:rsidP="0063292C">
      <w:pPr>
        <w:spacing w:line="360" w:lineRule="auto"/>
        <w:ind w:firstLine="708"/>
        <w:contextualSpacing/>
        <w:jc w:val="both"/>
        <w:rPr>
          <w:rFonts w:ascii="Century Gothic" w:eastAsia="Calibri" w:hAnsi="Century Gothic" w:cs="Arial"/>
          <w:b/>
          <w:sz w:val="24"/>
          <w:szCs w:val="24"/>
          <w:lang w:val="es-MX" w:eastAsia="en-US"/>
        </w:rPr>
      </w:pPr>
    </w:p>
    <w:p w:rsidR="0063292C" w:rsidRPr="0063292C" w:rsidRDefault="0063292C" w:rsidP="001E5B67">
      <w:pPr>
        <w:spacing w:line="360" w:lineRule="auto"/>
        <w:ind w:left="851" w:hanging="567"/>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b/>
          <w:sz w:val="24"/>
          <w:szCs w:val="24"/>
          <w:lang w:val="es-MX" w:eastAsia="en-US"/>
        </w:rPr>
        <w:t xml:space="preserve">VIII. No estar inscritas o inscritos en el Registro Estatal de Personas Deudoras Alimentarias Morosas de Chihuahua. </w:t>
      </w:r>
    </w:p>
    <w:p w:rsidR="0063292C" w:rsidRPr="0063292C" w:rsidRDefault="0063292C" w:rsidP="0063292C">
      <w:pPr>
        <w:spacing w:line="360" w:lineRule="auto"/>
        <w:contextualSpacing/>
        <w:jc w:val="both"/>
        <w:rPr>
          <w:rFonts w:ascii="Century Gothic" w:eastAsia="Calibri" w:hAnsi="Century Gothic" w:cs="Arial"/>
          <w:bCs/>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bCs/>
          <w:sz w:val="24"/>
          <w:szCs w:val="24"/>
          <w:lang w:val="es-MX" w:eastAsia="en-US"/>
        </w:rPr>
      </w:pPr>
      <w:r w:rsidRPr="0063292C">
        <w:rPr>
          <w:rFonts w:ascii="Century Gothic" w:eastAsia="Calibri" w:hAnsi="Century Gothic" w:cs="Arial"/>
          <w:bCs/>
          <w:sz w:val="24"/>
          <w:szCs w:val="24"/>
          <w:lang w:val="es-MX" w:eastAsia="en-US"/>
        </w:rPr>
        <w:t>…</w:t>
      </w:r>
    </w:p>
    <w:p w:rsidR="0063292C" w:rsidRPr="0063292C" w:rsidRDefault="0063292C" w:rsidP="0063292C">
      <w:pPr>
        <w:spacing w:line="360" w:lineRule="auto"/>
        <w:contextualSpacing/>
        <w:jc w:val="both"/>
        <w:rPr>
          <w:rFonts w:ascii="Century Gothic" w:eastAsia="Calibri" w:hAnsi="Century Gothic" w:cs="Arial"/>
          <w:bCs/>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sz w:val="24"/>
          <w:szCs w:val="24"/>
          <w:lang w:val="es-MX" w:eastAsia="en-US"/>
        </w:rPr>
        <w:t>ARTÍCULO 105.</w:t>
      </w:r>
      <w:r w:rsidRPr="0063292C">
        <w:rPr>
          <w:rFonts w:ascii="Century Gothic" w:eastAsia="Calibri" w:hAnsi="Century Gothic" w:cs="Arial"/>
          <w:sz w:val="24"/>
          <w:szCs w:val="24"/>
          <w:lang w:val="es-MX" w:eastAsia="en-US"/>
        </w:rPr>
        <w:t xml:space="preserve"> …</w:t>
      </w:r>
    </w:p>
    <w:p w:rsidR="0063292C" w:rsidRPr="0063292C" w:rsidRDefault="0063292C" w:rsidP="0063292C">
      <w:pPr>
        <w:spacing w:line="360" w:lineRule="auto"/>
        <w:ind w:firstLine="708"/>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ind w:firstLine="42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I. a III. …</w:t>
      </w:r>
    </w:p>
    <w:p w:rsidR="0063292C" w:rsidRPr="0063292C" w:rsidRDefault="0063292C" w:rsidP="0063292C">
      <w:pPr>
        <w:spacing w:line="360" w:lineRule="auto"/>
        <w:ind w:firstLine="708"/>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ind w:firstLine="42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IV. …</w:t>
      </w:r>
    </w:p>
    <w:p w:rsidR="0063292C" w:rsidRPr="0063292C" w:rsidRDefault="0063292C" w:rsidP="0063292C">
      <w:pPr>
        <w:spacing w:line="360" w:lineRule="auto"/>
        <w:ind w:firstLine="708"/>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ind w:left="709"/>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sz w:val="24"/>
          <w:szCs w:val="24"/>
          <w:lang w:val="es-MX" w:eastAsia="en-US"/>
        </w:rPr>
        <w:t xml:space="preserve">La persona que presida el Tribunal Superior de Justicia deberá contar, al día de la elección, con una antigüedad mínima de </w:t>
      </w:r>
      <w:r w:rsidRPr="0063292C">
        <w:rPr>
          <w:rFonts w:ascii="Century Gothic" w:eastAsia="Calibri" w:hAnsi="Century Gothic" w:cs="Arial"/>
          <w:b/>
          <w:sz w:val="24"/>
          <w:szCs w:val="24"/>
          <w:lang w:val="es-MX" w:eastAsia="en-US"/>
        </w:rPr>
        <w:t>siete</w:t>
      </w:r>
      <w:r w:rsidRPr="0063292C">
        <w:rPr>
          <w:rFonts w:ascii="Century Gothic" w:eastAsia="Calibri" w:hAnsi="Century Gothic" w:cs="Arial"/>
          <w:sz w:val="24"/>
          <w:szCs w:val="24"/>
          <w:lang w:val="es-MX" w:eastAsia="en-US"/>
        </w:rPr>
        <w:t xml:space="preserve"> años en el ejercicio de la magistratura. Durará tres años y podrá ser reelecta, por única ocasión, para el período inmediato siguiente y solo podrá ser removida mediante la misma votación requerida para su nombramiento. </w:t>
      </w:r>
    </w:p>
    <w:p w:rsidR="0063292C" w:rsidRPr="0063292C" w:rsidRDefault="0063292C" w:rsidP="0063292C">
      <w:pPr>
        <w:spacing w:line="360" w:lineRule="auto"/>
        <w:ind w:firstLine="708"/>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w:t>
      </w:r>
    </w:p>
    <w:p w:rsidR="0063292C" w:rsidRPr="0063292C" w:rsidRDefault="0063292C" w:rsidP="0063292C">
      <w:pPr>
        <w:spacing w:line="360" w:lineRule="auto"/>
        <w:ind w:firstLine="708"/>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ind w:firstLine="42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V. a XII. …</w:t>
      </w: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sz w:val="24"/>
          <w:szCs w:val="24"/>
          <w:lang w:val="es-MX" w:eastAsia="en-US"/>
        </w:rPr>
        <w:t>ARTÍCULO 108</w:t>
      </w:r>
      <w:r w:rsidRPr="0063292C">
        <w:rPr>
          <w:rFonts w:ascii="Century Gothic" w:eastAsia="Calibri" w:hAnsi="Century Gothic" w:cs="Arial"/>
          <w:sz w:val="24"/>
          <w:szCs w:val="24"/>
          <w:lang w:val="es-MX" w:eastAsia="en-US"/>
        </w:rPr>
        <w:t xml:space="preserve">. Salvo quien ocupe la Presidencia del Tribunal Superior de Justicia, las demás personas que integren el Consejo durarán cinco años en el cargo </w:t>
      </w:r>
      <w:r w:rsidRPr="0063292C">
        <w:rPr>
          <w:rFonts w:ascii="Century Gothic" w:eastAsia="Calibri" w:hAnsi="Century Gothic" w:cs="Arial"/>
          <w:b/>
          <w:bCs/>
          <w:sz w:val="24"/>
          <w:szCs w:val="24"/>
          <w:lang w:val="es-MX" w:eastAsia="en-US"/>
        </w:rPr>
        <w:t xml:space="preserve">y podrán ser reelectas, por única ocasión, para el período inmediato siguiente, </w:t>
      </w:r>
      <w:r w:rsidRPr="0063292C">
        <w:rPr>
          <w:rFonts w:ascii="Century Gothic" w:eastAsia="Calibri" w:hAnsi="Century Gothic" w:cs="Arial"/>
          <w:sz w:val="24"/>
          <w:szCs w:val="24"/>
          <w:lang w:val="es-MX" w:eastAsia="en-US"/>
        </w:rPr>
        <w:t xml:space="preserve">si dentro de este periodo faltare definitivamente alguna, se hará su designación para que concluya el periodo </w:t>
      </w:r>
      <w:r w:rsidRPr="0063292C">
        <w:rPr>
          <w:rFonts w:ascii="Century Gothic" w:eastAsia="Calibri" w:hAnsi="Century Gothic" w:cs="Arial"/>
          <w:sz w:val="24"/>
          <w:szCs w:val="24"/>
          <w:lang w:val="es-MX" w:eastAsia="en-US"/>
        </w:rPr>
        <w:lastRenderedPageBreak/>
        <w:t>correspondiente, con base en el principio de paridad de género. Aquellas Consejeras y Consejeros que hayan sido elegidos por el Tribunal Superior de Justicia, al terminar su encargo, regresarán, en su caso, como titulares de la Sala que ocupaban al momento de su designación, y quienes les hayan sustituido se les considerará, de manera preferente, para la titularidad de aquellas salas vacantes o de nueva creación.</w:t>
      </w:r>
    </w:p>
    <w:p w:rsidR="0063292C" w:rsidRPr="0063292C" w:rsidRDefault="0063292C" w:rsidP="0063292C">
      <w:pPr>
        <w:spacing w:line="360" w:lineRule="auto"/>
        <w:contextualSpacing/>
        <w:jc w:val="both"/>
        <w:rPr>
          <w:rFonts w:ascii="Century Gothic" w:eastAsia="Calibri" w:hAnsi="Century Gothic" w:cs="Arial"/>
          <w:bCs/>
          <w:lang w:val="es-MX" w:eastAsia="en-US"/>
        </w:rPr>
      </w:pPr>
    </w:p>
    <w:p w:rsidR="0063292C" w:rsidRPr="0063292C" w:rsidRDefault="0063292C" w:rsidP="0063292C">
      <w:pPr>
        <w:spacing w:line="360" w:lineRule="auto"/>
        <w:contextualSpacing/>
        <w:jc w:val="both"/>
        <w:rPr>
          <w:rFonts w:ascii="Century Gothic" w:eastAsia="Calibri" w:hAnsi="Century Gothic" w:cs="Arial"/>
          <w:bCs/>
          <w:sz w:val="24"/>
          <w:szCs w:val="24"/>
          <w:lang w:val="es-MX" w:eastAsia="en-US"/>
        </w:rPr>
      </w:pPr>
      <w:r w:rsidRPr="0063292C">
        <w:rPr>
          <w:rFonts w:ascii="Century Gothic" w:eastAsia="Calibri" w:hAnsi="Century Gothic" w:cs="Arial"/>
          <w:bCs/>
          <w:sz w:val="24"/>
          <w:szCs w:val="24"/>
          <w:lang w:val="es-MX" w:eastAsia="en-US"/>
        </w:rPr>
        <w:t>…</w:t>
      </w:r>
    </w:p>
    <w:p w:rsidR="0063292C" w:rsidRPr="0063292C" w:rsidRDefault="0063292C" w:rsidP="0063292C">
      <w:pPr>
        <w:spacing w:line="360" w:lineRule="auto"/>
        <w:contextualSpacing/>
        <w:jc w:val="both"/>
        <w:rPr>
          <w:rFonts w:ascii="Century Gothic" w:eastAsia="Calibri" w:hAnsi="Century Gothic" w:cs="Arial"/>
          <w:bCs/>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Cs/>
          <w:sz w:val="24"/>
          <w:szCs w:val="24"/>
          <w:lang w:val="es-MX" w:eastAsia="en-US"/>
        </w:rPr>
        <w:t>…</w:t>
      </w:r>
    </w:p>
    <w:p w:rsidR="0063292C" w:rsidRPr="0063292C" w:rsidRDefault="0063292C" w:rsidP="0063292C">
      <w:pPr>
        <w:spacing w:line="360" w:lineRule="auto"/>
        <w:ind w:firstLine="708"/>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b/>
          <w:sz w:val="24"/>
          <w:szCs w:val="24"/>
          <w:lang w:val="es-MX" w:eastAsia="en-US"/>
        </w:rPr>
        <w:t>ARTÍCULO 109.</w:t>
      </w:r>
      <w:r w:rsidRPr="0063292C">
        <w:rPr>
          <w:rFonts w:ascii="Century Gothic" w:eastAsia="Calibri" w:hAnsi="Century Gothic" w:cs="Arial"/>
          <w:bCs/>
          <w:sz w:val="24"/>
          <w:szCs w:val="24"/>
          <w:lang w:val="es-MX" w:eastAsia="en-US"/>
        </w:rPr>
        <w:t xml:space="preserve"> </w:t>
      </w:r>
      <w:r w:rsidRPr="0063292C">
        <w:rPr>
          <w:rFonts w:ascii="Century Gothic" w:eastAsia="Calibri" w:hAnsi="Century Gothic" w:cs="Arial"/>
          <w:sz w:val="24"/>
          <w:szCs w:val="24"/>
          <w:lang w:val="es-MX" w:eastAsia="en-US"/>
        </w:rPr>
        <w:t>El Consejo funcionará en Pleno</w:t>
      </w:r>
      <w:r w:rsidRPr="0063292C">
        <w:rPr>
          <w:rFonts w:ascii="Century Gothic" w:eastAsia="Calibri" w:hAnsi="Century Gothic" w:cs="Arial"/>
          <w:b/>
          <w:sz w:val="24"/>
          <w:szCs w:val="24"/>
          <w:lang w:val="es-MX" w:eastAsia="en-US"/>
        </w:rPr>
        <w:t xml:space="preserve"> y ejercerá sus atribuciones a través de los órganos y unidades administrativas creados en la Ley, los reglamentos y las diversas disposiciones aplicables, así como en los acuerdos generales expedidos por el propio Pleno, los que tendrán las atribuciones que en esos ordenamientos se les señalen. </w:t>
      </w:r>
    </w:p>
    <w:p w:rsidR="0063292C" w:rsidRPr="0063292C" w:rsidRDefault="0063292C" w:rsidP="0063292C">
      <w:pPr>
        <w:spacing w:line="360" w:lineRule="auto"/>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b/>
          <w:sz w:val="24"/>
          <w:szCs w:val="24"/>
          <w:lang w:val="es-MX" w:eastAsia="en-US"/>
        </w:rPr>
        <w:t xml:space="preserve">Se deroga. </w:t>
      </w:r>
    </w:p>
    <w:p w:rsidR="0063292C" w:rsidRPr="0063292C" w:rsidRDefault="0063292C" w:rsidP="0063292C">
      <w:pPr>
        <w:spacing w:line="360" w:lineRule="auto"/>
        <w:contextualSpacing/>
        <w:jc w:val="both"/>
        <w:rPr>
          <w:rFonts w:ascii="Century Gothic" w:eastAsia="Calibri" w:hAnsi="Century Gothic" w:cs="Arial"/>
          <w:b/>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b/>
          <w:sz w:val="24"/>
          <w:szCs w:val="24"/>
          <w:lang w:val="es-MX" w:eastAsia="en-US"/>
        </w:rPr>
      </w:pPr>
      <w:r w:rsidRPr="0063292C">
        <w:rPr>
          <w:rFonts w:ascii="Century Gothic" w:eastAsia="Calibri" w:hAnsi="Century Gothic" w:cs="Arial"/>
          <w:b/>
          <w:sz w:val="24"/>
          <w:szCs w:val="24"/>
          <w:lang w:val="es-MX" w:eastAsia="en-US"/>
        </w:rPr>
        <w:t xml:space="preserve">Se deroga. </w:t>
      </w:r>
    </w:p>
    <w:p w:rsidR="0063292C" w:rsidRDefault="0063292C" w:rsidP="0063292C">
      <w:pPr>
        <w:spacing w:line="360" w:lineRule="auto"/>
        <w:ind w:firstLine="708"/>
        <w:contextualSpacing/>
        <w:jc w:val="both"/>
        <w:rPr>
          <w:rFonts w:ascii="Century Gothic" w:eastAsia="Calibri" w:hAnsi="Century Gothic" w:cs="Arial"/>
          <w:bCs/>
          <w:sz w:val="24"/>
          <w:szCs w:val="24"/>
          <w:lang w:val="es-MX" w:eastAsia="en-US"/>
        </w:rPr>
      </w:pPr>
    </w:p>
    <w:p w:rsidR="001E5B67" w:rsidRPr="0063292C" w:rsidRDefault="001E5B67" w:rsidP="0063292C">
      <w:pPr>
        <w:spacing w:line="360" w:lineRule="auto"/>
        <w:ind w:firstLine="708"/>
        <w:contextualSpacing/>
        <w:jc w:val="both"/>
        <w:rPr>
          <w:rFonts w:ascii="Century Gothic" w:eastAsia="Calibri" w:hAnsi="Century Gothic" w:cs="Arial"/>
          <w:bCs/>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sz w:val="24"/>
          <w:szCs w:val="24"/>
          <w:lang w:val="es-MX" w:eastAsia="en-US"/>
        </w:rPr>
        <w:lastRenderedPageBreak/>
        <w:t>ARTÍCULO 110.</w:t>
      </w:r>
      <w:r w:rsidRPr="0063292C">
        <w:rPr>
          <w:rFonts w:ascii="Century Gothic" w:eastAsia="Calibri" w:hAnsi="Century Gothic" w:cs="Arial"/>
          <w:sz w:val="24"/>
          <w:szCs w:val="24"/>
          <w:lang w:val="es-MX" w:eastAsia="en-US"/>
        </w:rPr>
        <w:t xml:space="preserve"> …</w:t>
      </w:r>
    </w:p>
    <w:p w:rsidR="0063292C" w:rsidRPr="0063292C" w:rsidRDefault="0063292C" w:rsidP="0063292C">
      <w:pPr>
        <w:spacing w:line="360" w:lineRule="auto"/>
        <w:ind w:firstLine="708"/>
        <w:contextualSpacing/>
        <w:jc w:val="both"/>
        <w:rPr>
          <w:rFonts w:ascii="Century Gothic" w:eastAsia="Calibri" w:hAnsi="Century Gothic" w:cs="Arial"/>
          <w:lang w:val="es-MX" w:eastAsia="en-US"/>
        </w:rPr>
      </w:pPr>
    </w:p>
    <w:p w:rsidR="0063292C" w:rsidRDefault="0063292C" w:rsidP="00EF23CC">
      <w:pPr>
        <w:numPr>
          <w:ilvl w:val="0"/>
          <w:numId w:val="3"/>
        </w:numPr>
        <w:spacing w:after="160" w:line="360" w:lineRule="auto"/>
        <w:ind w:left="709" w:hanging="425"/>
        <w:contextualSpacing/>
        <w:jc w:val="both"/>
        <w:rPr>
          <w:rFonts w:ascii="Century Gothic" w:eastAsia="Calibri" w:hAnsi="Century Gothic" w:cs="Arial"/>
          <w:b/>
          <w:bCs/>
          <w:sz w:val="24"/>
          <w:szCs w:val="24"/>
          <w:lang w:val="es-MX" w:eastAsia="en-US"/>
        </w:rPr>
      </w:pPr>
      <w:r w:rsidRPr="0063292C">
        <w:rPr>
          <w:rFonts w:ascii="Century Gothic" w:eastAsia="Calibri" w:hAnsi="Century Gothic" w:cs="Arial"/>
          <w:b/>
          <w:bCs/>
          <w:sz w:val="24"/>
          <w:szCs w:val="24"/>
          <w:lang w:val="es-MX" w:eastAsia="en-US"/>
        </w:rPr>
        <w:t xml:space="preserve">Se deroga. </w:t>
      </w:r>
    </w:p>
    <w:p w:rsidR="001E5B67" w:rsidRPr="0063292C" w:rsidRDefault="001E5B67" w:rsidP="001E5B67">
      <w:pPr>
        <w:spacing w:after="160" w:line="360" w:lineRule="auto"/>
        <w:ind w:left="851"/>
        <w:contextualSpacing/>
        <w:jc w:val="both"/>
        <w:rPr>
          <w:rFonts w:ascii="Century Gothic" w:eastAsia="Calibri" w:hAnsi="Century Gothic" w:cs="Arial"/>
          <w:b/>
          <w:bCs/>
          <w:lang w:val="es-MX" w:eastAsia="en-US"/>
        </w:rPr>
      </w:pPr>
    </w:p>
    <w:p w:rsidR="0063292C" w:rsidRPr="0063292C" w:rsidRDefault="0063292C" w:rsidP="00EF23CC">
      <w:pPr>
        <w:spacing w:line="360" w:lineRule="auto"/>
        <w:ind w:left="1276" w:hanging="1002"/>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II. y III. …</w:t>
      </w:r>
    </w:p>
    <w:p w:rsidR="0063292C" w:rsidRPr="0063292C" w:rsidRDefault="0063292C" w:rsidP="0063292C">
      <w:pPr>
        <w:spacing w:line="360" w:lineRule="auto"/>
        <w:ind w:left="708"/>
        <w:contextualSpacing/>
        <w:jc w:val="both"/>
        <w:rPr>
          <w:rFonts w:ascii="Century Gothic" w:eastAsia="Calibri" w:hAnsi="Century Gothic" w:cs="Arial"/>
          <w:sz w:val="24"/>
          <w:szCs w:val="24"/>
          <w:lang w:val="es-MX" w:eastAsia="en-US"/>
        </w:rPr>
      </w:pPr>
    </w:p>
    <w:p w:rsidR="0063292C" w:rsidRPr="0063292C" w:rsidRDefault="0063292C" w:rsidP="001E5B67">
      <w:pPr>
        <w:spacing w:line="360" w:lineRule="auto"/>
        <w:ind w:left="709" w:hanging="425"/>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 xml:space="preserve">IV. </w:t>
      </w:r>
      <w:r w:rsidR="005956D3">
        <w:rPr>
          <w:rFonts w:ascii="Century Gothic" w:eastAsia="Calibri" w:hAnsi="Century Gothic" w:cs="Arial"/>
          <w:sz w:val="24"/>
          <w:szCs w:val="24"/>
          <w:lang w:val="es-MX" w:eastAsia="en-US"/>
        </w:rPr>
        <w:tab/>
      </w:r>
      <w:r w:rsidRPr="0063292C">
        <w:rPr>
          <w:rFonts w:ascii="Century Gothic" w:eastAsia="Calibri" w:hAnsi="Century Gothic" w:cs="Arial"/>
          <w:sz w:val="24"/>
          <w:szCs w:val="24"/>
          <w:lang w:val="es-MX" w:eastAsia="en-US"/>
        </w:rPr>
        <w:t xml:space="preserve">Determinar el número y materia de los juzgados </w:t>
      </w:r>
      <w:r w:rsidRPr="0063292C">
        <w:rPr>
          <w:rFonts w:ascii="Century Gothic" w:eastAsia="Calibri" w:hAnsi="Century Gothic" w:cs="Arial"/>
          <w:b/>
          <w:bCs/>
          <w:sz w:val="24"/>
          <w:szCs w:val="24"/>
          <w:lang w:val="es-MX" w:eastAsia="en-US"/>
        </w:rPr>
        <w:t xml:space="preserve">menores y </w:t>
      </w:r>
      <w:r w:rsidRPr="0063292C">
        <w:rPr>
          <w:rFonts w:ascii="Century Gothic" w:eastAsia="Calibri" w:hAnsi="Century Gothic" w:cs="Arial"/>
          <w:sz w:val="24"/>
          <w:szCs w:val="24"/>
          <w:lang w:val="es-MX" w:eastAsia="en-US"/>
        </w:rPr>
        <w:t xml:space="preserve">de primera instancia en cada uno de los distritos judiciales. </w:t>
      </w:r>
      <w:r w:rsidRPr="0063292C">
        <w:rPr>
          <w:rFonts w:ascii="Century Gothic" w:eastAsia="Calibri" w:hAnsi="Century Gothic" w:cs="Arial"/>
          <w:b/>
          <w:bCs/>
          <w:sz w:val="24"/>
          <w:szCs w:val="24"/>
          <w:lang w:val="es-MX" w:eastAsia="en-US"/>
        </w:rPr>
        <w:t>Para ello tomará en consideración que los juzgados de primera instancia deberán conocer, al menos, de las materias familiar, civil, penal, laboral, de extinción de dominio, mixtos y mixtos especializados.</w:t>
      </w:r>
    </w:p>
    <w:p w:rsidR="0063292C" w:rsidRPr="0063292C" w:rsidRDefault="0063292C" w:rsidP="0063292C">
      <w:pPr>
        <w:spacing w:line="360" w:lineRule="auto"/>
        <w:ind w:left="720"/>
        <w:contextualSpacing/>
        <w:jc w:val="both"/>
        <w:rPr>
          <w:rFonts w:ascii="Century Gothic" w:eastAsia="Calibri" w:hAnsi="Century Gothic" w:cs="Arial"/>
          <w:sz w:val="24"/>
          <w:szCs w:val="24"/>
          <w:lang w:val="es-MX" w:eastAsia="en-US"/>
        </w:rPr>
      </w:pPr>
    </w:p>
    <w:p w:rsidR="0063292C" w:rsidRPr="0063292C" w:rsidRDefault="0063292C" w:rsidP="001E5B67">
      <w:pPr>
        <w:spacing w:line="360" w:lineRule="auto"/>
        <w:ind w:left="720" w:hanging="43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 xml:space="preserve">V. </w:t>
      </w:r>
      <w:r w:rsidR="001E5B67">
        <w:rPr>
          <w:rFonts w:ascii="Century Gothic" w:eastAsia="Calibri" w:hAnsi="Century Gothic" w:cs="Arial"/>
          <w:sz w:val="24"/>
          <w:szCs w:val="24"/>
          <w:lang w:val="es-MX" w:eastAsia="en-US"/>
        </w:rPr>
        <w:tab/>
      </w:r>
      <w:r w:rsidRPr="0063292C">
        <w:rPr>
          <w:rFonts w:ascii="Century Gothic" w:eastAsia="Calibri" w:hAnsi="Century Gothic" w:cs="Arial"/>
          <w:b/>
          <w:bCs/>
          <w:sz w:val="24"/>
          <w:szCs w:val="24"/>
          <w:lang w:val="es-MX" w:eastAsia="en-US"/>
        </w:rPr>
        <w:t>Convocar a la Comisión Especial que habrá de</w:t>
      </w:r>
      <w:r w:rsidRPr="0063292C">
        <w:rPr>
          <w:rFonts w:ascii="Century Gothic" w:eastAsia="Calibri" w:hAnsi="Century Gothic" w:cs="Arial"/>
          <w:sz w:val="24"/>
          <w:szCs w:val="24"/>
          <w:lang w:val="es-MX" w:eastAsia="en-US"/>
        </w:rPr>
        <w:t xml:space="preserve"> elegir la terna que se enviará al Congreso del Estado para cubrir las ausencias absolutas o temporales de las Magistradas y Magistrados. </w:t>
      </w:r>
    </w:p>
    <w:p w:rsidR="0063292C" w:rsidRPr="0063292C" w:rsidRDefault="0063292C" w:rsidP="0063292C">
      <w:pPr>
        <w:spacing w:line="360" w:lineRule="auto"/>
        <w:ind w:firstLine="708"/>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ind w:firstLine="426"/>
        <w:contextualSpacing/>
        <w:jc w:val="both"/>
        <w:rPr>
          <w:rFonts w:ascii="Century Gothic" w:eastAsia="Calibri" w:hAnsi="Century Gothic" w:cs="Arial"/>
          <w:sz w:val="24"/>
          <w:szCs w:val="24"/>
          <w:lang w:val="es-MX" w:eastAsia="en-US"/>
        </w:rPr>
      </w:pPr>
      <w:r w:rsidRPr="0063292C">
        <w:rPr>
          <w:rFonts w:ascii="Century Gothic" w:eastAsia="Calibri" w:hAnsi="Century Gothic" w:cs="Arial"/>
          <w:sz w:val="24"/>
          <w:szCs w:val="24"/>
          <w:lang w:val="es-MX" w:eastAsia="en-US"/>
        </w:rPr>
        <w:t>VI. a XVIII. …</w:t>
      </w: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ind w:firstLine="426"/>
        <w:contextualSpacing/>
        <w:jc w:val="both"/>
        <w:rPr>
          <w:rFonts w:ascii="Century Gothic" w:eastAsia="Calibri" w:hAnsi="Century Gothic" w:cs="Arial"/>
          <w:b/>
          <w:bCs/>
          <w:sz w:val="24"/>
          <w:szCs w:val="24"/>
          <w:lang w:val="es-MX" w:eastAsia="en-US"/>
        </w:rPr>
      </w:pPr>
      <w:r w:rsidRPr="0063292C">
        <w:rPr>
          <w:rFonts w:ascii="Century Gothic" w:eastAsia="Calibri" w:hAnsi="Century Gothic" w:cs="Arial"/>
          <w:b/>
          <w:bCs/>
          <w:sz w:val="24"/>
          <w:szCs w:val="24"/>
          <w:lang w:val="es-MX" w:eastAsia="en-US"/>
        </w:rPr>
        <w:t>XIX. Determinar y modificar la conformación de los distritos judiciales.</w:t>
      </w: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n-US" w:eastAsia="en-US"/>
        </w:rPr>
      </w:pPr>
      <w:r w:rsidRPr="0063292C">
        <w:rPr>
          <w:rFonts w:ascii="Century Gothic" w:eastAsia="Calibri" w:hAnsi="Century Gothic" w:cs="Arial"/>
          <w:sz w:val="24"/>
          <w:szCs w:val="24"/>
          <w:lang w:val="en-US" w:eastAsia="en-US"/>
        </w:rPr>
        <w:t>…</w:t>
      </w:r>
    </w:p>
    <w:p w:rsidR="0063292C" w:rsidRPr="0063292C" w:rsidRDefault="0063292C" w:rsidP="0063292C">
      <w:pPr>
        <w:spacing w:line="360" w:lineRule="auto"/>
        <w:ind w:firstLine="708"/>
        <w:contextualSpacing/>
        <w:jc w:val="both"/>
        <w:rPr>
          <w:rFonts w:ascii="Century Gothic" w:eastAsia="Calibri" w:hAnsi="Century Gothic" w:cs="Arial"/>
          <w:b/>
          <w:bCs/>
          <w:sz w:val="24"/>
          <w:szCs w:val="24"/>
          <w:lang w:val="en-US" w:eastAsia="en-US"/>
        </w:rPr>
      </w:pPr>
    </w:p>
    <w:p w:rsidR="0063292C" w:rsidRPr="0063292C" w:rsidRDefault="0063292C" w:rsidP="00EF23CC">
      <w:pPr>
        <w:spacing w:line="276" w:lineRule="auto"/>
        <w:contextualSpacing/>
        <w:jc w:val="center"/>
        <w:rPr>
          <w:rFonts w:ascii="Century Gothic" w:eastAsia="Calibri" w:hAnsi="Century Gothic" w:cs="Arial"/>
          <w:b/>
          <w:bCs/>
          <w:sz w:val="28"/>
          <w:szCs w:val="28"/>
          <w:lang w:val="en-US" w:eastAsia="en-US"/>
        </w:rPr>
      </w:pPr>
      <w:r w:rsidRPr="0063292C">
        <w:rPr>
          <w:rFonts w:ascii="Century Gothic" w:eastAsia="Calibri" w:hAnsi="Century Gothic" w:cs="Arial"/>
          <w:b/>
          <w:bCs/>
          <w:sz w:val="28"/>
          <w:szCs w:val="28"/>
          <w:lang w:val="en-US" w:eastAsia="en-US"/>
        </w:rPr>
        <w:lastRenderedPageBreak/>
        <w:t>T R A N S I T O R I O S</w:t>
      </w:r>
    </w:p>
    <w:p w:rsidR="0063292C" w:rsidRPr="0063292C" w:rsidRDefault="0063292C" w:rsidP="0063292C">
      <w:pPr>
        <w:spacing w:line="276" w:lineRule="auto"/>
        <w:ind w:firstLine="708"/>
        <w:contextualSpacing/>
        <w:jc w:val="both"/>
        <w:rPr>
          <w:rFonts w:ascii="Century Gothic" w:eastAsia="Calibri" w:hAnsi="Century Gothic" w:cs="Arial"/>
          <w:b/>
          <w:bCs/>
          <w:sz w:val="32"/>
          <w:szCs w:val="32"/>
          <w:lang w:val="en-US"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bCs/>
          <w:sz w:val="28"/>
          <w:szCs w:val="28"/>
          <w:lang w:val="es-MX" w:eastAsia="en-US"/>
        </w:rPr>
        <w:t>ARTÍCULO PRIMERO.-</w:t>
      </w:r>
      <w:r w:rsidRPr="0063292C">
        <w:rPr>
          <w:rFonts w:ascii="Century Gothic" w:eastAsia="Calibri" w:hAnsi="Century Gothic" w:cs="Arial"/>
          <w:b/>
          <w:bCs/>
          <w:sz w:val="24"/>
          <w:szCs w:val="24"/>
          <w:lang w:val="es-MX" w:eastAsia="en-US"/>
        </w:rPr>
        <w:t xml:space="preserve"> </w:t>
      </w:r>
      <w:r w:rsidRPr="0063292C">
        <w:rPr>
          <w:rFonts w:ascii="Century Gothic" w:eastAsia="Calibri" w:hAnsi="Century Gothic" w:cs="Arial"/>
          <w:sz w:val="24"/>
          <w:szCs w:val="24"/>
          <w:lang w:val="es-MX" w:eastAsia="en-US"/>
        </w:rPr>
        <w:t xml:space="preserve">Conforme lo dispone el artículo 202 de la Constitución Política del Estado, envíese copia de la Iniciativa, del Dictamen y de los debates al Congreso, a los Ayuntamientos de los sesenta y siete Municipios que integran la Entidad y, en su oportunidad, hágase por el Congreso del Estado o por la Diputación Permanente, en su caso, el cómputo de los votos de los Ayuntamientos y la declaración de haber sido aprobada la reforma a la Constitución del Estado. </w:t>
      </w:r>
    </w:p>
    <w:p w:rsidR="0063292C" w:rsidRPr="0063292C" w:rsidRDefault="0063292C" w:rsidP="0063292C">
      <w:pPr>
        <w:spacing w:line="360" w:lineRule="auto"/>
        <w:ind w:firstLine="708"/>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r w:rsidRPr="0063292C">
        <w:rPr>
          <w:rFonts w:ascii="Century Gothic" w:eastAsia="Calibri" w:hAnsi="Century Gothic" w:cs="Arial"/>
          <w:b/>
          <w:bCs/>
          <w:sz w:val="28"/>
          <w:szCs w:val="28"/>
          <w:lang w:val="es-MX" w:eastAsia="en-US"/>
        </w:rPr>
        <w:t>ARTÍCULO SEGUNDO</w:t>
      </w:r>
      <w:r w:rsidRPr="0063292C">
        <w:rPr>
          <w:rFonts w:ascii="Century Gothic" w:eastAsia="Calibri" w:hAnsi="Century Gothic" w:cs="Arial"/>
          <w:sz w:val="28"/>
          <w:szCs w:val="28"/>
          <w:lang w:val="es-MX" w:eastAsia="en-US"/>
        </w:rPr>
        <w:t>.</w:t>
      </w:r>
      <w:r w:rsidRPr="0063292C">
        <w:rPr>
          <w:rFonts w:ascii="Century Gothic" w:eastAsia="Calibri" w:hAnsi="Century Gothic" w:cs="Arial"/>
          <w:b/>
          <w:sz w:val="28"/>
          <w:szCs w:val="28"/>
          <w:lang w:val="es-MX" w:eastAsia="en-US"/>
        </w:rPr>
        <w:t>-</w:t>
      </w:r>
      <w:r w:rsidRPr="0063292C">
        <w:rPr>
          <w:rFonts w:ascii="Century Gothic" w:eastAsia="Calibri" w:hAnsi="Century Gothic" w:cs="Arial"/>
          <w:b/>
          <w:sz w:val="24"/>
          <w:szCs w:val="24"/>
          <w:lang w:val="es-MX" w:eastAsia="en-US"/>
        </w:rPr>
        <w:t xml:space="preserve"> </w:t>
      </w:r>
      <w:r w:rsidRPr="0063292C">
        <w:rPr>
          <w:rFonts w:ascii="Century Gothic" w:eastAsia="Calibri" w:hAnsi="Century Gothic" w:cs="Arial"/>
          <w:sz w:val="24"/>
          <w:szCs w:val="24"/>
          <w:lang w:val="es-MX" w:eastAsia="en-US"/>
        </w:rPr>
        <w:t xml:space="preserve">El Consejo de la Judicatura contará con ciento ochenta días hábiles contados a partir de la entrada en vigor del presente Decreto, para expedir los lineamientos y demás instrumentos necesarios, en materia de tribunales mixtos especializados, los que deberán conocer asuntos relacionados con violencia familiar; y para regular su funcionamiento interno para los efectos de la reforma al artículo 109 de la Constitución Política del Estado de Chihuahua. </w:t>
      </w:r>
    </w:p>
    <w:p w:rsidR="0063292C" w:rsidRPr="0063292C" w:rsidRDefault="0063292C" w:rsidP="0063292C">
      <w:pPr>
        <w:spacing w:line="360" w:lineRule="auto"/>
        <w:contextualSpacing/>
        <w:jc w:val="both"/>
        <w:rPr>
          <w:rFonts w:ascii="Century Gothic" w:eastAsia="Calibri" w:hAnsi="Century Gothic" w:cs="Arial"/>
          <w:sz w:val="24"/>
          <w:szCs w:val="24"/>
          <w:lang w:val="es-MX" w:eastAsia="en-US"/>
        </w:rPr>
      </w:pPr>
    </w:p>
    <w:p w:rsidR="0063292C" w:rsidRPr="0063292C" w:rsidRDefault="0063292C" w:rsidP="0063292C">
      <w:pPr>
        <w:spacing w:line="360" w:lineRule="auto"/>
        <w:jc w:val="both"/>
        <w:rPr>
          <w:rFonts w:ascii="Century Gothic" w:eastAsia="Calibri" w:hAnsi="Century Gothic" w:cs="Arial"/>
          <w:sz w:val="24"/>
          <w:szCs w:val="24"/>
          <w:lang w:val="es-MX" w:eastAsia="en-US"/>
        </w:rPr>
      </w:pPr>
      <w:r w:rsidRPr="0063292C">
        <w:rPr>
          <w:rFonts w:ascii="Century Gothic" w:eastAsia="Calibri" w:hAnsi="Century Gothic" w:cs="Arial"/>
          <w:b/>
          <w:bCs/>
          <w:sz w:val="28"/>
          <w:szCs w:val="28"/>
          <w:lang w:val="es-MX" w:eastAsia="en-US"/>
        </w:rPr>
        <w:t>ARTÍCULO TERCERO.-</w:t>
      </w:r>
      <w:r w:rsidRPr="0063292C">
        <w:rPr>
          <w:rFonts w:ascii="Century Gothic" w:eastAsia="Calibri" w:hAnsi="Century Gothic" w:cs="Arial"/>
          <w:sz w:val="28"/>
          <w:szCs w:val="28"/>
          <w:lang w:val="es-MX" w:eastAsia="en-US"/>
        </w:rPr>
        <w:t xml:space="preserve"> </w:t>
      </w:r>
      <w:r w:rsidRPr="0063292C">
        <w:rPr>
          <w:rFonts w:ascii="Century Gothic" w:eastAsia="Calibri" w:hAnsi="Century Gothic" w:cs="Arial"/>
          <w:sz w:val="24"/>
          <w:szCs w:val="24"/>
          <w:lang w:val="es-MX" w:eastAsia="en-US"/>
        </w:rPr>
        <w:t xml:space="preserve">La reforma constitucional contenida en el presente Decreto, entrará en vigor al día siguiente de su publicación en el Periódico Oficial del Estado.  </w:t>
      </w:r>
    </w:p>
    <w:p w:rsidR="0063292C" w:rsidRDefault="0063292C" w:rsidP="0063292C">
      <w:pPr>
        <w:spacing w:line="360" w:lineRule="auto"/>
        <w:jc w:val="both"/>
        <w:rPr>
          <w:rFonts w:ascii="Century Gothic" w:eastAsia="Calibri" w:hAnsi="Century Gothic" w:cs="Arial"/>
          <w:sz w:val="24"/>
          <w:szCs w:val="24"/>
          <w:lang w:val="es-MX" w:eastAsia="en-US"/>
        </w:rPr>
      </w:pPr>
    </w:p>
    <w:p w:rsidR="006C334D" w:rsidRPr="0063292C" w:rsidRDefault="006C334D" w:rsidP="0063292C">
      <w:pPr>
        <w:spacing w:line="360" w:lineRule="auto"/>
        <w:jc w:val="both"/>
        <w:rPr>
          <w:rFonts w:ascii="Century Gothic" w:eastAsia="Calibri" w:hAnsi="Century Gothic" w:cs="Arial"/>
          <w:sz w:val="24"/>
          <w:szCs w:val="24"/>
          <w:lang w:val="es-MX" w:eastAsia="en-US"/>
        </w:rPr>
      </w:pPr>
    </w:p>
    <w:p w:rsidR="0063292C" w:rsidRPr="0063292C" w:rsidRDefault="0063292C" w:rsidP="0063292C">
      <w:pPr>
        <w:spacing w:line="360" w:lineRule="auto"/>
        <w:jc w:val="both"/>
        <w:rPr>
          <w:rFonts w:ascii="Century Gothic" w:eastAsia="Calibri" w:hAnsi="Century Gothic" w:cs="Arial"/>
          <w:sz w:val="24"/>
          <w:szCs w:val="24"/>
          <w:lang w:val="es-MX" w:eastAsia="en-US"/>
        </w:rPr>
      </w:pPr>
      <w:r w:rsidRPr="0063292C">
        <w:rPr>
          <w:rFonts w:ascii="Century Gothic" w:eastAsia="Calibri" w:hAnsi="Century Gothic" w:cs="Arial"/>
          <w:b/>
          <w:sz w:val="28"/>
          <w:szCs w:val="28"/>
          <w:lang w:val="es-MX" w:eastAsia="en-US"/>
        </w:rPr>
        <w:t xml:space="preserve">ARTÍCULO CUARTO.- </w:t>
      </w:r>
      <w:r w:rsidRPr="0063292C">
        <w:rPr>
          <w:rFonts w:ascii="Century Gothic" w:eastAsia="Calibri" w:hAnsi="Century Gothic"/>
          <w:sz w:val="24"/>
          <w:szCs w:val="24"/>
          <w:lang w:val="es-MX" w:eastAsia="en-US"/>
        </w:rPr>
        <w:t>La Comisión Especial integrará la primera terna para ocupar la plaza de la magistratura correspondiente, con personas externas al Poder Judicial, de acuerdo a los parámetros establecidos en el presente Decreto.</w:t>
      </w:r>
    </w:p>
    <w:p w:rsidR="00724CAC" w:rsidRDefault="00724CAC" w:rsidP="00A2220B">
      <w:pPr>
        <w:spacing w:line="360" w:lineRule="auto"/>
        <w:jc w:val="both"/>
        <w:rPr>
          <w:rFonts w:ascii="Century Gothic" w:hAnsi="Century Gothic" w:cs="Arial"/>
          <w:sz w:val="24"/>
          <w:szCs w:val="24"/>
          <w:lang w:val="es-MX" w:eastAsia="es-MX"/>
        </w:rPr>
      </w:pPr>
    </w:p>
    <w:p w:rsidR="00DB27A4" w:rsidRDefault="00DB27A4" w:rsidP="00A2220B">
      <w:pPr>
        <w:pStyle w:val="Sangradetextonormal"/>
        <w:spacing w:line="360" w:lineRule="auto"/>
        <w:ind w:left="0" w:right="23"/>
        <w:rPr>
          <w:rFonts w:ascii="Century Gothic" w:hAnsi="Century Gothic"/>
          <w:szCs w:val="24"/>
        </w:rPr>
      </w:pPr>
      <w:r w:rsidRPr="00CB0502">
        <w:rPr>
          <w:rFonts w:ascii="Century Gothic" w:hAnsi="Century Gothic"/>
          <w:b/>
          <w:sz w:val="28"/>
          <w:szCs w:val="28"/>
        </w:rPr>
        <w:t>D A D O</w:t>
      </w:r>
      <w:r w:rsidRPr="00CB0502">
        <w:rPr>
          <w:rFonts w:ascii="Century Gothic" w:hAnsi="Century Gothic"/>
          <w:sz w:val="22"/>
          <w:szCs w:val="22"/>
        </w:rPr>
        <w:t xml:space="preserve"> </w:t>
      </w:r>
      <w:r w:rsidRPr="00CB0502">
        <w:rPr>
          <w:rFonts w:ascii="Century Gothic" w:hAnsi="Century Gothic"/>
          <w:szCs w:val="24"/>
        </w:rPr>
        <w:t xml:space="preserve">en el Salón de Sesiones del Poder Legislativo, en la ciudad de Chihuahua, Chih., </w:t>
      </w:r>
      <w:r w:rsidR="00FC0E51" w:rsidRPr="00CB0502">
        <w:rPr>
          <w:rFonts w:ascii="Century Gothic" w:hAnsi="Century Gothic"/>
          <w:szCs w:val="24"/>
        </w:rPr>
        <w:t xml:space="preserve">a los </w:t>
      </w:r>
      <w:r w:rsidR="00FE2120">
        <w:rPr>
          <w:rFonts w:ascii="Century Gothic" w:hAnsi="Century Gothic"/>
          <w:szCs w:val="24"/>
        </w:rPr>
        <w:t>diecinueve</w:t>
      </w:r>
      <w:r w:rsidR="004137E3" w:rsidRPr="00CB0502">
        <w:rPr>
          <w:rFonts w:ascii="Century Gothic" w:hAnsi="Century Gothic"/>
          <w:szCs w:val="24"/>
        </w:rPr>
        <w:t xml:space="preserve"> </w:t>
      </w:r>
      <w:r w:rsidR="0008553C" w:rsidRPr="00CB0502">
        <w:rPr>
          <w:rFonts w:ascii="Century Gothic" w:hAnsi="Century Gothic"/>
          <w:szCs w:val="24"/>
        </w:rPr>
        <w:t>día</w:t>
      </w:r>
      <w:r w:rsidR="00FC0E51" w:rsidRPr="00CB0502">
        <w:rPr>
          <w:rFonts w:ascii="Century Gothic" w:hAnsi="Century Gothic"/>
          <w:szCs w:val="24"/>
        </w:rPr>
        <w:t>s</w:t>
      </w:r>
      <w:r w:rsidR="0008553C" w:rsidRPr="00CB0502">
        <w:rPr>
          <w:rFonts w:ascii="Century Gothic" w:hAnsi="Century Gothic"/>
          <w:szCs w:val="24"/>
        </w:rPr>
        <w:t xml:space="preserve"> del mes de </w:t>
      </w:r>
      <w:r w:rsidR="00552242">
        <w:rPr>
          <w:rFonts w:ascii="Century Gothic" w:hAnsi="Century Gothic"/>
          <w:szCs w:val="24"/>
        </w:rPr>
        <w:t>mayo</w:t>
      </w:r>
      <w:r w:rsidR="00C455BA" w:rsidRPr="00CB0502">
        <w:rPr>
          <w:rFonts w:ascii="Century Gothic" w:hAnsi="Century Gothic"/>
          <w:szCs w:val="24"/>
        </w:rPr>
        <w:t xml:space="preserve"> d</w:t>
      </w:r>
      <w:r w:rsidRPr="00CB0502">
        <w:rPr>
          <w:rFonts w:ascii="Century Gothic" w:hAnsi="Century Gothic"/>
          <w:szCs w:val="24"/>
        </w:rPr>
        <w:t xml:space="preserve">el año dos mil </w:t>
      </w:r>
      <w:r w:rsidR="006268EA" w:rsidRPr="00CB0502">
        <w:rPr>
          <w:rFonts w:ascii="Century Gothic" w:hAnsi="Century Gothic"/>
          <w:szCs w:val="24"/>
        </w:rPr>
        <w:t>veinti</w:t>
      </w:r>
      <w:r w:rsidR="004137E3" w:rsidRPr="00CB0502">
        <w:rPr>
          <w:rFonts w:ascii="Century Gothic" w:hAnsi="Century Gothic"/>
          <w:szCs w:val="24"/>
        </w:rPr>
        <w:t>dós</w:t>
      </w:r>
      <w:r w:rsidRPr="00CB0502">
        <w:rPr>
          <w:rFonts w:ascii="Century Gothic" w:hAnsi="Century Gothic"/>
          <w:szCs w:val="24"/>
        </w:rPr>
        <w:t>.</w:t>
      </w:r>
    </w:p>
    <w:p w:rsidR="00A2220B" w:rsidRDefault="00A2220B"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EF23CC" w:rsidRDefault="00EF23CC" w:rsidP="00B40430">
      <w:pPr>
        <w:pStyle w:val="Sangradetextonormal"/>
        <w:spacing w:line="360" w:lineRule="auto"/>
        <w:ind w:left="0" w:right="23"/>
        <w:rPr>
          <w:rFonts w:ascii="Century Gothic" w:hAnsi="Century Gothic"/>
          <w:szCs w:val="24"/>
        </w:rPr>
      </w:pPr>
    </w:p>
    <w:p w:rsidR="004C6609" w:rsidRPr="007B4CCE" w:rsidRDefault="004C6609" w:rsidP="004C6609">
      <w:pPr>
        <w:pStyle w:val="Ttulo3"/>
        <w:spacing w:line="360" w:lineRule="auto"/>
        <w:ind w:left="284" w:right="284"/>
        <w:rPr>
          <w:rFonts w:ascii="Century Gothic" w:hAnsi="Century Gothic"/>
          <w:sz w:val="26"/>
          <w:szCs w:val="26"/>
        </w:rPr>
      </w:pPr>
      <w:r w:rsidRPr="007B4CCE">
        <w:rPr>
          <w:rFonts w:ascii="Century Gothic" w:hAnsi="Century Gothic"/>
          <w:sz w:val="26"/>
          <w:szCs w:val="26"/>
        </w:rPr>
        <w:lastRenderedPageBreak/>
        <w:t>PRESIDENT</w:t>
      </w:r>
      <w:r>
        <w:rPr>
          <w:rFonts w:ascii="Century Gothic" w:hAnsi="Century Gothic"/>
          <w:sz w:val="26"/>
          <w:szCs w:val="26"/>
        </w:rPr>
        <w:t>A</w:t>
      </w:r>
      <w:bookmarkStart w:id="0" w:name="_GoBack"/>
      <w:bookmarkEnd w:id="0"/>
    </w:p>
    <w:p w:rsidR="004C6609" w:rsidRPr="003B5472" w:rsidRDefault="004C6609" w:rsidP="004C6609">
      <w:pPr>
        <w:rPr>
          <w:rFonts w:ascii="Century Gothic" w:hAnsi="Century Gothic"/>
          <w:b/>
          <w:sz w:val="22"/>
          <w:szCs w:val="22"/>
        </w:rPr>
      </w:pPr>
    </w:p>
    <w:p w:rsidR="004C6609" w:rsidRDefault="004C6609" w:rsidP="004C6609">
      <w:pPr>
        <w:jc w:val="center"/>
        <w:rPr>
          <w:rFonts w:ascii="Century Gothic" w:hAnsi="Century Gothic"/>
          <w:b/>
          <w:sz w:val="22"/>
          <w:szCs w:val="22"/>
        </w:rPr>
      </w:pPr>
    </w:p>
    <w:p w:rsidR="004C6609" w:rsidRDefault="004C6609" w:rsidP="004C6609">
      <w:pPr>
        <w:jc w:val="center"/>
        <w:rPr>
          <w:rFonts w:ascii="Century Gothic" w:hAnsi="Century Gothic"/>
          <w:b/>
          <w:sz w:val="22"/>
          <w:szCs w:val="22"/>
        </w:rPr>
      </w:pPr>
    </w:p>
    <w:p w:rsidR="004C6609" w:rsidRDefault="004C6609" w:rsidP="004C6609">
      <w:pPr>
        <w:rPr>
          <w:rFonts w:ascii="Century Gothic" w:hAnsi="Century Gothic"/>
          <w:b/>
          <w:sz w:val="22"/>
          <w:szCs w:val="22"/>
        </w:rPr>
      </w:pPr>
    </w:p>
    <w:p w:rsidR="00EF23CC" w:rsidRPr="003B5472" w:rsidRDefault="00EF23CC" w:rsidP="004C6609">
      <w:pPr>
        <w:rPr>
          <w:rFonts w:ascii="Century Gothic" w:hAnsi="Century Gothic"/>
          <w:b/>
          <w:sz w:val="22"/>
          <w:szCs w:val="22"/>
        </w:rPr>
      </w:pPr>
    </w:p>
    <w:p w:rsidR="004C6609" w:rsidRPr="003B5472" w:rsidRDefault="004C6609" w:rsidP="004C6609">
      <w:pPr>
        <w:rPr>
          <w:rFonts w:ascii="Century Gothic" w:hAnsi="Century Gothic"/>
          <w:b/>
          <w:sz w:val="24"/>
          <w:szCs w:val="24"/>
        </w:rPr>
      </w:pPr>
    </w:p>
    <w:p w:rsidR="004C6609" w:rsidRPr="007B4CCE" w:rsidRDefault="004C6609" w:rsidP="004C6609">
      <w:pPr>
        <w:jc w:val="center"/>
        <w:rPr>
          <w:rFonts w:ascii="Century Gothic" w:hAnsi="Century Gothic"/>
          <w:b/>
          <w:sz w:val="26"/>
          <w:szCs w:val="26"/>
        </w:rPr>
      </w:pPr>
      <w:r w:rsidRPr="007B4CCE">
        <w:rPr>
          <w:rFonts w:ascii="Century Gothic" w:hAnsi="Century Gothic"/>
          <w:b/>
          <w:sz w:val="26"/>
          <w:szCs w:val="26"/>
        </w:rPr>
        <w:t xml:space="preserve">DIP. </w:t>
      </w:r>
      <w:r w:rsidR="005F6F86">
        <w:rPr>
          <w:rFonts w:ascii="Century Gothic" w:hAnsi="Century Gothic"/>
          <w:b/>
          <w:sz w:val="26"/>
          <w:szCs w:val="26"/>
        </w:rPr>
        <w:t>GEORGINA ALEJANDRA BUJANDA RÍOS</w:t>
      </w:r>
    </w:p>
    <w:p w:rsidR="004C6609" w:rsidRPr="003B5472" w:rsidRDefault="004C6609" w:rsidP="004C6609">
      <w:pPr>
        <w:rPr>
          <w:rFonts w:ascii="Century Gothic" w:hAnsi="Century Gothic"/>
          <w:b/>
          <w:sz w:val="24"/>
          <w:szCs w:val="24"/>
        </w:rPr>
      </w:pPr>
    </w:p>
    <w:p w:rsidR="004C6609" w:rsidRPr="003B5472" w:rsidRDefault="004C6609" w:rsidP="004C6609">
      <w:pPr>
        <w:rPr>
          <w:rFonts w:ascii="Century Gothic" w:hAnsi="Century Gothic"/>
          <w:b/>
          <w:sz w:val="24"/>
          <w:szCs w:val="24"/>
        </w:rPr>
      </w:pPr>
    </w:p>
    <w:p w:rsidR="004C6609" w:rsidRDefault="004C6609" w:rsidP="004C6609">
      <w:pPr>
        <w:rPr>
          <w:rFonts w:ascii="Century Gothic" w:hAnsi="Century Gothic"/>
          <w:b/>
          <w:sz w:val="24"/>
          <w:szCs w:val="24"/>
        </w:rPr>
      </w:pPr>
    </w:p>
    <w:p w:rsidR="00C019F6" w:rsidRDefault="00C019F6" w:rsidP="004C6609">
      <w:pPr>
        <w:rPr>
          <w:rFonts w:ascii="Century Gothic" w:hAnsi="Century Gothic"/>
          <w:b/>
          <w:sz w:val="24"/>
          <w:szCs w:val="24"/>
        </w:rPr>
      </w:pPr>
    </w:p>
    <w:p w:rsidR="00C019F6" w:rsidRDefault="00C019F6" w:rsidP="004C6609">
      <w:pPr>
        <w:rPr>
          <w:rFonts w:ascii="Century Gothic" w:hAnsi="Century Gothic"/>
          <w:b/>
          <w:sz w:val="24"/>
          <w:szCs w:val="24"/>
        </w:rPr>
      </w:pPr>
    </w:p>
    <w:p w:rsidR="004C6609" w:rsidRDefault="004C6609" w:rsidP="004C6609">
      <w:pPr>
        <w:rPr>
          <w:rFonts w:ascii="Century Gothic" w:hAnsi="Century Gothic"/>
          <w:b/>
          <w:sz w:val="24"/>
          <w:szCs w:val="24"/>
        </w:rPr>
      </w:pPr>
    </w:p>
    <w:p w:rsidR="004C6609" w:rsidRPr="003B5472" w:rsidRDefault="004C6609" w:rsidP="004C6609">
      <w:pPr>
        <w:rPr>
          <w:rFonts w:ascii="Century Gothic" w:hAnsi="Century Gothic"/>
          <w:b/>
          <w:sz w:val="24"/>
          <w:szCs w:val="24"/>
        </w:rPr>
      </w:pPr>
    </w:p>
    <w:tbl>
      <w:tblPr>
        <w:tblW w:w="9786" w:type="dxa"/>
        <w:jc w:val="center"/>
        <w:tblLook w:val="01E0" w:firstRow="1" w:lastRow="1" w:firstColumn="1" w:lastColumn="1" w:noHBand="0" w:noVBand="0"/>
      </w:tblPr>
      <w:tblGrid>
        <w:gridCol w:w="4829"/>
        <w:gridCol w:w="4957"/>
      </w:tblGrid>
      <w:tr w:rsidR="00C019F6" w:rsidRPr="007B4CCE" w:rsidTr="00A5258D">
        <w:trPr>
          <w:jc w:val="center"/>
        </w:trPr>
        <w:tc>
          <w:tcPr>
            <w:tcW w:w="4829" w:type="dxa"/>
          </w:tcPr>
          <w:p w:rsidR="00C019F6" w:rsidRPr="007B4CCE" w:rsidRDefault="00C019F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1674A4">
              <w:rPr>
                <w:rFonts w:ascii="Century Gothic" w:hAnsi="Century Gothic"/>
                <w:b/>
                <w:sz w:val="26"/>
                <w:szCs w:val="26"/>
              </w:rPr>
              <w:t>O</w:t>
            </w:r>
          </w:p>
          <w:p w:rsidR="00C019F6" w:rsidRPr="007B3224"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1674A4" w:rsidRDefault="001674A4" w:rsidP="00A5258D">
            <w:pPr>
              <w:pStyle w:val="Textoindependiente"/>
              <w:spacing w:before="60"/>
              <w:ind w:right="40"/>
              <w:jc w:val="both"/>
              <w:rPr>
                <w:rFonts w:ascii="Century Gothic" w:hAnsi="Century Gothic" w:cs="Arial"/>
                <w:iCs/>
                <w:sz w:val="2"/>
                <w:szCs w:val="2"/>
              </w:rPr>
            </w:pPr>
          </w:p>
          <w:p w:rsidR="001674A4" w:rsidRDefault="001674A4" w:rsidP="00A5258D">
            <w:pPr>
              <w:pStyle w:val="Textoindependiente"/>
              <w:spacing w:before="60"/>
              <w:ind w:right="40"/>
              <w:jc w:val="both"/>
              <w:rPr>
                <w:rFonts w:ascii="Century Gothic" w:hAnsi="Century Gothic" w:cs="Arial"/>
                <w:iCs/>
                <w:sz w:val="2"/>
                <w:szCs w:val="2"/>
              </w:rPr>
            </w:pPr>
          </w:p>
          <w:p w:rsidR="001674A4" w:rsidRDefault="001674A4" w:rsidP="00A5258D">
            <w:pPr>
              <w:pStyle w:val="Textoindependiente"/>
              <w:spacing w:before="60"/>
              <w:ind w:right="40"/>
              <w:jc w:val="both"/>
              <w:rPr>
                <w:rFonts w:ascii="Century Gothic" w:hAnsi="Century Gothic" w:cs="Arial"/>
                <w:iCs/>
                <w:sz w:val="2"/>
                <w:szCs w:val="2"/>
              </w:rPr>
            </w:pPr>
          </w:p>
          <w:p w:rsidR="00C019F6" w:rsidRPr="00D04430" w:rsidRDefault="00C019F6" w:rsidP="001674A4">
            <w:pPr>
              <w:jc w:val="center"/>
              <w:rPr>
                <w:rFonts w:ascii="Century Gothic" w:hAnsi="Century Gothic" w:cs="Arial"/>
                <w:b/>
                <w:iCs/>
                <w:sz w:val="26"/>
                <w:szCs w:val="26"/>
              </w:rPr>
            </w:pPr>
            <w:r w:rsidRPr="007B4CCE">
              <w:rPr>
                <w:rFonts w:ascii="Century Gothic" w:hAnsi="Century Gothic" w:cs="Arial"/>
                <w:b/>
                <w:iCs/>
                <w:sz w:val="26"/>
                <w:szCs w:val="26"/>
              </w:rPr>
              <w:t xml:space="preserve">DIP. </w:t>
            </w:r>
            <w:r w:rsidR="001674A4">
              <w:rPr>
                <w:rFonts w:ascii="Century Gothic" w:hAnsi="Century Gothic" w:cs="Arial"/>
                <w:b/>
                <w:iCs/>
                <w:sz w:val="26"/>
                <w:szCs w:val="26"/>
              </w:rPr>
              <w:t>ÓSCAR DANIEL AVITIA ARELLANES</w:t>
            </w:r>
            <w:r>
              <w:rPr>
                <w:rFonts w:ascii="Century Gothic" w:hAnsi="Century Gothic" w:cs="Arial"/>
                <w:b/>
                <w:iCs/>
                <w:sz w:val="26"/>
                <w:szCs w:val="26"/>
              </w:rPr>
              <w:t xml:space="preserve"> </w:t>
            </w:r>
          </w:p>
        </w:tc>
        <w:tc>
          <w:tcPr>
            <w:tcW w:w="4957" w:type="dxa"/>
          </w:tcPr>
          <w:p w:rsidR="00C019F6" w:rsidRPr="007B4CCE" w:rsidRDefault="00C019F6" w:rsidP="00A5258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sidR="00D04430">
              <w:rPr>
                <w:rFonts w:ascii="Century Gothic" w:hAnsi="Century Gothic"/>
                <w:b/>
                <w:sz w:val="26"/>
                <w:szCs w:val="26"/>
              </w:rPr>
              <w:t>A</w:t>
            </w:r>
          </w:p>
          <w:p w:rsidR="00C019F6" w:rsidRPr="007B3224"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Pr="0036248E"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C019F6" w:rsidRDefault="00C019F6" w:rsidP="00A5258D">
            <w:pPr>
              <w:pStyle w:val="Textoindependiente"/>
              <w:spacing w:before="60"/>
              <w:ind w:right="40"/>
              <w:jc w:val="both"/>
              <w:rPr>
                <w:rFonts w:ascii="Century Gothic" w:hAnsi="Century Gothic" w:cs="Arial"/>
                <w:iCs/>
                <w:sz w:val="2"/>
                <w:szCs w:val="2"/>
              </w:rPr>
            </w:pPr>
          </w:p>
          <w:p w:rsidR="00D04430" w:rsidRDefault="00D04430" w:rsidP="00A5258D">
            <w:pPr>
              <w:pStyle w:val="Textoindependiente"/>
              <w:spacing w:before="60"/>
              <w:ind w:right="40"/>
              <w:jc w:val="both"/>
              <w:rPr>
                <w:rFonts w:ascii="Century Gothic" w:hAnsi="Century Gothic" w:cs="Arial"/>
                <w:iCs/>
                <w:sz w:val="2"/>
                <w:szCs w:val="2"/>
              </w:rPr>
            </w:pPr>
          </w:p>
          <w:p w:rsidR="00D04430" w:rsidRDefault="00D04430" w:rsidP="00A5258D">
            <w:pPr>
              <w:pStyle w:val="Textoindependiente"/>
              <w:spacing w:before="60"/>
              <w:ind w:right="40"/>
              <w:jc w:val="both"/>
              <w:rPr>
                <w:rFonts w:ascii="Century Gothic" w:hAnsi="Century Gothic" w:cs="Arial"/>
                <w:iCs/>
                <w:sz w:val="2"/>
                <w:szCs w:val="2"/>
              </w:rPr>
            </w:pPr>
          </w:p>
          <w:p w:rsidR="006A2C95" w:rsidRDefault="006A2C95" w:rsidP="00A5258D">
            <w:pPr>
              <w:pStyle w:val="Textoindependiente"/>
              <w:spacing w:before="60"/>
              <w:ind w:right="40"/>
              <w:jc w:val="both"/>
              <w:rPr>
                <w:rFonts w:ascii="Century Gothic" w:hAnsi="Century Gothic" w:cs="Arial"/>
                <w:iCs/>
                <w:sz w:val="2"/>
                <w:szCs w:val="2"/>
              </w:rPr>
            </w:pPr>
          </w:p>
          <w:p w:rsidR="006A2C95" w:rsidRDefault="006A2C95" w:rsidP="00A5258D">
            <w:pPr>
              <w:pStyle w:val="Textoindependiente"/>
              <w:spacing w:before="60"/>
              <w:ind w:right="40"/>
              <w:jc w:val="both"/>
              <w:rPr>
                <w:rFonts w:ascii="Century Gothic" w:hAnsi="Century Gothic" w:cs="Arial"/>
                <w:iCs/>
                <w:sz w:val="2"/>
                <w:szCs w:val="2"/>
              </w:rPr>
            </w:pPr>
          </w:p>
          <w:p w:rsidR="006A2C95" w:rsidRDefault="006A2C95" w:rsidP="00A5258D">
            <w:pPr>
              <w:pStyle w:val="Textoindependiente"/>
              <w:spacing w:before="60"/>
              <w:ind w:right="40"/>
              <w:jc w:val="both"/>
              <w:rPr>
                <w:rFonts w:ascii="Century Gothic" w:hAnsi="Century Gothic" w:cs="Arial"/>
                <w:iCs/>
                <w:sz w:val="2"/>
                <w:szCs w:val="2"/>
              </w:rPr>
            </w:pPr>
          </w:p>
          <w:p w:rsidR="00D04430" w:rsidRDefault="00D04430" w:rsidP="00A5258D">
            <w:pPr>
              <w:pStyle w:val="Textoindependiente"/>
              <w:spacing w:before="60"/>
              <w:ind w:right="40"/>
              <w:jc w:val="both"/>
              <w:rPr>
                <w:rFonts w:ascii="Century Gothic" w:hAnsi="Century Gothic" w:cs="Arial"/>
                <w:iCs/>
                <w:sz w:val="2"/>
                <w:szCs w:val="2"/>
              </w:rPr>
            </w:pPr>
          </w:p>
          <w:p w:rsidR="00D04430" w:rsidRPr="0036248E" w:rsidRDefault="00D04430" w:rsidP="00A5258D">
            <w:pPr>
              <w:pStyle w:val="Textoindependiente"/>
              <w:spacing w:before="60"/>
              <w:ind w:right="40"/>
              <w:jc w:val="both"/>
              <w:rPr>
                <w:rFonts w:ascii="Century Gothic" w:hAnsi="Century Gothic" w:cs="Arial"/>
                <w:iCs/>
                <w:sz w:val="2"/>
                <w:szCs w:val="2"/>
              </w:rPr>
            </w:pPr>
          </w:p>
          <w:p w:rsidR="00C019F6" w:rsidRPr="007B4CCE" w:rsidRDefault="00C019F6" w:rsidP="00D04430">
            <w:pPr>
              <w:jc w:val="center"/>
              <w:rPr>
                <w:rFonts w:ascii="Century Gothic" w:hAnsi="Century Gothic"/>
                <w:b/>
                <w:sz w:val="26"/>
                <w:szCs w:val="26"/>
              </w:rPr>
            </w:pPr>
            <w:r w:rsidRPr="007B4CCE">
              <w:rPr>
                <w:rFonts w:ascii="Century Gothic" w:hAnsi="Century Gothic" w:cs="Arial"/>
                <w:b/>
                <w:iCs/>
                <w:sz w:val="26"/>
                <w:szCs w:val="26"/>
              </w:rPr>
              <w:t xml:space="preserve">DIP. </w:t>
            </w:r>
            <w:r w:rsidR="00D04430">
              <w:rPr>
                <w:rFonts w:ascii="Century Gothic" w:hAnsi="Century Gothic" w:cs="Arial"/>
                <w:b/>
                <w:iCs/>
                <w:sz w:val="26"/>
                <w:szCs w:val="26"/>
              </w:rPr>
              <w:t>YESENIA GUADALUPE REYES CALZADÍAS</w:t>
            </w:r>
          </w:p>
        </w:tc>
      </w:tr>
    </w:tbl>
    <w:p w:rsidR="004C6609" w:rsidRPr="003B5472" w:rsidRDefault="004C6609" w:rsidP="004C6609">
      <w:pPr>
        <w:rPr>
          <w:rFonts w:ascii="Century Gothic" w:hAnsi="Century Gothic"/>
          <w:b/>
          <w:sz w:val="24"/>
          <w:szCs w:val="24"/>
        </w:rPr>
      </w:pPr>
    </w:p>
    <w:p w:rsidR="00DE4EEE" w:rsidRPr="004E7632" w:rsidRDefault="00DE4EEE" w:rsidP="003B5472">
      <w:pPr>
        <w:pStyle w:val="Ttulo3"/>
        <w:ind w:left="284" w:right="284"/>
        <w:rPr>
          <w:u w:val="words"/>
        </w:rPr>
      </w:pPr>
    </w:p>
    <w:sectPr w:rsidR="00DE4EEE" w:rsidRPr="004E7632" w:rsidSect="00756B74">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D31" w:rsidRDefault="00E05D31">
      <w:r>
        <w:separator/>
      </w:r>
    </w:p>
  </w:endnote>
  <w:endnote w:type="continuationSeparator" w:id="0">
    <w:p w:rsidR="00E05D31" w:rsidRDefault="00E0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756B74">
      <w:rPr>
        <w:rStyle w:val="Nmerodepgina"/>
        <w:noProof/>
      </w:rPr>
      <w:t>10</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D31" w:rsidRDefault="00E05D31">
      <w:r>
        <w:separator/>
      </w:r>
    </w:p>
  </w:footnote>
  <w:footnote w:type="continuationSeparator" w:id="0">
    <w:p w:rsidR="00E05D31" w:rsidRDefault="00E0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2400EA" w:rsidP="00DB27A4">
    <w:pPr>
      <w:pStyle w:val="Encabezado"/>
      <w:jc w:val="right"/>
      <w:rPr>
        <w:rFonts w:ascii="Century Gothic" w:hAnsi="Century Gothic"/>
        <w:b/>
        <w:sz w:val="24"/>
        <w:szCs w:val="24"/>
        <w:lang w:val="es-MX"/>
      </w:rPr>
    </w:pPr>
    <w:r w:rsidRPr="00076D61">
      <w:rPr>
        <w:rFonts w:ascii="Century Gothic" w:hAnsi="Century Gothic"/>
        <w:b/>
        <w:sz w:val="24"/>
        <w:szCs w:val="24"/>
        <w:lang w:val="es-MX"/>
      </w:rPr>
      <w:t>DECRETO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F3226C">
      <w:rPr>
        <w:rFonts w:ascii="Century Gothic" w:hAnsi="Century Gothic"/>
        <w:b/>
        <w:sz w:val="24"/>
        <w:szCs w:val="24"/>
        <w:lang w:val="es-MX"/>
      </w:rPr>
      <w:t>RFC</w:t>
    </w:r>
    <w:r w:rsidR="0015755B">
      <w:rPr>
        <w:rFonts w:ascii="Century Gothic" w:hAnsi="Century Gothic"/>
        <w:b/>
        <w:sz w:val="24"/>
        <w:szCs w:val="24"/>
        <w:lang w:val="es-MX"/>
      </w:rPr>
      <w:t>NT/</w:t>
    </w:r>
    <w:r w:rsidR="006A5F74" w:rsidRPr="004D6016">
      <w:rPr>
        <w:rFonts w:ascii="Century Gothic" w:hAnsi="Century Gothic"/>
        <w:b/>
        <w:sz w:val="24"/>
        <w:szCs w:val="24"/>
        <w:lang w:val="es-MX"/>
      </w:rPr>
      <w:t>0</w:t>
    </w:r>
    <w:r w:rsidR="00D22D20">
      <w:rPr>
        <w:rFonts w:ascii="Century Gothic" w:hAnsi="Century Gothic"/>
        <w:b/>
        <w:sz w:val="24"/>
        <w:szCs w:val="24"/>
        <w:lang w:val="es-MX"/>
      </w:rPr>
      <w:t>2</w:t>
    </w:r>
    <w:r w:rsidR="00F3226C">
      <w:rPr>
        <w:rFonts w:ascii="Century Gothic" w:hAnsi="Century Gothic"/>
        <w:b/>
        <w:sz w:val="24"/>
        <w:szCs w:val="24"/>
        <w:lang w:val="es-MX"/>
      </w:rPr>
      <w:t>49</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2CC"/>
    <w:multiLevelType w:val="hybridMultilevel"/>
    <w:tmpl w:val="5F8ABAA0"/>
    <w:lvl w:ilvl="0" w:tplc="59EE7D38">
      <w:start w:val="1"/>
      <w:numFmt w:val="upp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43CC2BDA"/>
    <w:multiLevelType w:val="hybridMultilevel"/>
    <w:tmpl w:val="8D403178"/>
    <w:lvl w:ilvl="0" w:tplc="0FEAFAAE">
      <w:start w:val="1"/>
      <w:numFmt w:val="upp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F545D90"/>
    <w:multiLevelType w:val="hybridMultilevel"/>
    <w:tmpl w:val="9E9677EC"/>
    <w:lvl w:ilvl="0" w:tplc="1318C682">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07F12"/>
    <w:rsid w:val="0001018A"/>
    <w:rsid w:val="0001245C"/>
    <w:rsid w:val="000163B8"/>
    <w:rsid w:val="00017925"/>
    <w:rsid w:val="00017FE8"/>
    <w:rsid w:val="0002361B"/>
    <w:rsid w:val="00025592"/>
    <w:rsid w:val="0003345D"/>
    <w:rsid w:val="00035302"/>
    <w:rsid w:val="00036BB0"/>
    <w:rsid w:val="0004282B"/>
    <w:rsid w:val="00044090"/>
    <w:rsid w:val="000444F0"/>
    <w:rsid w:val="0004531C"/>
    <w:rsid w:val="00046109"/>
    <w:rsid w:val="000475E9"/>
    <w:rsid w:val="00052253"/>
    <w:rsid w:val="000526C9"/>
    <w:rsid w:val="00054F47"/>
    <w:rsid w:val="0006201C"/>
    <w:rsid w:val="0006448A"/>
    <w:rsid w:val="00070BFF"/>
    <w:rsid w:val="000712AA"/>
    <w:rsid w:val="000728E0"/>
    <w:rsid w:val="00074D9F"/>
    <w:rsid w:val="00076D61"/>
    <w:rsid w:val="00077082"/>
    <w:rsid w:val="00081F85"/>
    <w:rsid w:val="0008553C"/>
    <w:rsid w:val="000912D8"/>
    <w:rsid w:val="0009521F"/>
    <w:rsid w:val="00097F57"/>
    <w:rsid w:val="000A0596"/>
    <w:rsid w:val="000A6EB5"/>
    <w:rsid w:val="000B34A5"/>
    <w:rsid w:val="000B42A7"/>
    <w:rsid w:val="000C3DF7"/>
    <w:rsid w:val="000C6A81"/>
    <w:rsid w:val="000D09DD"/>
    <w:rsid w:val="000D44D5"/>
    <w:rsid w:val="000D7827"/>
    <w:rsid w:val="000D7DD9"/>
    <w:rsid w:val="000E0FCF"/>
    <w:rsid w:val="000F2FB6"/>
    <w:rsid w:val="00105755"/>
    <w:rsid w:val="00110065"/>
    <w:rsid w:val="0011116D"/>
    <w:rsid w:val="0011650E"/>
    <w:rsid w:val="001230A7"/>
    <w:rsid w:val="001278AA"/>
    <w:rsid w:val="001303C5"/>
    <w:rsid w:val="001341C2"/>
    <w:rsid w:val="00136931"/>
    <w:rsid w:val="0014072C"/>
    <w:rsid w:val="00141286"/>
    <w:rsid w:val="001451B6"/>
    <w:rsid w:val="0014618F"/>
    <w:rsid w:val="00146477"/>
    <w:rsid w:val="001465D1"/>
    <w:rsid w:val="001540FC"/>
    <w:rsid w:val="00155676"/>
    <w:rsid w:val="00156910"/>
    <w:rsid w:val="0015755B"/>
    <w:rsid w:val="00157970"/>
    <w:rsid w:val="00157EF4"/>
    <w:rsid w:val="001616E8"/>
    <w:rsid w:val="001667D8"/>
    <w:rsid w:val="001674A4"/>
    <w:rsid w:val="001738D7"/>
    <w:rsid w:val="0017630E"/>
    <w:rsid w:val="00177E7E"/>
    <w:rsid w:val="0018110B"/>
    <w:rsid w:val="0018307A"/>
    <w:rsid w:val="00195F83"/>
    <w:rsid w:val="0019664E"/>
    <w:rsid w:val="001A1707"/>
    <w:rsid w:val="001A2927"/>
    <w:rsid w:val="001A385C"/>
    <w:rsid w:val="001A3A08"/>
    <w:rsid w:val="001A4F48"/>
    <w:rsid w:val="001A61E9"/>
    <w:rsid w:val="001C11D2"/>
    <w:rsid w:val="001C1583"/>
    <w:rsid w:val="001C6E7E"/>
    <w:rsid w:val="001D2735"/>
    <w:rsid w:val="001D5D85"/>
    <w:rsid w:val="001D61CE"/>
    <w:rsid w:val="001D6245"/>
    <w:rsid w:val="001E24BE"/>
    <w:rsid w:val="001E53C7"/>
    <w:rsid w:val="001E5B67"/>
    <w:rsid w:val="001F09CF"/>
    <w:rsid w:val="001F21B6"/>
    <w:rsid w:val="001F4F6F"/>
    <w:rsid w:val="001F601E"/>
    <w:rsid w:val="001F74BF"/>
    <w:rsid w:val="00201279"/>
    <w:rsid w:val="00212992"/>
    <w:rsid w:val="00214F1A"/>
    <w:rsid w:val="00216333"/>
    <w:rsid w:val="00217132"/>
    <w:rsid w:val="00220ACE"/>
    <w:rsid w:val="00222320"/>
    <w:rsid w:val="0022759D"/>
    <w:rsid w:val="00227C32"/>
    <w:rsid w:val="00231408"/>
    <w:rsid w:val="0023189D"/>
    <w:rsid w:val="00234572"/>
    <w:rsid w:val="002400EA"/>
    <w:rsid w:val="00240224"/>
    <w:rsid w:val="00241378"/>
    <w:rsid w:val="002423EE"/>
    <w:rsid w:val="00242A38"/>
    <w:rsid w:val="00244A40"/>
    <w:rsid w:val="00252FFB"/>
    <w:rsid w:val="0025401E"/>
    <w:rsid w:val="00257B08"/>
    <w:rsid w:val="00267552"/>
    <w:rsid w:val="00267E02"/>
    <w:rsid w:val="00272F0B"/>
    <w:rsid w:val="00273970"/>
    <w:rsid w:val="00282860"/>
    <w:rsid w:val="00282F57"/>
    <w:rsid w:val="00284688"/>
    <w:rsid w:val="00284C5D"/>
    <w:rsid w:val="002919D5"/>
    <w:rsid w:val="00296764"/>
    <w:rsid w:val="00297716"/>
    <w:rsid w:val="002A09A0"/>
    <w:rsid w:val="002A255A"/>
    <w:rsid w:val="002A49C9"/>
    <w:rsid w:val="002A63E2"/>
    <w:rsid w:val="002B07A0"/>
    <w:rsid w:val="002B17F4"/>
    <w:rsid w:val="002B2717"/>
    <w:rsid w:val="002B62EB"/>
    <w:rsid w:val="002B710E"/>
    <w:rsid w:val="002C1695"/>
    <w:rsid w:val="002C3291"/>
    <w:rsid w:val="002C4259"/>
    <w:rsid w:val="002C609E"/>
    <w:rsid w:val="002C7144"/>
    <w:rsid w:val="002D13CF"/>
    <w:rsid w:val="002D13D9"/>
    <w:rsid w:val="002D24BD"/>
    <w:rsid w:val="002D3806"/>
    <w:rsid w:val="002D7C52"/>
    <w:rsid w:val="002E7483"/>
    <w:rsid w:val="002F5982"/>
    <w:rsid w:val="002F5CF7"/>
    <w:rsid w:val="003055D3"/>
    <w:rsid w:val="003100B5"/>
    <w:rsid w:val="00310745"/>
    <w:rsid w:val="00310DCD"/>
    <w:rsid w:val="00314573"/>
    <w:rsid w:val="00315EBD"/>
    <w:rsid w:val="0031738B"/>
    <w:rsid w:val="003173C1"/>
    <w:rsid w:val="00320762"/>
    <w:rsid w:val="0032277A"/>
    <w:rsid w:val="003248DA"/>
    <w:rsid w:val="00327656"/>
    <w:rsid w:val="003328AE"/>
    <w:rsid w:val="00337019"/>
    <w:rsid w:val="0033764B"/>
    <w:rsid w:val="00337710"/>
    <w:rsid w:val="00341601"/>
    <w:rsid w:val="00346888"/>
    <w:rsid w:val="00346E01"/>
    <w:rsid w:val="00347E15"/>
    <w:rsid w:val="0035056A"/>
    <w:rsid w:val="003509C7"/>
    <w:rsid w:val="00362C47"/>
    <w:rsid w:val="003635C3"/>
    <w:rsid w:val="0036442E"/>
    <w:rsid w:val="00364C6B"/>
    <w:rsid w:val="003652E5"/>
    <w:rsid w:val="003723D1"/>
    <w:rsid w:val="00375ADB"/>
    <w:rsid w:val="00377079"/>
    <w:rsid w:val="00377311"/>
    <w:rsid w:val="00380889"/>
    <w:rsid w:val="00381DDF"/>
    <w:rsid w:val="00383578"/>
    <w:rsid w:val="00383966"/>
    <w:rsid w:val="00384AA3"/>
    <w:rsid w:val="00385CF7"/>
    <w:rsid w:val="003868A6"/>
    <w:rsid w:val="00391D26"/>
    <w:rsid w:val="003A0232"/>
    <w:rsid w:val="003A04EA"/>
    <w:rsid w:val="003A0CA8"/>
    <w:rsid w:val="003A6A98"/>
    <w:rsid w:val="003B29C4"/>
    <w:rsid w:val="003B4FAD"/>
    <w:rsid w:val="003B5472"/>
    <w:rsid w:val="003B5FCF"/>
    <w:rsid w:val="003B6DC1"/>
    <w:rsid w:val="003B781A"/>
    <w:rsid w:val="003C492F"/>
    <w:rsid w:val="003C545E"/>
    <w:rsid w:val="003D1238"/>
    <w:rsid w:val="003D3589"/>
    <w:rsid w:val="003E00C5"/>
    <w:rsid w:val="003E4372"/>
    <w:rsid w:val="003E4A5C"/>
    <w:rsid w:val="003E4C6B"/>
    <w:rsid w:val="003E529F"/>
    <w:rsid w:val="003F5E30"/>
    <w:rsid w:val="004047EA"/>
    <w:rsid w:val="00405F14"/>
    <w:rsid w:val="00406F80"/>
    <w:rsid w:val="00407328"/>
    <w:rsid w:val="00407FE0"/>
    <w:rsid w:val="004108FD"/>
    <w:rsid w:val="004137E3"/>
    <w:rsid w:val="00415AAD"/>
    <w:rsid w:val="00416E3E"/>
    <w:rsid w:val="00420F24"/>
    <w:rsid w:val="0042117F"/>
    <w:rsid w:val="0042184D"/>
    <w:rsid w:val="00423121"/>
    <w:rsid w:val="00423277"/>
    <w:rsid w:val="0042386F"/>
    <w:rsid w:val="00425CDF"/>
    <w:rsid w:val="00426B6E"/>
    <w:rsid w:val="00427E31"/>
    <w:rsid w:val="00430841"/>
    <w:rsid w:val="00430988"/>
    <w:rsid w:val="00432851"/>
    <w:rsid w:val="00433165"/>
    <w:rsid w:val="00434DDE"/>
    <w:rsid w:val="004351D5"/>
    <w:rsid w:val="004352F7"/>
    <w:rsid w:val="004372D3"/>
    <w:rsid w:val="00437AFA"/>
    <w:rsid w:val="0044415C"/>
    <w:rsid w:val="0044549C"/>
    <w:rsid w:val="00446707"/>
    <w:rsid w:val="004554AA"/>
    <w:rsid w:val="00455DDD"/>
    <w:rsid w:val="00456833"/>
    <w:rsid w:val="0046061A"/>
    <w:rsid w:val="004606B5"/>
    <w:rsid w:val="0046269D"/>
    <w:rsid w:val="004676AA"/>
    <w:rsid w:val="00471E7F"/>
    <w:rsid w:val="004758AB"/>
    <w:rsid w:val="00477088"/>
    <w:rsid w:val="00480FEE"/>
    <w:rsid w:val="0048126B"/>
    <w:rsid w:val="004836C9"/>
    <w:rsid w:val="00486180"/>
    <w:rsid w:val="00490861"/>
    <w:rsid w:val="00490C23"/>
    <w:rsid w:val="0049409F"/>
    <w:rsid w:val="00494109"/>
    <w:rsid w:val="00496254"/>
    <w:rsid w:val="004A0205"/>
    <w:rsid w:val="004A1C1A"/>
    <w:rsid w:val="004A6941"/>
    <w:rsid w:val="004B0D60"/>
    <w:rsid w:val="004C2581"/>
    <w:rsid w:val="004C33D6"/>
    <w:rsid w:val="004C5574"/>
    <w:rsid w:val="004C647C"/>
    <w:rsid w:val="004C6609"/>
    <w:rsid w:val="004D08E3"/>
    <w:rsid w:val="004D39FD"/>
    <w:rsid w:val="004D3EBE"/>
    <w:rsid w:val="004D55E5"/>
    <w:rsid w:val="004D570A"/>
    <w:rsid w:val="004D597F"/>
    <w:rsid w:val="004D6016"/>
    <w:rsid w:val="004D6B0E"/>
    <w:rsid w:val="004E14B9"/>
    <w:rsid w:val="004E7632"/>
    <w:rsid w:val="004E77C6"/>
    <w:rsid w:val="004F00AC"/>
    <w:rsid w:val="004F30EB"/>
    <w:rsid w:val="004F634A"/>
    <w:rsid w:val="005005EE"/>
    <w:rsid w:val="00511AFD"/>
    <w:rsid w:val="00515BAF"/>
    <w:rsid w:val="00516DF2"/>
    <w:rsid w:val="005223B3"/>
    <w:rsid w:val="005240FF"/>
    <w:rsid w:val="005255A3"/>
    <w:rsid w:val="00526A5E"/>
    <w:rsid w:val="005331E9"/>
    <w:rsid w:val="00534ED1"/>
    <w:rsid w:val="00534ED4"/>
    <w:rsid w:val="00535F19"/>
    <w:rsid w:val="005365A1"/>
    <w:rsid w:val="0054078E"/>
    <w:rsid w:val="00540850"/>
    <w:rsid w:val="00540F8B"/>
    <w:rsid w:val="00542FB5"/>
    <w:rsid w:val="005439F5"/>
    <w:rsid w:val="00544252"/>
    <w:rsid w:val="00544788"/>
    <w:rsid w:val="00544828"/>
    <w:rsid w:val="00545AB2"/>
    <w:rsid w:val="005468FD"/>
    <w:rsid w:val="00547F99"/>
    <w:rsid w:val="00552242"/>
    <w:rsid w:val="005525CB"/>
    <w:rsid w:val="005553A2"/>
    <w:rsid w:val="0055648F"/>
    <w:rsid w:val="005603F7"/>
    <w:rsid w:val="00561784"/>
    <w:rsid w:val="0056218F"/>
    <w:rsid w:val="00562ECA"/>
    <w:rsid w:val="00563CC5"/>
    <w:rsid w:val="0056678F"/>
    <w:rsid w:val="00571164"/>
    <w:rsid w:val="00571246"/>
    <w:rsid w:val="00582EE8"/>
    <w:rsid w:val="0058539A"/>
    <w:rsid w:val="00585574"/>
    <w:rsid w:val="005856E4"/>
    <w:rsid w:val="005867FD"/>
    <w:rsid w:val="005946C6"/>
    <w:rsid w:val="005956D3"/>
    <w:rsid w:val="005A0CF6"/>
    <w:rsid w:val="005A1AD9"/>
    <w:rsid w:val="005A6CE7"/>
    <w:rsid w:val="005B182F"/>
    <w:rsid w:val="005B20D1"/>
    <w:rsid w:val="005B2C4C"/>
    <w:rsid w:val="005B30C9"/>
    <w:rsid w:val="005B44F6"/>
    <w:rsid w:val="005B5518"/>
    <w:rsid w:val="005B72EB"/>
    <w:rsid w:val="005C3136"/>
    <w:rsid w:val="005C31F0"/>
    <w:rsid w:val="005C4A83"/>
    <w:rsid w:val="005C654B"/>
    <w:rsid w:val="005E004C"/>
    <w:rsid w:val="005E274A"/>
    <w:rsid w:val="005E2CB9"/>
    <w:rsid w:val="005E4D90"/>
    <w:rsid w:val="005E71AF"/>
    <w:rsid w:val="005F3C3A"/>
    <w:rsid w:val="005F451C"/>
    <w:rsid w:val="005F6538"/>
    <w:rsid w:val="005F6F86"/>
    <w:rsid w:val="005F7AF4"/>
    <w:rsid w:val="0060103B"/>
    <w:rsid w:val="006012A7"/>
    <w:rsid w:val="00602F16"/>
    <w:rsid w:val="006175D5"/>
    <w:rsid w:val="00617F01"/>
    <w:rsid w:val="00620459"/>
    <w:rsid w:val="006210E2"/>
    <w:rsid w:val="00622BBE"/>
    <w:rsid w:val="00624007"/>
    <w:rsid w:val="006268EA"/>
    <w:rsid w:val="00627A0F"/>
    <w:rsid w:val="00631B6B"/>
    <w:rsid w:val="0063292C"/>
    <w:rsid w:val="006331AE"/>
    <w:rsid w:val="00637720"/>
    <w:rsid w:val="006379EB"/>
    <w:rsid w:val="00640303"/>
    <w:rsid w:val="006442B0"/>
    <w:rsid w:val="00647FAA"/>
    <w:rsid w:val="00653C60"/>
    <w:rsid w:val="00654B69"/>
    <w:rsid w:val="00656E49"/>
    <w:rsid w:val="0066204B"/>
    <w:rsid w:val="006662E0"/>
    <w:rsid w:val="0066710C"/>
    <w:rsid w:val="0067126D"/>
    <w:rsid w:val="00674D6E"/>
    <w:rsid w:val="00674FDF"/>
    <w:rsid w:val="00675E7D"/>
    <w:rsid w:val="00677088"/>
    <w:rsid w:val="00677C25"/>
    <w:rsid w:val="006824CC"/>
    <w:rsid w:val="00682C1A"/>
    <w:rsid w:val="00683EA9"/>
    <w:rsid w:val="00685463"/>
    <w:rsid w:val="00686A4E"/>
    <w:rsid w:val="00686F5E"/>
    <w:rsid w:val="00687C79"/>
    <w:rsid w:val="00687D21"/>
    <w:rsid w:val="00692F6A"/>
    <w:rsid w:val="00695672"/>
    <w:rsid w:val="00695F85"/>
    <w:rsid w:val="00696469"/>
    <w:rsid w:val="00697DFF"/>
    <w:rsid w:val="006A000C"/>
    <w:rsid w:val="006A02B5"/>
    <w:rsid w:val="006A1A71"/>
    <w:rsid w:val="006A2AA1"/>
    <w:rsid w:val="006A2C95"/>
    <w:rsid w:val="006A4D8E"/>
    <w:rsid w:val="006A545D"/>
    <w:rsid w:val="006A5F2D"/>
    <w:rsid w:val="006A5F74"/>
    <w:rsid w:val="006A6E61"/>
    <w:rsid w:val="006B0B07"/>
    <w:rsid w:val="006B4344"/>
    <w:rsid w:val="006B59C6"/>
    <w:rsid w:val="006B7778"/>
    <w:rsid w:val="006C334D"/>
    <w:rsid w:val="006C4A3B"/>
    <w:rsid w:val="006C7A2A"/>
    <w:rsid w:val="006D27E6"/>
    <w:rsid w:val="006D77C1"/>
    <w:rsid w:val="006E05B4"/>
    <w:rsid w:val="006E147E"/>
    <w:rsid w:val="006E272E"/>
    <w:rsid w:val="006F08F1"/>
    <w:rsid w:val="006F45C5"/>
    <w:rsid w:val="006F4AE8"/>
    <w:rsid w:val="006F5E7E"/>
    <w:rsid w:val="007071DB"/>
    <w:rsid w:val="00707F5A"/>
    <w:rsid w:val="00716CA3"/>
    <w:rsid w:val="007212E9"/>
    <w:rsid w:val="00722213"/>
    <w:rsid w:val="007238A3"/>
    <w:rsid w:val="00723EDE"/>
    <w:rsid w:val="00724CAC"/>
    <w:rsid w:val="007262FB"/>
    <w:rsid w:val="00732388"/>
    <w:rsid w:val="0073298F"/>
    <w:rsid w:val="00733279"/>
    <w:rsid w:val="00736FB0"/>
    <w:rsid w:val="0073738E"/>
    <w:rsid w:val="00740993"/>
    <w:rsid w:val="00742E55"/>
    <w:rsid w:val="00744006"/>
    <w:rsid w:val="007442D4"/>
    <w:rsid w:val="007445BD"/>
    <w:rsid w:val="00744EEB"/>
    <w:rsid w:val="007454D4"/>
    <w:rsid w:val="00745BFA"/>
    <w:rsid w:val="00746772"/>
    <w:rsid w:val="00751AAE"/>
    <w:rsid w:val="00752076"/>
    <w:rsid w:val="00752E7A"/>
    <w:rsid w:val="00756B74"/>
    <w:rsid w:val="00757E43"/>
    <w:rsid w:val="00761C88"/>
    <w:rsid w:val="007659DE"/>
    <w:rsid w:val="007709E5"/>
    <w:rsid w:val="0077626A"/>
    <w:rsid w:val="00781A44"/>
    <w:rsid w:val="00782374"/>
    <w:rsid w:val="007832FD"/>
    <w:rsid w:val="0078589C"/>
    <w:rsid w:val="0079129C"/>
    <w:rsid w:val="00795221"/>
    <w:rsid w:val="00797294"/>
    <w:rsid w:val="007A093D"/>
    <w:rsid w:val="007A213D"/>
    <w:rsid w:val="007A4829"/>
    <w:rsid w:val="007A608B"/>
    <w:rsid w:val="007A6CFC"/>
    <w:rsid w:val="007A6FB0"/>
    <w:rsid w:val="007B1864"/>
    <w:rsid w:val="007B2A71"/>
    <w:rsid w:val="007B38B6"/>
    <w:rsid w:val="007B5F39"/>
    <w:rsid w:val="007B7DBD"/>
    <w:rsid w:val="007C351C"/>
    <w:rsid w:val="007C5B67"/>
    <w:rsid w:val="007D34CE"/>
    <w:rsid w:val="007D3D8F"/>
    <w:rsid w:val="007D589D"/>
    <w:rsid w:val="007D6438"/>
    <w:rsid w:val="007D7724"/>
    <w:rsid w:val="007E2ECB"/>
    <w:rsid w:val="007E3B07"/>
    <w:rsid w:val="007E79C0"/>
    <w:rsid w:val="007F0ED9"/>
    <w:rsid w:val="007F7C34"/>
    <w:rsid w:val="0080128E"/>
    <w:rsid w:val="00804854"/>
    <w:rsid w:val="00806B6B"/>
    <w:rsid w:val="008072F2"/>
    <w:rsid w:val="008074DE"/>
    <w:rsid w:val="00812F09"/>
    <w:rsid w:val="00815B90"/>
    <w:rsid w:val="00816CF8"/>
    <w:rsid w:val="0082028D"/>
    <w:rsid w:val="00824443"/>
    <w:rsid w:val="008245C3"/>
    <w:rsid w:val="00824924"/>
    <w:rsid w:val="00830690"/>
    <w:rsid w:val="00835A33"/>
    <w:rsid w:val="00835DF6"/>
    <w:rsid w:val="00843EC8"/>
    <w:rsid w:val="00846983"/>
    <w:rsid w:val="00847E12"/>
    <w:rsid w:val="0085077C"/>
    <w:rsid w:val="00856C35"/>
    <w:rsid w:val="008572E6"/>
    <w:rsid w:val="00857C51"/>
    <w:rsid w:val="00860D42"/>
    <w:rsid w:val="00862EE7"/>
    <w:rsid w:val="00863888"/>
    <w:rsid w:val="00871231"/>
    <w:rsid w:val="00871E3B"/>
    <w:rsid w:val="00873427"/>
    <w:rsid w:val="00873F47"/>
    <w:rsid w:val="00876F6C"/>
    <w:rsid w:val="008814C7"/>
    <w:rsid w:val="00881637"/>
    <w:rsid w:val="0088222B"/>
    <w:rsid w:val="00883678"/>
    <w:rsid w:val="00883C70"/>
    <w:rsid w:val="00885103"/>
    <w:rsid w:val="008905C0"/>
    <w:rsid w:val="00890E88"/>
    <w:rsid w:val="00891136"/>
    <w:rsid w:val="00891148"/>
    <w:rsid w:val="008937E5"/>
    <w:rsid w:val="00894432"/>
    <w:rsid w:val="008A177D"/>
    <w:rsid w:val="008A616E"/>
    <w:rsid w:val="008B4017"/>
    <w:rsid w:val="008B4692"/>
    <w:rsid w:val="008C0361"/>
    <w:rsid w:val="008C25D2"/>
    <w:rsid w:val="008C6DD1"/>
    <w:rsid w:val="008D0166"/>
    <w:rsid w:val="008D4A3E"/>
    <w:rsid w:val="008D5A7A"/>
    <w:rsid w:val="008E10FD"/>
    <w:rsid w:val="008E2533"/>
    <w:rsid w:val="008E379A"/>
    <w:rsid w:val="008E5777"/>
    <w:rsid w:val="008F1AF9"/>
    <w:rsid w:val="008F6B76"/>
    <w:rsid w:val="008F6DF6"/>
    <w:rsid w:val="0090126C"/>
    <w:rsid w:val="009019D3"/>
    <w:rsid w:val="00901EFD"/>
    <w:rsid w:val="00902C60"/>
    <w:rsid w:val="00902F5F"/>
    <w:rsid w:val="0090353F"/>
    <w:rsid w:val="00903672"/>
    <w:rsid w:val="00904D1F"/>
    <w:rsid w:val="00904FDB"/>
    <w:rsid w:val="0091485F"/>
    <w:rsid w:val="00925161"/>
    <w:rsid w:val="00925221"/>
    <w:rsid w:val="00925455"/>
    <w:rsid w:val="00925EBA"/>
    <w:rsid w:val="00943778"/>
    <w:rsid w:val="00944EB9"/>
    <w:rsid w:val="0094638A"/>
    <w:rsid w:val="009573AB"/>
    <w:rsid w:val="00960878"/>
    <w:rsid w:val="0096346E"/>
    <w:rsid w:val="00965752"/>
    <w:rsid w:val="00970B20"/>
    <w:rsid w:val="0097566E"/>
    <w:rsid w:val="00977961"/>
    <w:rsid w:val="00981E83"/>
    <w:rsid w:val="00990BBB"/>
    <w:rsid w:val="00992395"/>
    <w:rsid w:val="009A0926"/>
    <w:rsid w:val="009B03DA"/>
    <w:rsid w:val="009B7F9A"/>
    <w:rsid w:val="009C002D"/>
    <w:rsid w:val="009C10DC"/>
    <w:rsid w:val="009C169F"/>
    <w:rsid w:val="009C1FE5"/>
    <w:rsid w:val="009C6ABC"/>
    <w:rsid w:val="009C6E5B"/>
    <w:rsid w:val="009D2675"/>
    <w:rsid w:val="009D5BE3"/>
    <w:rsid w:val="009E0969"/>
    <w:rsid w:val="009E1BC3"/>
    <w:rsid w:val="009E3A32"/>
    <w:rsid w:val="009E7EA5"/>
    <w:rsid w:val="009F4918"/>
    <w:rsid w:val="009F59BF"/>
    <w:rsid w:val="009F740A"/>
    <w:rsid w:val="00A01E48"/>
    <w:rsid w:val="00A02887"/>
    <w:rsid w:val="00A079A5"/>
    <w:rsid w:val="00A10E66"/>
    <w:rsid w:val="00A11045"/>
    <w:rsid w:val="00A2220B"/>
    <w:rsid w:val="00A22530"/>
    <w:rsid w:val="00A269C8"/>
    <w:rsid w:val="00A30573"/>
    <w:rsid w:val="00A30FC2"/>
    <w:rsid w:val="00A32D8E"/>
    <w:rsid w:val="00A361C1"/>
    <w:rsid w:val="00A375D8"/>
    <w:rsid w:val="00A37EA7"/>
    <w:rsid w:val="00A406D7"/>
    <w:rsid w:val="00A47445"/>
    <w:rsid w:val="00A512FD"/>
    <w:rsid w:val="00A5279C"/>
    <w:rsid w:val="00A578CE"/>
    <w:rsid w:val="00A61BCA"/>
    <w:rsid w:val="00A660A7"/>
    <w:rsid w:val="00A66812"/>
    <w:rsid w:val="00A73525"/>
    <w:rsid w:val="00A74CAF"/>
    <w:rsid w:val="00A77A63"/>
    <w:rsid w:val="00A84764"/>
    <w:rsid w:val="00A92D61"/>
    <w:rsid w:val="00A959CE"/>
    <w:rsid w:val="00A965B4"/>
    <w:rsid w:val="00AA3395"/>
    <w:rsid w:val="00AA42CB"/>
    <w:rsid w:val="00AA49CF"/>
    <w:rsid w:val="00AA6BF1"/>
    <w:rsid w:val="00AA7534"/>
    <w:rsid w:val="00AB102E"/>
    <w:rsid w:val="00AB2FCF"/>
    <w:rsid w:val="00AB3450"/>
    <w:rsid w:val="00AB3A32"/>
    <w:rsid w:val="00AC09DA"/>
    <w:rsid w:val="00AC15F6"/>
    <w:rsid w:val="00AC2BCF"/>
    <w:rsid w:val="00AC4882"/>
    <w:rsid w:val="00AC681E"/>
    <w:rsid w:val="00AC6A17"/>
    <w:rsid w:val="00AD1182"/>
    <w:rsid w:val="00AD62C2"/>
    <w:rsid w:val="00AD77E1"/>
    <w:rsid w:val="00AE4087"/>
    <w:rsid w:val="00AE63EA"/>
    <w:rsid w:val="00AE72E7"/>
    <w:rsid w:val="00AE77CD"/>
    <w:rsid w:val="00AF13EC"/>
    <w:rsid w:val="00AF2299"/>
    <w:rsid w:val="00AF6799"/>
    <w:rsid w:val="00B00DCB"/>
    <w:rsid w:val="00B042A7"/>
    <w:rsid w:val="00B045B6"/>
    <w:rsid w:val="00B13599"/>
    <w:rsid w:val="00B218DD"/>
    <w:rsid w:val="00B227C9"/>
    <w:rsid w:val="00B2292F"/>
    <w:rsid w:val="00B24483"/>
    <w:rsid w:val="00B2477E"/>
    <w:rsid w:val="00B26C76"/>
    <w:rsid w:val="00B3330B"/>
    <w:rsid w:val="00B33541"/>
    <w:rsid w:val="00B336F4"/>
    <w:rsid w:val="00B344E4"/>
    <w:rsid w:val="00B3534F"/>
    <w:rsid w:val="00B35845"/>
    <w:rsid w:val="00B40430"/>
    <w:rsid w:val="00B40493"/>
    <w:rsid w:val="00B429F7"/>
    <w:rsid w:val="00B43EA3"/>
    <w:rsid w:val="00B4404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6C38"/>
    <w:rsid w:val="00BA03D9"/>
    <w:rsid w:val="00BA0B0F"/>
    <w:rsid w:val="00BA0D0D"/>
    <w:rsid w:val="00BA181D"/>
    <w:rsid w:val="00BB111E"/>
    <w:rsid w:val="00BB2338"/>
    <w:rsid w:val="00BB27B6"/>
    <w:rsid w:val="00BB6151"/>
    <w:rsid w:val="00BC22BD"/>
    <w:rsid w:val="00BC336A"/>
    <w:rsid w:val="00BC625C"/>
    <w:rsid w:val="00BC7135"/>
    <w:rsid w:val="00BD158F"/>
    <w:rsid w:val="00BD4BCF"/>
    <w:rsid w:val="00BE15DF"/>
    <w:rsid w:val="00BE48C7"/>
    <w:rsid w:val="00BE4E71"/>
    <w:rsid w:val="00BE6CBB"/>
    <w:rsid w:val="00BF28F6"/>
    <w:rsid w:val="00BF65B5"/>
    <w:rsid w:val="00BF71BC"/>
    <w:rsid w:val="00C019F6"/>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049"/>
    <w:rsid w:val="00C547C8"/>
    <w:rsid w:val="00C54B35"/>
    <w:rsid w:val="00C569D3"/>
    <w:rsid w:val="00C57426"/>
    <w:rsid w:val="00C6004F"/>
    <w:rsid w:val="00C619E1"/>
    <w:rsid w:val="00C62DA6"/>
    <w:rsid w:val="00C63FB1"/>
    <w:rsid w:val="00C66438"/>
    <w:rsid w:val="00C66708"/>
    <w:rsid w:val="00C741E1"/>
    <w:rsid w:val="00C74569"/>
    <w:rsid w:val="00C807F0"/>
    <w:rsid w:val="00C80FF2"/>
    <w:rsid w:val="00C82429"/>
    <w:rsid w:val="00C8398E"/>
    <w:rsid w:val="00C85528"/>
    <w:rsid w:val="00C93100"/>
    <w:rsid w:val="00C95D6C"/>
    <w:rsid w:val="00C9682D"/>
    <w:rsid w:val="00CA0672"/>
    <w:rsid w:val="00CA3105"/>
    <w:rsid w:val="00CA5584"/>
    <w:rsid w:val="00CA7200"/>
    <w:rsid w:val="00CB0502"/>
    <w:rsid w:val="00CB0F7B"/>
    <w:rsid w:val="00CB258B"/>
    <w:rsid w:val="00CB29B3"/>
    <w:rsid w:val="00CB2BD3"/>
    <w:rsid w:val="00CC11C6"/>
    <w:rsid w:val="00CC31F6"/>
    <w:rsid w:val="00CC5261"/>
    <w:rsid w:val="00CD25CE"/>
    <w:rsid w:val="00CD3F9A"/>
    <w:rsid w:val="00CE1695"/>
    <w:rsid w:val="00CE621D"/>
    <w:rsid w:val="00CF7A96"/>
    <w:rsid w:val="00CF7E9C"/>
    <w:rsid w:val="00CF7FB8"/>
    <w:rsid w:val="00D0241F"/>
    <w:rsid w:val="00D02AEB"/>
    <w:rsid w:val="00D04430"/>
    <w:rsid w:val="00D04F44"/>
    <w:rsid w:val="00D05A2E"/>
    <w:rsid w:val="00D05C89"/>
    <w:rsid w:val="00D10763"/>
    <w:rsid w:val="00D134C8"/>
    <w:rsid w:val="00D22D20"/>
    <w:rsid w:val="00D269E5"/>
    <w:rsid w:val="00D27F38"/>
    <w:rsid w:val="00D31BF8"/>
    <w:rsid w:val="00D31DAD"/>
    <w:rsid w:val="00D338FA"/>
    <w:rsid w:val="00D41C97"/>
    <w:rsid w:val="00D43C58"/>
    <w:rsid w:val="00D55054"/>
    <w:rsid w:val="00D5724B"/>
    <w:rsid w:val="00D57CA7"/>
    <w:rsid w:val="00D660BD"/>
    <w:rsid w:val="00D679FE"/>
    <w:rsid w:val="00D71635"/>
    <w:rsid w:val="00D72C8B"/>
    <w:rsid w:val="00D73E00"/>
    <w:rsid w:val="00D744E9"/>
    <w:rsid w:val="00D7760D"/>
    <w:rsid w:val="00D77D35"/>
    <w:rsid w:val="00D80276"/>
    <w:rsid w:val="00D817E6"/>
    <w:rsid w:val="00D8620F"/>
    <w:rsid w:val="00D86B97"/>
    <w:rsid w:val="00D90571"/>
    <w:rsid w:val="00D90CF3"/>
    <w:rsid w:val="00D9218C"/>
    <w:rsid w:val="00D928ED"/>
    <w:rsid w:val="00D933CF"/>
    <w:rsid w:val="00D94ACA"/>
    <w:rsid w:val="00D95CD5"/>
    <w:rsid w:val="00DA1887"/>
    <w:rsid w:val="00DA1D05"/>
    <w:rsid w:val="00DA26B8"/>
    <w:rsid w:val="00DA5611"/>
    <w:rsid w:val="00DB27A4"/>
    <w:rsid w:val="00DB3D52"/>
    <w:rsid w:val="00DB5C64"/>
    <w:rsid w:val="00DB62D5"/>
    <w:rsid w:val="00DB6869"/>
    <w:rsid w:val="00DC0A13"/>
    <w:rsid w:val="00DC3514"/>
    <w:rsid w:val="00DD0E97"/>
    <w:rsid w:val="00DD3632"/>
    <w:rsid w:val="00DD37D0"/>
    <w:rsid w:val="00DE197E"/>
    <w:rsid w:val="00DE2068"/>
    <w:rsid w:val="00DE4EEE"/>
    <w:rsid w:val="00DF1A22"/>
    <w:rsid w:val="00DF5206"/>
    <w:rsid w:val="00DF78FD"/>
    <w:rsid w:val="00DF7D7D"/>
    <w:rsid w:val="00E00AD9"/>
    <w:rsid w:val="00E0348F"/>
    <w:rsid w:val="00E0453E"/>
    <w:rsid w:val="00E05D31"/>
    <w:rsid w:val="00E11E7B"/>
    <w:rsid w:val="00E17FC8"/>
    <w:rsid w:val="00E20E7C"/>
    <w:rsid w:val="00E21FA3"/>
    <w:rsid w:val="00E23EE5"/>
    <w:rsid w:val="00E24F9F"/>
    <w:rsid w:val="00E27A82"/>
    <w:rsid w:val="00E32F6A"/>
    <w:rsid w:val="00E32F9C"/>
    <w:rsid w:val="00E33807"/>
    <w:rsid w:val="00E35DF1"/>
    <w:rsid w:val="00E4139C"/>
    <w:rsid w:val="00E53212"/>
    <w:rsid w:val="00E5370A"/>
    <w:rsid w:val="00E566C0"/>
    <w:rsid w:val="00E707A1"/>
    <w:rsid w:val="00E71DC6"/>
    <w:rsid w:val="00E8197B"/>
    <w:rsid w:val="00E83167"/>
    <w:rsid w:val="00E849A1"/>
    <w:rsid w:val="00E85700"/>
    <w:rsid w:val="00E86DB4"/>
    <w:rsid w:val="00E8752C"/>
    <w:rsid w:val="00E87818"/>
    <w:rsid w:val="00E95F7F"/>
    <w:rsid w:val="00E9764F"/>
    <w:rsid w:val="00EA015E"/>
    <w:rsid w:val="00EA32E1"/>
    <w:rsid w:val="00EA7794"/>
    <w:rsid w:val="00EA7B93"/>
    <w:rsid w:val="00EB26F5"/>
    <w:rsid w:val="00EC0528"/>
    <w:rsid w:val="00EC2882"/>
    <w:rsid w:val="00EC46D5"/>
    <w:rsid w:val="00EC6312"/>
    <w:rsid w:val="00ED0D63"/>
    <w:rsid w:val="00ED1288"/>
    <w:rsid w:val="00ED224E"/>
    <w:rsid w:val="00ED26C3"/>
    <w:rsid w:val="00ED3DBB"/>
    <w:rsid w:val="00ED57C6"/>
    <w:rsid w:val="00ED58C3"/>
    <w:rsid w:val="00ED5E28"/>
    <w:rsid w:val="00ED728A"/>
    <w:rsid w:val="00EE55C9"/>
    <w:rsid w:val="00EE5794"/>
    <w:rsid w:val="00EE62F6"/>
    <w:rsid w:val="00EE7FF1"/>
    <w:rsid w:val="00EF13FE"/>
    <w:rsid w:val="00EF1F88"/>
    <w:rsid w:val="00EF23CC"/>
    <w:rsid w:val="00EF4676"/>
    <w:rsid w:val="00F1041A"/>
    <w:rsid w:val="00F147D1"/>
    <w:rsid w:val="00F2579D"/>
    <w:rsid w:val="00F274F6"/>
    <w:rsid w:val="00F3226C"/>
    <w:rsid w:val="00F333C8"/>
    <w:rsid w:val="00F37CEF"/>
    <w:rsid w:val="00F44539"/>
    <w:rsid w:val="00F445A8"/>
    <w:rsid w:val="00F44CDE"/>
    <w:rsid w:val="00F46C3B"/>
    <w:rsid w:val="00F526FB"/>
    <w:rsid w:val="00F53877"/>
    <w:rsid w:val="00F539AF"/>
    <w:rsid w:val="00F53D05"/>
    <w:rsid w:val="00F555E8"/>
    <w:rsid w:val="00F56E98"/>
    <w:rsid w:val="00F60E4A"/>
    <w:rsid w:val="00F615B2"/>
    <w:rsid w:val="00F62BE3"/>
    <w:rsid w:val="00F65FF9"/>
    <w:rsid w:val="00F75E5F"/>
    <w:rsid w:val="00F81A81"/>
    <w:rsid w:val="00F81DF1"/>
    <w:rsid w:val="00F85F23"/>
    <w:rsid w:val="00F86140"/>
    <w:rsid w:val="00F91DBF"/>
    <w:rsid w:val="00F966C0"/>
    <w:rsid w:val="00F977DE"/>
    <w:rsid w:val="00FA6D36"/>
    <w:rsid w:val="00FB0D61"/>
    <w:rsid w:val="00FB1885"/>
    <w:rsid w:val="00FB3610"/>
    <w:rsid w:val="00FB3A47"/>
    <w:rsid w:val="00FB5A13"/>
    <w:rsid w:val="00FC0E51"/>
    <w:rsid w:val="00FC1E6C"/>
    <w:rsid w:val="00FC4371"/>
    <w:rsid w:val="00FC45E8"/>
    <w:rsid w:val="00FC5621"/>
    <w:rsid w:val="00FC58D9"/>
    <w:rsid w:val="00FC5B4C"/>
    <w:rsid w:val="00FD0DD8"/>
    <w:rsid w:val="00FD6729"/>
    <w:rsid w:val="00FD6FC9"/>
    <w:rsid w:val="00FD7155"/>
    <w:rsid w:val="00FE1840"/>
    <w:rsid w:val="00FE2120"/>
    <w:rsid w:val="00FE38E2"/>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paragraph" w:styleId="Prrafodelista">
    <w:name w:val="List Paragraph"/>
    <w:basedOn w:val="Normal"/>
    <w:uiPriority w:val="34"/>
    <w:qFormat/>
    <w:rsid w:val="00136931"/>
    <w:pPr>
      <w:ind w:left="720"/>
      <w:contextualSpacing/>
    </w:pPr>
  </w:style>
  <w:style w:type="paragraph" w:styleId="NormalWeb">
    <w:name w:val="Normal (Web)"/>
    <w:basedOn w:val="Normal"/>
    <w:uiPriority w:val="99"/>
    <w:semiHidden/>
    <w:unhideWhenUsed/>
    <w:rsid w:val="00970B2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495076102">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58395735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1201</Words>
  <Characters>6610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Sonia Pérez Chacón</cp:lastModifiedBy>
  <cp:revision>19</cp:revision>
  <cp:lastPrinted>2022-05-19T21:41:00Z</cp:lastPrinted>
  <dcterms:created xsi:type="dcterms:W3CDTF">2022-05-19T20:31:00Z</dcterms:created>
  <dcterms:modified xsi:type="dcterms:W3CDTF">2022-05-19T21:41:00Z</dcterms:modified>
</cp:coreProperties>
</file>