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9E34A1">
        <w:rPr>
          <w:rFonts w:ascii="Century Gothic" w:hAnsi="Century Gothic"/>
          <w:b/>
          <w:sz w:val="25"/>
          <w:szCs w:val="25"/>
          <w:lang w:val="es-MX"/>
        </w:rPr>
        <w:t>RFLIM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963D69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0F38E2" w:rsidRDefault="00157EF4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0B42A7" w:rsidRPr="009E34A1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9E34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9E34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9E34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0F38E2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0F38E2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0F38E2">
        <w:rPr>
          <w:rFonts w:ascii="Century Gothic" w:eastAsia="Yu Gothic UI Light" w:hAnsi="Century Gothic" w:cs="Arial"/>
          <w:sz w:val="24"/>
          <w:szCs w:val="24"/>
          <w:lang w:val="es-MX" w:eastAsia="en-US"/>
        </w:rPr>
        <w:t>Se reforma la fracción VII, apartados P y T; la fracción X, apartado A</w:t>
      </w:r>
      <w:r>
        <w:rPr>
          <w:rFonts w:ascii="Century Gothic" w:eastAsia="Yu Gothic UI Light" w:hAnsi="Century Gothic" w:cs="Arial"/>
          <w:sz w:val="24"/>
          <w:szCs w:val="24"/>
          <w:lang w:val="es-MX" w:eastAsia="en-US"/>
        </w:rPr>
        <w:t>;</w:t>
      </w:r>
      <w:r w:rsidRPr="000F38E2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y se adiciona la fracción VII, con el apartado Q, y la fracción X, con el apartado D, de la Tarifa de Derechos; todos de la Ley de Ingresos del Municipio de Camargo, para el ejercicio fiscal 2022, para quedar en los siguientes términos:</w:t>
      </w: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Yu Gothic UI Light" w:hAnsi="Century Gothic" w:cs="Arial"/>
          <w:sz w:val="22"/>
          <w:szCs w:val="24"/>
          <w:lang w:val="es-MX" w:eastAsia="en-US"/>
        </w:rPr>
      </w:pPr>
    </w:p>
    <w:p w:rsidR="000F38E2" w:rsidRPr="000F38E2" w:rsidRDefault="000F38E2" w:rsidP="000F38E2">
      <w:pPr>
        <w:spacing w:line="322" w:lineRule="auto"/>
        <w:contextualSpacing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n-US"/>
        </w:rPr>
      </w:pP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n-US"/>
        </w:rPr>
        <w:t>T A R I F A</w:t>
      </w:r>
    </w:p>
    <w:p w:rsidR="000F38E2" w:rsidRPr="000F38E2" w:rsidRDefault="000F38E2" w:rsidP="000F38E2">
      <w:pPr>
        <w:spacing w:line="322" w:lineRule="auto"/>
        <w:contextualSpacing/>
        <w:jc w:val="center"/>
        <w:rPr>
          <w:rFonts w:ascii="Century Gothic" w:eastAsia="Arial" w:hAnsi="Century Gothic" w:cs="Arial"/>
          <w:b/>
          <w:bCs/>
          <w:color w:val="000000"/>
          <w:sz w:val="22"/>
          <w:szCs w:val="24"/>
          <w:lang w:val="en-US"/>
        </w:rPr>
      </w:pP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n-US"/>
        </w:rPr>
      </w:pP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n-US"/>
        </w:rPr>
        <w:t>…</w:t>
      </w: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/>
          <w:bCs/>
          <w:color w:val="000000"/>
          <w:sz w:val="22"/>
          <w:szCs w:val="24"/>
          <w:lang w:val="en-US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n-US"/>
        </w:rPr>
      </w:pP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n-US"/>
        </w:rPr>
        <w:t xml:space="preserve">I. 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n-US"/>
        </w:rPr>
        <w:t>a</w:t>
      </w: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n-US"/>
        </w:rPr>
        <w:t xml:space="preserve"> VI. 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n-US"/>
        </w:rPr>
        <w:t>…</w:t>
      </w: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2"/>
          <w:szCs w:val="24"/>
          <w:lang w:val="en-US"/>
        </w:rPr>
      </w:pP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VII</w:t>
      </w:r>
      <w:proofErr w:type="gramStart"/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.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…</w:t>
      </w:r>
      <w:proofErr w:type="gramEnd"/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2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A. a O</w:t>
      </w:r>
      <w:proofErr w:type="gramStart"/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. …</w:t>
      </w:r>
      <w:proofErr w:type="gramEnd"/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2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proofErr w:type="gramStart"/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P.</w:t>
      </w:r>
      <w:r w:rsidRPr="000F38E2">
        <w:rPr>
          <w:rFonts w:ascii="Century Gothic" w:eastAsia="Century Gothic" w:hAnsi="Century Gothic" w:cs="Arial"/>
          <w:sz w:val="24"/>
          <w:szCs w:val="24"/>
          <w:lang w:val="es-MX" w:eastAsia="es-MX"/>
        </w:rPr>
        <w:t xml:space="preserve"> 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  <w:proofErr w:type="gramEnd"/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0F38E2" w:rsidRPr="000F38E2" w:rsidTr="00EA7FD7">
        <w:tc>
          <w:tcPr>
            <w:tcW w:w="6912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 xml:space="preserve">1. Negocios comerciales de hasta 200 </w:t>
            </w:r>
            <w:proofErr w:type="spellStart"/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$1,974.00</w:t>
            </w:r>
          </w:p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0F38E2" w:rsidRPr="000F38E2" w:rsidTr="00EA7FD7">
        <w:tc>
          <w:tcPr>
            <w:tcW w:w="6912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 xml:space="preserve">2. Negocios comerciales de más de 200 </w:t>
            </w:r>
            <w:proofErr w:type="spellStart"/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$2,702.00</w:t>
            </w:r>
          </w:p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0F38E2" w:rsidRPr="000F38E2" w:rsidTr="00EA7FD7">
        <w:tc>
          <w:tcPr>
            <w:tcW w:w="6912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>3. Negocios naves industriales</w:t>
            </w:r>
          </w:p>
        </w:tc>
        <w:tc>
          <w:tcPr>
            <w:tcW w:w="198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$3,172.00</w:t>
            </w:r>
          </w:p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0F38E2" w:rsidRPr="000F38E2" w:rsidTr="00EA7FD7">
        <w:tc>
          <w:tcPr>
            <w:tcW w:w="6912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>Q. Renovación de licencia de funcionamiento de negocios, trámite antes de la fecha de vencimiento de la constancia</w:t>
            </w:r>
          </w:p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0F38E2" w:rsidRPr="000F38E2" w:rsidTr="00EA7FD7">
        <w:tc>
          <w:tcPr>
            <w:tcW w:w="6912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 xml:space="preserve">1. Negocios comerciales de hasta 200 </w:t>
            </w:r>
            <w:proofErr w:type="spellStart"/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>$1</w:t>
            </w:r>
            <w:r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>,</w:t>
            </w:r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>184.00</w:t>
            </w:r>
          </w:p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0F38E2" w:rsidRPr="000F38E2" w:rsidTr="00EA7FD7">
        <w:tc>
          <w:tcPr>
            <w:tcW w:w="6912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 xml:space="preserve">2. Negocios comerciales de más de 200 </w:t>
            </w:r>
            <w:proofErr w:type="spellStart"/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>m2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</w:rPr>
              <w:t>$1,703.00</w:t>
            </w:r>
          </w:p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</w:tr>
      <w:tr w:rsidR="000F38E2" w:rsidRPr="000F38E2" w:rsidTr="00EA7FD7">
        <w:tc>
          <w:tcPr>
            <w:tcW w:w="6912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entury Gothic" w:hAnsi="Century Gothic" w:cs="Arial"/>
                <w:b/>
                <w:color w:val="000000"/>
                <w:sz w:val="24"/>
                <w:szCs w:val="24"/>
              </w:rPr>
              <w:t>3. Negocios naves industriales</w:t>
            </w:r>
          </w:p>
        </w:tc>
        <w:tc>
          <w:tcPr>
            <w:tcW w:w="198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F38E2">
              <w:rPr>
                <w:rFonts w:ascii="Century Gothic" w:eastAsia="Calibri" w:hAnsi="Century Gothic" w:cs="Arial"/>
                <w:b/>
                <w:color w:val="000000"/>
                <w:sz w:val="24"/>
                <w:szCs w:val="24"/>
              </w:rPr>
              <w:t>$1,999.00</w:t>
            </w:r>
          </w:p>
        </w:tc>
      </w:tr>
    </w:tbl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R. y S</w:t>
      </w:r>
      <w:proofErr w:type="gramStart"/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. …</w:t>
      </w:r>
      <w:proofErr w:type="gramEnd"/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F38E2" w:rsidRPr="000F38E2" w:rsidTr="00EA7FD7">
        <w:tc>
          <w:tcPr>
            <w:tcW w:w="4489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rPr>
                <w:rFonts w:ascii="Century Gothic" w:eastAsia="Arial" w:hAnsi="Century Gothic" w:cs="Arial"/>
                <w:bCs/>
                <w:color w:val="000000"/>
                <w:sz w:val="24"/>
                <w:szCs w:val="24"/>
                <w:lang w:val="es-MX"/>
              </w:rPr>
            </w:pPr>
            <w:proofErr w:type="gramStart"/>
            <w:r w:rsidRPr="000F38E2">
              <w:rPr>
                <w:rFonts w:ascii="Century Gothic" w:eastAsia="Arial" w:hAnsi="Century Gothic" w:cs="Arial"/>
                <w:bCs/>
                <w:color w:val="000000"/>
                <w:sz w:val="24"/>
                <w:szCs w:val="24"/>
                <w:lang w:val="es-MX"/>
              </w:rPr>
              <w:t>T. …</w:t>
            </w:r>
            <w:proofErr w:type="gramEnd"/>
          </w:p>
        </w:tc>
        <w:tc>
          <w:tcPr>
            <w:tcW w:w="4489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right"/>
              <w:rPr>
                <w:rFonts w:ascii="Century Gothic" w:eastAsia="Arial" w:hAnsi="Century Gothic" w:cs="Arial"/>
                <w:bCs/>
                <w:color w:val="000000"/>
                <w:sz w:val="24"/>
                <w:szCs w:val="24"/>
                <w:lang w:val="es-MX"/>
              </w:rPr>
            </w:pPr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>$448.00</w:t>
            </w:r>
          </w:p>
        </w:tc>
      </w:tr>
    </w:tbl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U. a AA</w:t>
      </w:r>
      <w:proofErr w:type="gramStart"/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. …</w:t>
      </w:r>
      <w:proofErr w:type="gramEnd"/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VIII. 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y</w:t>
      </w: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 IX. 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</w:pPr>
      <w:proofErr w:type="gramStart"/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lastRenderedPageBreak/>
        <w:t>X.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 </w:t>
      </w: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>…</w:t>
      </w:r>
      <w:proofErr w:type="gramEnd"/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 xml:space="preserve">A. Establecimientos comerciales e industriales, </w:t>
      </w:r>
      <w:r w:rsidRPr="000F38E2">
        <w:rPr>
          <w:rFonts w:ascii="Century Gothic" w:eastAsia="Arial" w:hAnsi="Century Gothic" w:cs="Arial"/>
          <w:b/>
          <w:bCs/>
          <w:color w:val="000000"/>
          <w:sz w:val="24"/>
          <w:szCs w:val="24"/>
          <w:lang w:val="es-MX"/>
        </w:rPr>
        <w:t xml:space="preserve">mensual                             </w:t>
      </w: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…</w:t>
      </w: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B y C</w:t>
      </w:r>
      <w:proofErr w:type="gramStart"/>
      <w:r w:rsidRPr="000F38E2"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  <w:t>. …</w:t>
      </w:r>
      <w:proofErr w:type="gramEnd"/>
    </w:p>
    <w:p w:rsidR="000F38E2" w:rsidRPr="000F38E2" w:rsidRDefault="000F38E2" w:rsidP="000F38E2">
      <w:pPr>
        <w:spacing w:line="322" w:lineRule="auto"/>
        <w:contextualSpacing/>
        <w:rPr>
          <w:rFonts w:ascii="Century Gothic" w:eastAsia="Arial" w:hAnsi="Century Gothic" w:cs="Arial"/>
          <w:bCs/>
          <w:color w:val="000000"/>
          <w:sz w:val="24"/>
          <w:szCs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633"/>
      </w:tblGrid>
      <w:tr w:rsidR="000F38E2" w:rsidRPr="000F38E2" w:rsidTr="00EA7FD7">
        <w:tc>
          <w:tcPr>
            <w:tcW w:w="6345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ind w:right="459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>D. Multa a los usuarios e industriales que dispongan basura con residuos peligrosos, químicos, biológico infecciosos y/o inflamables.</w:t>
            </w:r>
          </w:p>
        </w:tc>
        <w:tc>
          <w:tcPr>
            <w:tcW w:w="2633" w:type="dxa"/>
            <w:shd w:val="clear" w:color="auto" w:fill="auto"/>
          </w:tcPr>
          <w:p w:rsidR="000F38E2" w:rsidRPr="000F38E2" w:rsidRDefault="000F38E2" w:rsidP="000F38E2">
            <w:pPr>
              <w:spacing w:line="322" w:lineRule="auto"/>
              <w:contextualSpacing/>
              <w:jc w:val="both"/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</w:pPr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 xml:space="preserve">100-500 </w:t>
            </w:r>
            <w:proofErr w:type="spellStart"/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>UMAS</w:t>
            </w:r>
            <w:proofErr w:type="spellEnd"/>
            <w:r w:rsidRPr="000F38E2">
              <w:rPr>
                <w:rFonts w:ascii="Century Gothic" w:eastAsia="Arial" w:hAnsi="Century Gothic" w:cs="Arial"/>
                <w:b/>
                <w:bCs/>
                <w:color w:val="000000"/>
                <w:sz w:val="24"/>
                <w:szCs w:val="24"/>
                <w:lang w:val="es-MX"/>
              </w:rPr>
              <w:t xml:space="preserve"> (el cual se determinará según el riesgo del daño).</w:t>
            </w:r>
          </w:p>
        </w:tc>
      </w:tr>
    </w:tbl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Arial" w:hAnsi="Century Gothic" w:cs="Arial"/>
          <w:b/>
          <w:bCs/>
          <w:sz w:val="24"/>
          <w:szCs w:val="24"/>
          <w:lang w:val="es-MX" w:eastAsia="en-US"/>
        </w:rPr>
      </w:pP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Calibri" w:hAnsi="Century Gothic"/>
          <w:b/>
          <w:sz w:val="24"/>
          <w:szCs w:val="24"/>
          <w:lang w:val="en-US" w:eastAsia="es-MX"/>
        </w:rPr>
      </w:pPr>
      <w:r w:rsidRPr="000F38E2">
        <w:rPr>
          <w:rFonts w:ascii="Century Gothic" w:eastAsia="Arial" w:hAnsi="Century Gothic" w:cs="Arial"/>
          <w:b/>
          <w:bCs/>
          <w:sz w:val="24"/>
          <w:szCs w:val="24"/>
          <w:lang w:val="en-US" w:eastAsia="en-US"/>
        </w:rPr>
        <w:t xml:space="preserve">XI. </w:t>
      </w:r>
      <w:r w:rsidRPr="000F38E2">
        <w:rPr>
          <w:rFonts w:ascii="Century Gothic" w:eastAsia="Arial" w:hAnsi="Century Gothic" w:cs="Arial"/>
          <w:bCs/>
          <w:sz w:val="24"/>
          <w:szCs w:val="24"/>
          <w:lang w:val="en-US" w:eastAsia="en-US"/>
        </w:rPr>
        <w:t>…</w:t>
      </w:r>
    </w:p>
    <w:p w:rsidR="000F38E2" w:rsidRPr="000F38E2" w:rsidRDefault="000F38E2" w:rsidP="000F38E2">
      <w:pPr>
        <w:spacing w:line="322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n-US" w:eastAsia="en-US"/>
        </w:rPr>
      </w:pPr>
    </w:p>
    <w:p w:rsidR="000F38E2" w:rsidRPr="000F38E2" w:rsidRDefault="000F38E2" w:rsidP="000F38E2">
      <w:pPr>
        <w:spacing w:line="322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n-US" w:eastAsia="en-US"/>
        </w:rPr>
      </w:pPr>
      <w:r w:rsidRPr="000F38E2">
        <w:rPr>
          <w:rFonts w:ascii="Century Gothic" w:eastAsia="Calibri" w:hAnsi="Century Gothic" w:cs="Arial"/>
          <w:b/>
          <w:sz w:val="28"/>
          <w:szCs w:val="24"/>
          <w:lang w:val="en-US" w:eastAsia="en-US"/>
        </w:rPr>
        <w:t xml:space="preserve">T R A N S I T O R I O </w:t>
      </w:r>
    </w:p>
    <w:p w:rsidR="000F38E2" w:rsidRPr="000F38E2" w:rsidRDefault="000F38E2" w:rsidP="000F38E2">
      <w:pPr>
        <w:spacing w:line="322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0F38E2" w:rsidRPr="000F38E2" w:rsidRDefault="000F38E2" w:rsidP="000F38E2">
      <w:pPr>
        <w:spacing w:line="322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0F38E2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0F38E2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9E34A1" w:rsidRPr="000F38E2" w:rsidRDefault="009E34A1" w:rsidP="000F38E2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0F38E2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9E34A1">
        <w:rPr>
          <w:rFonts w:ascii="Century Gothic" w:hAnsi="Century Gothic"/>
          <w:szCs w:val="24"/>
        </w:rPr>
        <w:t>veintinueve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E34A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Pr="005C31F0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9E34A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9E34A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ARELLANES AVITIA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102E7C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95" w:rsidRDefault="00813E95">
      <w:r>
        <w:separator/>
      </w:r>
    </w:p>
  </w:endnote>
  <w:endnote w:type="continuationSeparator" w:id="0">
    <w:p w:rsidR="00813E95" w:rsidRDefault="0081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2E7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95" w:rsidRDefault="00813E95">
      <w:r>
        <w:separator/>
      </w:r>
    </w:p>
  </w:footnote>
  <w:footnote w:type="continuationSeparator" w:id="0">
    <w:p w:rsidR="00813E95" w:rsidRDefault="0081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9E34A1">
      <w:rPr>
        <w:rFonts w:ascii="Century Gothic" w:hAnsi="Century Gothic"/>
        <w:b/>
        <w:sz w:val="24"/>
        <w:szCs w:val="24"/>
        <w:lang w:val="es-MX"/>
      </w:rPr>
      <w:t>RFLIM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963D69">
      <w:rPr>
        <w:rFonts w:ascii="Century Gothic" w:hAnsi="Century Gothic"/>
        <w:b/>
        <w:sz w:val="24"/>
        <w:szCs w:val="24"/>
        <w:lang w:val="es-MX"/>
      </w:rPr>
      <w:t>8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0F38E2"/>
    <w:rsid w:val="00102E7C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3E95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3D69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34A1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07E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D20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131</cp:revision>
  <cp:lastPrinted>2022-03-29T20:16:00Z</cp:lastPrinted>
  <dcterms:created xsi:type="dcterms:W3CDTF">2021-10-05T18:17:00Z</dcterms:created>
  <dcterms:modified xsi:type="dcterms:W3CDTF">2022-03-29T20:16:00Z</dcterms:modified>
</cp:coreProperties>
</file>