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9E34A1">
        <w:rPr>
          <w:rFonts w:ascii="Century Gothic" w:hAnsi="Century Gothic"/>
          <w:b/>
          <w:sz w:val="25"/>
          <w:szCs w:val="25"/>
          <w:lang w:val="es-MX"/>
        </w:rPr>
        <w:t>RFLIM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02AEB">
        <w:rPr>
          <w:rFonts w:ascii="Century Gothic" w:hAnsi="Century Gothic"/>
          <w:b/>
          <w:sz w:val="25"/>
          <w:szCs w:val="25"/>
          <w:lang w:val="es-MX"/>
        </w:rPr>
        <w:t>2</w:t>
      </w:r>
      <w:r w:rsidR="0043078F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E34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B42A7" w:rsidRPr="009E34A1" w:rsidRDefault="000B42A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9E34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9E34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9E34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>ARTÍCULO ÚNICO.-</w:t>
      </w:r>
      <w:r w:rsidRPr="00D81CE7">
        <w:rPr>
          <w:rFonts w:ascii="Century Gothic" w:eastAsia="Yu Gothic UI Light" w:hAnsi="Century Gothic" w:cs="Arial"/>
          <w:sz w:val="28"/>
          <w:szCs w:val="24"/>
          <w:lang w:val="es-MX" w:eastAsia="en-US"/>
        </w:rPr>
        <w:t xml:space="preserve"> </w:t>
      </w:r>
      <w:r w:rsidRPr="00D81CE7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Se adiciona el Artículo Primero, fracción II, numeral 8, con un inciso d); así como la Tarifa de Derechos, fracción II, en el apartado II.6, con un numeral 15, y un apartado II.17., de la 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Ley de Ingresos del Municipio de Bocoyna, para el Ejercicio Fiscal 2022,</w:t>
      </w:r>
      <w:r w:rsidRPr="00D81CE7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para quedar en los siguientes términos: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ARTÍCULO PRIMERO.- 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…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I.- 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…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II.- 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…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1.- al 7.- ….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8.- … 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18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ind w:left="142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lastRenderedPageBreak/>
        <w:t>a) al c) …</w:t>
      </w:r>
    </w:p>
    <w:p w:rsidR="00D81CE7" w:rsidRPr="00D81CE7" w:rsidRDefault="00D81CE7" w:rsidP="00D81CE7">
      <w:pPr>
        <w:spacing w:line="336" w:lineRule="auto"/>
        <w:ind w:left="142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ind w:left="142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d)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Alumbrado Público.</w:t>
      </w:r>
    </w:p>
    <w:p w:rsidR="00D81CE7" w:rsidRPr="00D81CE7" w:rsidRDefault="00D81CE7" w:rsidP="00D81CE7">
      <w:pPr>
        <w:spacing w:line="336" w:lineRule="auto"/>
        <w:ind w:left="142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9.- y 10.- …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III.- 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VIII.- 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center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T A R I F A</w:t>
      </w:r>
    </w:p>
    <w:p w:rsidR="00D81CE7" w:rsidRPr="00D81CE7" w:rsidRDefault="00D81CE7" w:rsidP="00D81CE7">
      <w:pPr>
        <w:spacing w:line="336" w:lineRule="auto"/>
        <w:contextualSpacing/>
        <w:jc w:val="center"/>
        <w:rPr>
          <w:rFonts w:ascii="Century Gothic" w:eastAsia="Calibri" w:hAnsi="Century Gothic" w:cs="Arial"/>
          <w:b/>
          <w:sz w:val="18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…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II.- 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…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II.1</w:t>
      </w:r>
      <w:r w:rsidR="00684C5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.</w:t>
      </w: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- 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II.5.- 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…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II.6.- … 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1.- a 14.- …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4"/>
      </w:tblGrid>
      <w:tr w:rsidR="00D81CE7" w:rsidRPr="00D81CE7" w:rsidTr="00EA7FD7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D81CE7" w:rsidRPr="00D81CE7" w:rsidRDefault="00D81CE7" w:rsidP="00D81CE7">
            <w:pPr>
              <w:spacing w:line="336" w:lineRule="auto"/>
              <w:ind w:left="72"/>
              <w:contextualSpacing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</w:pPr>
            <w:r w:rsidRPr="00D81CE7">
              <w:rPr>
                <w:rFonts w:ascii="Century Gothic" w:eastAsia="Calibri" w:hAnsi="Century Gothic" w:cs="Arial"/>
                <w:b/>
                <w:bCs/>
                <w:sz w:val="24"/>
                <w:szCs w:val="24"/>
                <w:lang w:val="es-MX" w:eastAsia="en-US"/>
              </w:rPr>
              <w:t>15.-</w:t>
            </w:r>
            <w:r w:rsidRPr="00D81CE7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 xml:space="preserve"> </w:t>
            </w:r>
            <w:r w:rsidRPr="00D81CE7">
              <w:rPr>
                <w:rFonts w:ascii="Century Gothic" w:eastAsia="Calibri" w:hAnsi="Century Gothic" w:cs="Arial"/>
                <w:b/>
                <w:bCs/>
                <w:sz w:val="24"/>
                <w:szCs w:val="24"/>
                <w:lang w:val="es-MX" w:eastAsia="en-US"/>
              </w:rPr>
              <w:t>Constancia de Zonificación</w:t>
            </w:r>
            <w:r w:rsidRPr="00D81CE7">
              <w:rPr>
                <w:rFonts w:ascii="Century Gothic" w:eastAsia="Calibri" w:hAnsi="Century Gothic" w:cs="Arial"/>
                <w:sz w:val="24"/>
                <w:szCs w:val="24"/>
                <w:lang w:val="es-MX"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81CE7" w:rsidRPr="00D81CE7" w:rsidRDefault="00D81CE7" w:rsidP="00D81CE7">
            <w:pPr>
              <w:spacing w:line="336" w:lineRule="auto"/>
              <w:contextualSpacing/>
              <w:jc w:val="right"/>
              <w:rPr>
                <w:rFonts w:ascii="Century Gothic" w:eastAsia="Calibri" w:hAnsi="Century Gothic" w:cs="Arial"/>
                <w:b/>
                <w:bCs/>
                <w:sz w:val="24"/>
                <w:szCs w:val="24"/>
                <w:lang w:val="es-MX" w:eastAsia="en-US"/>
              </w:rPr>
            </w:pPr>
            <w:r w:rsidRPr="00D81CE7">
              <w:rPr>
                <w:rFonts w:ascii="Century Gothic" w:eastAsia="Calibri" w:hAnsi="Century Gothic" w:cs="Arial"/>
                <w:b/>
                <w:bCs/>
                <w:sz w:val="24"/>
                <w:szCs w:val="24"/>
                <w:lang w:val="es-MX" w:eastAsia="en-US"/>
              </w:rPr>
              <w:t>$445.00</w:t>
            </w:r>
          </w:p>
        </w:tc>
      </w:tr>
    </w:tbl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II.7</w:t>
      </w:r>
      <w:r w:rsidR="00684C5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.</w:t>
      </w: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- 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II.16.- </w:t>
      </w:r>
      <w:r w:rsidRPr="00D81CE7">
        <w:rPr>
          <w:rFonts w:ascii="Century Gothic" w:eastAsia="Calibri" w:hAnsi="Century Gothic" w:cs="Arial"/>
          <w:sz w:val="24"/>
          <w:szCs w:val="24"/>
          <w:lang w:val="es-MX" w:eastAsia="en-US"/>
        </w:rPr>
        <w:t>…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lastRenderedPageBreak/>
        <w:t>II.17.- Alumbrado Público.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2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El Municipio de Bocoyna percibirá ingresos mensuales o bimestrales por el Derecho de Alumbrado Público (DAP), en los términos de los artículos 175 y 176 del Código Municipal para el Estado de Chihuahua. 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2"/>
          <w:szCs w:val="24"/>
          <w:lang w:val="es-MX" w:eastAsia="en-US"/>
        </w:rPr>
      </w:pP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Para la determinación de la cuota se tomó en cuenta el costo que representa la prestación del servicio de alumbrado público del Municipio de Bocoyna, y además la cuota será fija e igual para todos los beneficiarios,</w:t>
      </w:r>
      <w:r w:rsidR="00B039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l</w:t>
      </w:r>
      <w:r w:rsidR="008A6149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a</w:t>
      </w:r>
      <w:r w:rsidR="00B039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cual deberán pagar</w:t>
      </w:r>
      <w:r w:rsidRPr="00D81CE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simultáneamente en el recibo que expida la Comisión Federal de Electricidad, en los términos del convenio que se establezca con la citada Comisión y de conformidad con la siguiente tabla: </w:t>
      </w:r>
    </w:p>
    <w:p w:rsidR="00D81CE7" w:rsidRPr="00D81CE7" w:rsidRDefault="00D81CE7" w:rsidP="00D81CE7">
      <w:pPr>
        <w:spacing w:line="336" w:lineRule="auto"/>
        <w:contextualSpacing/>
        <w:jc w:val="both"/>
        <w:rPr>
          <w:rFonts w:ascii="Century Gothic" w:eastAsia="Calibri" w:hAnsi="Century Gothic" w:cs="Arial"/>
          <w:b/>
          <w:szCs w:val="24"/>
          <w:lang w:val="es-MX" w:eastAsia="en-US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977"/>
        <w:gridCol w:w="2955"/>
      </w:tblGrid>
      <w:tr w:rsidR="00D81CE7" w:rsidRPr="00D81CE7" w:rsidTr="00EA7FD7">
        <w:trPr>
          <w:trHeight w:val="364"/>
          <w:jc w:val="center"/>
        </w:trPr>
        <w:tc>
          <w:tcPr>
            <w:tcW w:w="2765" w:type="dxa"/>
            <w:shd w:val="clear" w:color="auto" w:fill="auto"/>
          </w:tcPr>
          <w:p w:rsidR="00D81CE7" w:rsidRPr="00D81CE7" w:rsidRDefault="00D81CE7" w:rsidP="00D81CE7">
            <w:pPr>
              <w:spacing w:line="336" w:lineRule="auto"/>
              <w:contextualSpacing/>
              <w:jc w:val="both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D81CE7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CONCEPTO</w:t>
            </w:r>
          </w:p>
        </w:tc>
        <w:tc>
          <w:tcPr>
            <w:tcW w:w="2977" w:type="dxa"/>
            <w:shd w:val="clear" w:color="auto" w:fill="auto"/>
          </w:tcPr>
          <w:p w:rsidR="00D81CE7" w:rsidRPr="00D81CE7" w:rsidRDefault="00D81CE7" w:rsidP="00D81CE7">
            <w:pPr>
              <w:spacing w:line="336" w:lineRule="auto"/>
              <w:contextualSpacing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D81CE7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TARIFA FIJA MENSUAL</w:t>
            </w:r>
          </w:p>
        </w:tc>
        <w:tc>
          <w:tcPr>
            <w:tcW w:w="2955" w:type="dxa"/>
            <w:shd w:val="clear" w:color="auto" w:fill="auto"/>
          </w:tcPr>
          <w:p w:rsidR="00D81CE7" w:rsidRPr="00D81CE7" w:rsidRDefault="00D81CE7" w:rsidP="00D81CE7">
            <w:pPr>
              <w:spacing w:line="336" w:lineRule="auto"/>
              <w:contextualSpacing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D81CE7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TARIFA FIJA BIMESTRAL</w:t>
            </w:r>
          </w:p>
        </w:tc>
      </w:tr>
      <w:tr w:rsidR="00D81CE7" w:rsidRPr="00D81CE7" w:rsidTr="00EA7FD7">
        <w:trPr>
          <w:trHeight w:val="381"/>
          <w:jc w:val="center"/>
        </w:trPr>
        <w:tc>
          <w:tcPr>
            <w:tcW w:w="2765" w:type="dxa"/>
            <w:shd w:val="clear" w:color="auto" w:fill="auto"/>
          </w:tcPr>
          <w:p w:rsidR="00D81CE7" w:rsidRPr="00D81CE7" w:rsidRDefault="00D81CE7" w:rsidP="00D81CE7">
            <w:pPr>
              <w:spacing w:line="336" w:lineRule="auto"/>
              <w:contextualSpacing/>
              <w:jc w:val="both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D81CE7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DAP</w:t>
            </w:r>
          </w:p>
        </w:tc>
        <w:tc>
          <w:tcPr>
            <w:tcW w:w="2977" w:type="dxa"/>
            <w:shd w:val="clear" w:color="auto" w:fill="auto"/>
          </w:tcPr>
          <w:p w:rsidR="00D81CE7" w:rsidRPr="00D81CE7" w:rsidRDefault="00D81CE7" w:rsidP="00D81CE7">
            <w:pPr>
              <w:spacing w:line="336" w:lineRule="auto"/>
              <w:contextualSpacing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D81CE7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$ 20.00</w:t>
            </w:r>
          </w:p>
        </w:tc>
        <w:tc>
          <w:tcPr>
            <w:tcW w:w="2955" w:type="dxa"/>
            <w:shd w:val="clear" w:color="auto" w:fill="auto"/>
          </w:tcPr>
          <w:p w:rsidR="00D81CE7" w:rsidRPr="00D81CE7" w:rsidRDefault="00D81CE7" w:rsidP="00D81CE7">
            <w:pPr>
              <w:spacing w:line="336" w:lineRule="auto"/>
              <w:contextualSpacing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</w:pPr>
            <w:r w:rsidRPr="00D81CE7">
              <w:rPr>
                <w:rFonts w:ascii="Century Gothic" w:eastAsia="Calibri" w:hAnsi="Century Gothic" w:cs="Arial"/>
                <w:b/>
                <w:sz w:val="24"/>
                <w:szCs w:val="24"/>
                <w:lang w:val="es-MX" w:eastAsia="en-US"/>
              </w:rPr>
              <w:t>$ 40.00</w:t>
            </w:r>
          </w:p>
        </w:tc>
      </w:tr>
    </w:tbl>
    <w:p w:rsidR="00D81CE7" w:rsidRPr="00D81CE7" w:rsidRDefault="00D81CE7" w:rsidP="00D81CE7">
      <w:pPr>
        <w:spacing w:line="336" w:lineRule="auto"/>
        <w:contextualSpacing/>
        <w:rPr>
          <w:rFonts w:ascii="Century Gothic" w:eastAsia="Calibri" w:hAnsi="Century Gothic" w:cs="Arial"/>
          <w:b/>
          <w:szCs w:val="24"/>
          <w:lang w:val="en-US" w:eastAsia="en-US"/>
        </w:rPr>
      </w:pPr>
    </w:p>
    <w:p w:rsidR="00D81CE7" w:rsidRPr="00D81CE7" w:rsidRDefault="00D81CE7" w:rsidP="00D81CE7">
      <w:pPr>
        <w:spacing w:line="336" w:lineRule="auto"/>
        <w:ind w:right="-34"/>
        <w:jc w:val="center"/>
        <w:outlineLvl w:val="0"/>
        <w:rPr>
          <w:rFonts w:ascii="Century Gothic" w:eastAsia="Calibri" w:hAnsi="Century Gothic" w:cs="Arial"/>
          <w:b/>
          <w:bCs/>
          <w:spacing w:val="-11"/>
          <w:kern w:val="32"/>
          <w:sz w:val="28"/>
          <w:szCs w:val="24"/>
          <w:lang w:val="en-US" w:eastAsia="en-US"/>
        </w:rPr>
      </w:pPr>
      <w:r w:rsidRPr="00D81CE7">
        <w:rPr>
          <w:rFonts w:ascii="Century Gothic" w:eastAsia="Calibri" w:hAnsi="Century Gothic" w:cs="Arial"/>
          <w:b/>
          <w:sz w:val="28"/>
          <w:szCs w:val="24"/>
          <w:lang w:val="en-US" w:eastAsia="en-US"/>
        </w:rPr>
        <w:t>T R A N S I T O R I O</w:t>
      </w:r>
    </w:p>
    <w:p w:rsidR="00D81CE7" w:rsidRPr="00D81CE7" w:rsidRDefault="00D81CE7" w:rsidP="00D81CE7">
      <w:pPr>
        <w:spacing w:line="336" w:lineRule="auto"/>
        <w:ind w:right="-34"/>
        <w:outlineLvl w:val="0"/>
        <w:rPr>
          <w:rFonts w:ascii="Century Gothic" w:eastAsia="Calibri" w:hAnsi="Century Gothic" w:cs="Arial"/>
          <w:b/>
          <w:szCs w:val="24"/>
          <w:lang w:val="en-US" w:eastAsia="en-US"/>
        </w:rPr>
      </w:pPr>
    </w:p>
    <w:p w:rsidR="00D81CE7" w:rsidRPr="00D81CE7" w:rsidRDefault="00D81CE7" w:rsidP="00D81CE7">
      <w:pPr>
        <w:spacing w:line="336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D81CE7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D81CE7">
        <w:rPr>
          <w:rFonts w:ascii="Century Gothic" w:eastAsia="Yu Gothic UI Light" w:hAnsi="Century Gothic" w:cs="Arial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9E34A1" w:rsidRPr="00D81CE7" w:rsidRDefault="009E34A1" w:rsidP="00D81CE7">
      <w:pPr>
        <w:spacing w:line="336" w:lineRule="auto"/>
        <w:jc w:val="both"/>
        <w:rPr>
          <w:rFonts w:ascii="Century Gothic" w:hAnsi="Century Gothic" w:cs="Arial"/>
          <w:szCs w:val="24"/>
          <w:lang w:val="es-MX" w:eastAsia="es-MX"/>
        </w:rPr>
      </w:pPr>
    </w:p>
    <w:p w:rsidR="00DB27A4" w:rsidRDefault="00DB27A4" w:rsidP="00D81CE7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9E34A1">
        <w:rPr>
          <w:rFonts w:ascii="Century Gothic" w:hAnsi="Century Gothic"/>
          <w:szCs w:val="24"/>
        </w:rPr>
        <w:t>veintinueve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  <w:bookmarkStart w:id="0" w:name="_GoBack"/>
      <w:bookmarkEnd w:id="0"/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E34A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Pr="005C31F0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9E34A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9E34A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ARELLANES AVITIA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8A614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AC" w:rsidRDefault="00C17EAC">
      <w:r>
        <w:separator/>
      </w:r>
    </w:p>
  </w:endnote>
  <w:endnote w:type="continuationSeparator" w:id="0">
    <w:p w:rsidR="00C17EAC" w:rsidRDefault="00C1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614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AC" w:rsidRDefault="00C17EAC">
      <w:r>
        <w:separator/>
      </w:r>
    </w:p>
  </w:footnote>
  <w:footnote w:type="continuationSeparator" w:id="0">
    <w:p w:rsidR="00C17EAC" w:rsidRDefault="00C1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9E34A1">
      <w:rPr>
        <w:rFonts w:ascii="Century Gothic" w:hAnsi="Century Gothic"/>
        <w:b/>
        <w:sz w:val="24"/>
        <w:szCs w:val="24"/>
        <w:lang w:val="es-MX"/>
      </w:rPr>
      <w:t>RFLIM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02AEB">
      <w:rPr>
        <w:rFonts w:ascii="Century Gothic" w:hAnsi="Century Gothic"/>
        <w:b/>
        <w:sz w:val="24"/>
        <w:szCs w:val="24"/>
        <w:lang w:val="es-MX"/>
      </w:rPr>
      <w:t>2</w:t>
    </w:r>
    <w:r w:rsidR="0043078F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5B9D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78F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4C55"/>
    <w:rsid w:val="00685463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49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34A1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277A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39E7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0444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17EAC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1CE7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60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3D20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134</cp:revision>
  <cp:lastPrinted>2022-03-29T21:00:00Z</cp:lastPrinted>
  <dcterms:created xsi:type="dcterms:W3CDTF">2021-10-05T18:17:00Z</dcterms:created>
  <dcterms:modified xsi:type="dcterms:W3CDTF">2022-03-29T21:01:00Z</dcterms:modified>
</cp:coreProperties>
</file>