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9E34A1">
        <w:rPr>
          <w:rFonts w:ascii="Century Gothic" w:hAnsi="Century Gothic"/>
          <w:b/>
          <w:sz w:val="25"/>
          <w:szCs w:val="25"/>
          <w:lang w:val="es-MX"/>
        </w:rPr>
        <w:t>RFLIM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D02AEB">
        <w:rPr>
          <w:rFonts w:ascii="Century Gothic" w:hAnsi="Century Gothic"/>
          <w:b/>
          <w:sz w:val="25"/>
          <w:szCs w:val="25"/>
          <w:lang w:val="es-MX"/>
        </w:rPr>
        <w:t>2</w:t>
      </w:r>
      <w:r w:rsidR="001D0961">
        <w:rPr>
          <w:rFonts w:ascii="Century Gothic" w:hAnsi="Century Gothic"/>
          <w:b/>
          <w:sz w:val="25"/>
          <w:szCs w:val="25"/>
          <w:lang w:val="es-MX"/>
        </w:rPr>
        <w:t>4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9E34A1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0B42A7" w:rsidRPr="009E34A1" w:rsidRDefault="000B42A7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9E34A1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9E34A1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9E34A1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2C7424" w:rsidRPr="002C7424" w:rsidRDefault="002C7424" w:rsidP="002C7424">
      <w:pPr>
        <w:spacing w:line="360" w:lineRule="auto"/>
        <w:contextualSpacing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  <w:r w:rsidRPr="002C7424">
        <w:rPr>
          <w:rFonts w:ascii="Century Gothic" w:eastAsia="Yu Gothic UI Light" w:hAnsi="Century Gothic" w:cs="Arial"/>
          <w:b/>
          <w:sz w:val="28"/>
          <w:szCs w:val="24"/>
          <w:lang w:val="es-MX" w:eastAsia="en-US"/>
        </w:rPr>
        <w:t>ARTÍCULO ÚNICO.-</w:t>
      </w:r>
      <w:r w:rsidRPr="002C7424">
        <w:rPr>
          <w:rFonts w:ascii="Century Gothic" w:eastAsia="Yu Gothic UI Light" w:hAnsi="Century Gothic" w:cs="Arial"/>
          <w:sz w:val="28"/>
          <w:szCs w:val="24"/>
          <w:lang w:val="es-MX" w:eastAsia="en-US"/>
        </w:rPr>
        <w:t xml:space="preserve"> </w:t>
      </w:r>
      <w:r w:rsidRPr="002C7424">
        <w:rPr>
          <w:rFonts w:ascii="Century Gothic" w:eastAsia="Yu Gothic UI Light" w:hAnsi="Century Gothic" w:cs="Arial"/>
          <w:sz w:val="24"/>
          <w:szCs w:val="24"/>
          <w:lang w:val="es-MX" w:eastAsia="en-US"/>
        </w:rPr>
        <w:t>Se reforma el Artículo Primero, fracción I, inciso a), numeral 4.3, en sus párrafos primero y segundo, de la Ley de Ingresos del Municipio de Ahumada, para el ejercicio fiscal 2022, para quedar redactado de la siguiente manera:</w:t>
      </w:r>
    </w:p>
    <w:p w:rsidR="002C7424" w:rsidRPr="002C7424" w:rsidRDefault="002C7424" w:rsidP="002C7424">
      <w:pPr>
        <w:spacing w:line="360" w:lineRule="auto"/>
        <w:contextualSpacing/>
        <w:jc w:val="both"/>
        <w:rPr>
          <w:rFonts w:ascii="Century Gothic" w:eastAsia="Yu Gothic UI Light" w:hAnsi="Century Gothic" w:cs="Arial"/>
          <w:b/>
          <w:sz w:val="24"/>
          <w:szCs w:val="24"/>
          <w:lang w:val="es-MX" w:eastAsia="en-US"/>
        </w:rPr>
      </w:pPr>
    </w:p>
    <w:p w:rsidR="002C7424" w:rsidRPr="002C7424" w:rsidRDefault="002C7424" w:rsidP="002C7424">
      <w:pPr>
        <w:spacing w:line="360" w:lineRule="auto"/>
        <w:contextualSpacing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  <w:r w:rsidRPr="002C7424">
        <w:rPr>
          <w:rFonts w:ascii="Century Gothic" w:eastAsia="Yu Gothic UI Light" w:hAnsi="Century Gothic" w:cs="Arial"/>
          <w:b/>
          <w:sz w:val="24"/>
          <w:szCs w:val="24"/>
          <w:lang w:val="es-MX" w:eastAsia="en-US"/>
        </w:rPr>
        <w:t>ARTÍCULO PRIMERO.-</w:t>
      </w:r>
      <w:r w:rsidRPr="002C7424">
        <w:rPr>
          <w:rFonts w:ascii="Century Gothic" w:eastAsia="Yu Gothic UI Light" w:hAnsi="Century Gothic" w:cs="Arial"/>
          <w:sz w:val="24"/>
          <w:szCs w:val="24"/>
          <w:lang w:val="es-MX" w:eastAsia="en-US"/>
        </w:rPr>
        <w:t xml:space="preserve"> …</w:t>
      </w:r>
    </w:p>
    <w:p w:rsidR="002C7424" w:rsidRPr="002C7424" w:rsidRDefault="002C7424" w:rsidP="002C7424">
      <w:pPr>
        <w:spacing w:line="360" w:lineRule="auto"/>
        <w:contextualSpacing/>
        <w:jc w:val="both"/>
        <w:rPr>
          <w:rFonts w:ascii="Century Gothic" w:eastAsia="Yu Gothic UI Light" w:hAnsi="Century Gothic" w:cs="Arial"/>
          <w:b/>
          <w:sz w:val="24"/>
          <w:szCs w:val="24"/>
          <w:lang w:val="es-MX" w:eastAsia="en-US"/>
        </w:rPr>
      </w:pPr>
    </w:p>
    <w:p w:rsidR="002C7424" w:rsidRPr="002C7424" w:rsidRDefault="002C7424" w:rsidP="002C7424">
      <w:pPr>
        <w:spacing w:line="360" w:lineRule="auto"/>
        <w:contextualSpacing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  <w:r w:rsidRPr="002C7424">
        <w:rPr>
          <w:rFonts w:ascii="Century Gothic" w:eastAsia="Yu Gothic UI Light" w:hAnsi="Century Gothic" w:cs="Arial"/>
          <w:b/>
          <w:sz w:val="24"/>
          <w:szCs w:val="24"/>
          <w:lang w:val="es-MX" w:eastAsia="en-US"/>
        </w:rPr>
        <w:t>I.-</w:t>
      </w:r>
      <w:r w:rsidRPr="002C7424">
        <w:rPr>
          <w:rFonts w:ascii="Century Gothic" w:eastAsia="Yu Gothic UI Light" w:hAnsi="Century Gothic" w:cs="Arial"/>
          <w:sz w:val="24"/>
          <w:szCs w:val="24"/>
          <w:lang w:val="es-MX" w:eastAsia="en-US"/>
        </w:rPr>
        <w:t xml:space="preserve"> …</w:t>
      </w:r>
    </w:p>
    <w:p w:rsidR="002C7424" w:rsidRPr="002C7424" w:rsidRDefault="002C7424" w:rsidP="002C7424">
      <w:pPr>
        <w:spacing w:line="360" w:lineRule="auto"/>
        <w:contextualSpacing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</w:p>
    <w:p w:rsidR="002C7424" w:rsidRPr="002C7424" w:rsidRDefault="002C7424" w:rsidP="002C7424">
      <w:pPr>
        <w:spacing w:line="360" w:lineRule="auto"/>
        <w:ind w:left="142"/>
        <w:contextualSpacing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  <w:r w:rsidRPr="002C7424">
        <w:rPr>
          <w:rFonts w:ascii="Century Gothic" w:eastAsia="Yu Gothic UI Light" w:hAnsi="Century Gothic" w:cs="Arial"/>
          <w:sz w:val="24"/>
          <w:szCs w:val="24"/>
          <w:lang w:val="es-MX" w:eastAsia="en-US"/>
        </w:rPr>
        <w:t>a) …</w:t>
      </w:r>
    </w:p>
    <w:p w:rsidR="002C7424" w:rsidRPr="002C7424" w:rsidRDefault="002C7424" w:rsidP="002C7424">
      <w:pPr>
        <w:spacing w:line="360" w:lineRule="auto"/>
        <w:contextualSpacing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</w:p>
    <w:p w:rsidR="002C7424" w:rsidRPr="002C7424" w:rsidRDefault="002C7424" w:rsidP="002C7424">
      <w:pPr>
        <w:spacing w:line="360" w:lineRule="auto"/>
        <w:contextualSpacing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  <w:r w:rsidRPr="002C7424">
        <w:rPr>
          <w:rFonts w:ascii="Century Gothic" w:eastAsia="Yu Gothic UI Light" w:hAnsi="Century Gothic" w:cs="Arial"/>
          <w:sz w:val="24"/>
          <w:szCs w:val="24"/>
          <w:lang w:val="es-MX" w:eastAsia="en-US"/>
        </w:rPr>
        <w:t>1. a 4.2. …</w:t>
      </w:r>
    </w:p>
    <w:p w:rsidR="002C7424" w:rsidRPr="002C7424" w:rsidRDefault="002C7424" w:rsidP="002C7424">
      <w:pPr>
        <w:spacing w:line="360" w:lineRule="auto"/>
        <w:contextualSpacing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</w:p>
    <w:p w:rsidR="002C7424" w:rsidRPr="002C7424" w:rsidRDefault="002C7424" w:rsidP="002C7424">
      <w:pPr>
        <w:spacing w:line="360" w:lineRule="auto"/>
        <w:contextualSpacing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  <w:r w:rsidRPr="002C7424">
        <w:rPr>
          <w:rFonts w:ascii="Century Gothic" w:eastAsia="Yu Gothic UI Light" w:hAnsi="Century Gothic" w:cs="Arial"/>
          <w:sz w:val="24"/>
          <w:szCs w:val="24"/>
          <w:lang w:val="es-MX" w:eastAsia="en-US"/>
        </w:rPr>
        <w:t xml:space="preserve">4.3. Estímulos por donación, </w:t>
      </w:r>
      <w:r w:rsidRPr="002C7424">
        <w:rPr>
          <w:rFonts w:ascii="Century Gothic" w:eastAsia="Yu Gothic UI Light" w:hAnsi="Century Gothic" w:cs="Arial"/>
          <w:b/>
          <w:sz w:val="24"/>
          <w:szCs w:val="24"/>
          <w:lang w:val="es-MX" w:eastAsia="en-US"/>
        </w:rPr>
        <w:t>herencia, divo</w:t>
      </w:r>
      <w:bookmarkStart w:id="0" w:name="_GoBack"/>
      <w:bookmarkEnd w:id="0"/>
      <w:r w:rsidRPr="002C7424">
        <w:rPr>
          <w:rFonts w:ascii="Century Gothic" w:eastAsia="Yu Gothic UI Light" w:hAnsi="Century Gothic" w:cs="Arial"/>
          <w:b/>
          <w:sz w:val="24"/>
          <w:szCs w:val="24"/>
          <w:lang w:val="es-MX" w:eastAsia="en-US"/>
        </w:rPr>
        <w:t>rcio</w:t>
      </w:r>
      <w:r w:rsidRPr="002C7424">
        <w:rPr>
          <w:rFonts w:ascii="Century Gothic" w:eastAsia="Yu Gothic UI Light" w:hAnsi="Century Gothic" w:cs="Arial"/>
          <w:sz w:val="24"/>
          <w:szCs w:val="24"/>
          <w:lang w:val="es-MX" w:eastAsia="en-US"/>
        </w:rPr>
        <w:t xml:space="preserve"> y </w:t>
      </w:r>
      <w:r w:rsidRPr="002C7424">
        <w:rPr>
          <w:rFonts w:ascii="Century Gothic" w:eastAsia="Yu Gothic UI Light" w:hAnsi="Century Gothic" w:cs="Arial"/>
          <w:b/>
          <w:sz w:val="24"/>
          <w:szCs w:val="24"/>
          <w:lang w:val="es-MX" w:eastAsia="en-US"/>
        </w:rPr>
        <w:t>prescripción</w:t>
      </w:r>
      <w:r w:rsidRPr="002C7424">
        <w:rPr>
          <w:rFonts w:ascii="Century Gothic" w:eastAsia="Yu Gothic UI Light" w:hAnsi="Century Gothic" w:cs="Arial"/>
          <w:sz w:val="24"/>
          <w:szCs w:val="24"/>
          <w:lang w:val="es-MX" w:eastAsia="en-US"/>
        </w:rPr>
        <w:t xml:space="preserve"> positiva.</w:t>
      </w:r>
    </w:p>
    <w:p w:rsidR="002C7424" w:rsidRPr="002C7424" w:rsidRDefault="002C7424" w:rsidP="002C7424">
      <w:pPr>
        <w:spacing w:line="360" w:lineRule="auto"/>
        <w:contextualSpacing/>
        <w:jc w:val="both"/>
        <w:rPr>
          <w:rFonts w:ascii="Century Gothic" w:eastAsia="Calibri" w:hAnsi="Century Gothic" w:cs="Arial"/>
          <w:b/>
          <w:sz w:val="24"/>
          <w:szCs w:val="24"/>
          <w:lang w:val="es-MX" w:eastAsia="en-US"/>
        </w:rPr>
      </w:pPr>
    </w:p>
    <w:p w:rsidR="002C7424" w:rsidRPr="002C7424" w:rsidRDefault="002C7424" w:rsidP="002C7424">
      <w:pPr>
        <w:spacing w:line="360" w:lineRule="auto"/>
        <w:ind w:left="142"/>
        <w:contextualSpacing/>
        <w:jc w:val="both"/>
        <w:rPr>
          <w:rFonts w:ascii="Century Gothic" w:eastAsia="Calibri" w:hAnsi="Century Gothic" w:cs="Arial"/>
          <w:b/>
          <w:sz w:val="24"/>
          <w:szCs w:val="24"/>
          <w:lang w:val="es-ES_tradnl" w:eastAsia="en-US"/>
        </w:rPr>
      </w:pPr>
      <w:r w:rsidRPr="002C7424">
        <w:rPr>
          <w:rFonts w:ascii="Century Gothic" w:eastAsia="Calibri" w:hAnsi="Century Gothic" w:cs="Arial"/>
          <w:b/>
          <w:sz w:val="24"/>
          <w:szCs w:val="24"/>
          <w:lang w:eastAsia="en-US"/>
        </w:rPr>
        <w:t>A.</w:t>
      </w:r>
      <w:r w:rsidRPr="002C7424">
        <w:rPr>
          <w:rFonts w:ascii="Century Gothic" w:eastAsia="Calibri" w:hAnsi="Century Gothic" w:cs="Arial"/>
          <w:sz w:val="24"/>
          <w:szCs w:val="24"/>
          <w:lang w:eastAsia="en-US"/>
        </w:rPr>
        <w:t xml:space="preserve"> Se otorgará durante el año 2022 un estímulo fiscal consistente en tomar como base </w:t>
      </w:r>
      <w:r w:rsidRPr="002C7424">
        <w:rPr>
          <w:rFonts w:ascii="Century Gothic" w:eastAsia="Calibri" w:hAnsi="Century Gothic" w:cs="Arial"/>
          <w:b/>
          <w:sz w:val="24"/>
          <w:szCs w:val="24"/>
          <w:lang w:eastAsia="en-US"/>
        </w:rPr>
        <w:t>gravable</w:t>
      </w:r>
      <w:r w:rsidRPr="002C7424">
        <w:rPr>
          <w:rFonts w:ascii="Century Gothic" w:eastAsia="Calibri" w:hAnsi="Century Gothic" w:cs="Arial"/>
          <w:sz w:val="24"/>
          <w:szCs w:val="24"/>
          <w:lang w:eastAsia="en-US"/>
        </w:rPr>
        <w:t xml:space="preserve"> </w:t>
      </w:r>
      <w:r w:rsidRPr="002C7424">
        <w:rPr>
          <w:rFonts w:ascii="Century Gothic" w:eastAsia="Calibri" w:hAnsi="Century Gothic" w:cs="Arial"/>
          <w:b/>
          <w:sz w:val="24"/>
          <w:szCs w:val="24"/>
          <w:lang w:eastAsia="en-US"/>
        </w:rPr>
        <w:t>del</w:t>
      </w:r>
      <w:r w:rsidRPr="002C7424">
        <w:rPr>
          <w:rFonts w:ascii="Century Gothic" w:eastAsia="Calibri" w:hAnsi="Century Gothic" w:cs="Arial"/>
          <w:sz w:val="24"/>
          <w:szCs w:val="24"/>
          <w:lang w:eastAsia="en-US"/>
        </w:rPr>
        <w:t xml:space="preserve"> Impuesto Sobre Traslación de Dominio de Bienes Inmuebles, aquella que corresponda </w:t>
      </w:r>
      <w:r w:rsidRPr="002C7424">
        <w:rPr>
          <w:rFonts w:ascii="Century Gothic" w:eastAsia="Calibri" w:hAnsi="Century Gothic" w:cs="Arial"/>
          <w:b/>
          <w:sz w:val="24"/>
          <w:szCs w:val="24"/>
          <w:lang w:eastAsia="en-US"/>
        </w:rPr>
        <w:t xml:space="preserve">al 90% del valor físico del inmueble </w:t>
      </w:r>
      <w:r w:rsidRPr="002C7424">
        <w:rPr>
          <w:rFonts w:ascii="Century Gothic" w:eastAsia="Calibri" w:hAnsi="Century Gothic" w:cs="Arial"/>
          <w:b/>
          <w:sz w:val="24"/>
          <w:szCs w:val="24"/>
          <w:lang w:val="es-ES_tradnl" w:eastAsia="en-US"/>
        </w:rPr>
        <w:t>determinado por medio del avalúo que practique la Tesorería Municipal o el avalúo bancario consignado en todo caso en la declaración correspondiente, respecto de aquellas operaciones que deriven de los siguientes actos jurídicos:</w:t>
      </w:r>
    </w:p>
    <w:p w:rsidR="002C7424" w:rsidRPr="002C7424" w:rsidRDefault="002C7424" w:rsidP="002C7424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</w:p>
    <w:p w:rsidR="002C7424" w:rsidRPr="002C7424" w:rsidRDefault="002C7424" w:rsidP="002C7424">
      <w:pPr>
        <w:numPr>
          <w:ilvl w:val="0"/>
          <w:numId w:val="2"/>
        </w:numPr>
        <w:spacing w:line="360" w:lineRule="auto"/>
        <w:contextualSpacing/>
        <w:jc w:val="both"/>
        <w:rPr>
          <w:rFonts w:ascii="Century Gothic" w:eastAsia="Calibri" w:hAnsi="Century Gothic" w:cs="Arial"/>
          <w:b/>
          <w:sz w:val="24"/>
          <w:szCs w:val="24"/>
          <w:lang w:val="es-ES_tradnl" w:eastAsia="en-US"/>
        </w:rPr>
      </w:pPr>
      <w:r w:rsidRPr="002C7424">
        <w:rPr>
          <w:rFonts w:ascii="Century Gothic" w:eastAsia="Calibri" w:hAnsi="Century Gothic" w:cs="Arial"/>
          <w:b/>
          <w:sz w:val="24"/>
          <w:szCs w:val="24"/>
          <w:lang w:val="es-ES_tradnl" w:eastAsia="en-US"/>
        </w:rPr>
        <w:t>Por donación: Cuando el donatario o adquiriente sea el propio cónyuge o bien guarde un parentesco consanguíneo ascendente o descendente hasta tercer grado de donante.</w:t>
      </w:r>
    </w:p>
    <w:p w:rsidR="002C7424" w:rsidRPr="002C7424" w:rsidRDefault="002C7424" w:rsidP="002C7424">
      <w:pPr>
        <w:numPr>
          <w:ilvl w:val="0"/>
          <w:numId w:val="2"/>
        </w:numPr>
        <w:spacing w:line="360" w:lineRule="auto"/>
        <w:contextualSpacing/>
        <w:jc w:val="both"/>
        <w:rPr>
          <w:rFonts w:ascii="Century Gothic" w:eastAsia="Calibri" w:hAnsi="Century Gothic" w:cs="Arial"/>
          <w:b/>
          <w:sz w:val="24"/>
          <w:szCs w:val="24"/>
          <w:lang w:val="es-ES_tradnl" w:eastAsia="en-US"/>
        </w:rPr>
      </w:pPr>
      <w:r w:rsidRPr="002C7424">
        <w:rPr>
          <w:rFonts w:ascii="Century Gothic" w:eastAsia="Calibri" w:hAnsi="Century Gothic" w:cs="Arial"/>
          <w:b/>
          <w:sz w:val="24"/>
          <w:szCs w:val="24"/>
          <w:lang w:val="es-ES_tradnl" w:eastAsia="en-US"/>
        </w:rPr>
        <w:t xml:space="preserve">Por herencia: Cuando se recibe la propiedad del bien inmueble como resultado de un procedimiento sucesorio. </w:t>
      </w:r>
    </w:p>
    <w:p w:rsidR="002C7424" w:rsidRPr="002C7424" w:rsidRDefault="002C7424" w:rsidP="002C7424">
      <w:pPr>
        <w:numPr>
          <w:ilvl w:val="0"/>
          <w:numId w:val="2"/>
        </w:numPr>
        <w:spacing w:line="360" w:lineRule="auto"/>
        <w:contextualSpacing/>
        <w:jc w:val="both"/>
        <w:rPr>
          <w:rFonts w:ascii="Century Gothic" w:eastAsia="Calibri" w:hAnsi="Century Gothic" w:cs="Arial"/>
          <w:b/>
          <w:sz w:val="24"/>
          <w:szCs w:val="24"/>
          <w:lang w:val="es-ES_tradnl" w:eastAsia="en-US"/>
        </w:rPr>
      </w:pPr>
      <w:r w:rsidRPr="002C7424">
        <w:rPr>
          <w:rFonts w:ascii="Century Gothic" w:eastAsia="Calibri" w:hAnsi="Century Gothic" w:cs="Arial"/>
          <w:b/>
          <w:sz w:val="24"/>
          <w:szCs w:val="24"/>
          <w:lang w:val="es-ES_tradnl" w:eastAsia="en-US"/>
        </w:rPr>
        <w:t>Convenios Judiciales: Derivados del juicio de divorcio en proporción al porcentaje de la propiedad excedente obtenida por uno de los cónyuges y de la liquidación de la sociedad conyugal.</w:t>
      </w:r>
    </w:p>
    <w:p w:rsidR="002C7424" w:rsidRPr="002C7424" w:rsidRDefault="002C7424" w:rsidP="002C7424">
      <w:pPr>
        <w:numPr>
          <w:ilvl w:val="0"/>
          <w:numId w:val="2"/>
        </w:numPr>
        <w:spacing w:line="360" w:lineRule="auto"/>
        <w:contextualSpacing/>
        <w:jc w:val="both"/>
        <w:rPr>
          <w:rFonts w:ascii="Century Gothic" w:eastAsia="Calibri" w:hAnsi="Century Gothic" w:cs="Arial"/>
          <w:b/>
          <w:sz w:val="24"/>
          <w:szCs w:val="24"/>
          <w:lang w:val="es-ES_tradnl" w:eastAsia="en-US"/>
        </w:rPr>
      </w:pPr>
      <w:r w:rsidRPr="002C7424">
        <w:rPr>
          <w:rFonts w:ascii="Century Gothic" w:eastAsia="Calibri" w:hAnsi="Century Gothic" w:cs="Arial"/>
          <w:b/>
          <w:sz w:val="24"/>
          <w:szCs w:val="24"/>
          <w:lang w:val="es-ES_tradnl" w:eastAsia="en-US"/>
        </w:rPr>
        <w:t xml:space="preserve">Por prescripción positiva: De acuerdo al artículo 157 del Código Municipal para el Estado de Chihuahua, en atención a la fracción VIII, siempre que la declaración del impuesto verse sobre aquellos inmuebles catalogados como predios rústicos y de aquellas </w:t>
      </w:r>
      <w:r w:rsidRPr="002C7424">
        <w:rPr>
          <w:rFonts w:ascii="Century Gothic" w:eastAsia="Calibri" w:hAnsi="Century Gothic" w:cs="Arial"/>
          <w:b/>
          <w:sz w:val="24"/>
          <w:szCs w:val="24"/>
          <w:lang w:val="es-ES_tradnl" w:eastAsia="en-US"/>
        </w:rPr>
        <w:lastRenderedPageBreak/>
        <w:t>viviendas de interés social o popular cuyo destino sea para uso habitacional y su valor real represente una cantidad igual o menor al valor mensual vigente de 95 Unidades de Medida y Actualización (UMA).</w:t>
      </w:r>
    </w:p>
    <w:p w:rsidR="002C7424" w:rsidRPr="002C7424" w:rsidRDefault="002C7424" w:rsidP="002C7424">
      <w:pPr>
        <w:spacing w:line="360" w:lineRule="auto"/>
        <w:ind w:left="1146"/>
        <w:contextualSpacing/>
        <w:jc w:val="both"/>
        <w:rPr>
          <w:rFonts w:ascii="Century Gothic" w:eastAsia="Calibri" w:hAnsi="Century Gothic" w:cs="Arial"/>
          <w:b/>
          <w:sz w:val="24"/>
          <w:szCs w:val="24"/>
          <w:lang w:val="es-ES_tradnl" w:eastAsia="en-US"/>
        </w:rPr>
      </w:pPr>
    </w:p>
    <w:p w:rsidR="002C7424" w:rsidRPr="002C7424" w:rsidRDefault="002C7424" w:rsidP="002C7424">
      <w:pPr>
        <w:spacing w:line="360" w:lineRule="auto"/>
        <w:ind w:left="142"/>
        <w:contextualSpacing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  <w:r w:rsidRPr="002C7424">
        <w:rPr>
          <w:rFonts w:ascii="Century Gothic" w:eastAsia="Calibri" w:hAnsi="Century Gothic" w:cs="Arial"/>
          <w:sz w:val="24"/>
          <w:szCs w:val="24"/>
          <w:lang w:val="es-ES_tradnl" w:eastAsia="en-US"/>
        </w:rPr>
        <w:t>B. …</w:t>
      </w:r>
    </w:p>
    <w:p w:rsidR="002C7424" w:rsidRPr="002C7424" w:rsidRDefault="002C7424" w:rsidP="002C7424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</w:p>
    <w:p w:rsidR="002C7424" w:rsidRPr="002C7424" w:rsidRDefault="002C7424" w:rsidP="002C7424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  <w:r w:rsidRPr="002C7424">
        <w:rPr>
          <w:rFonts w:ascii="Century Gothic" w:eastAsia="Calibri" w:hAnsi="Century Gothic" w:cs="Arial"/>
          <w:sz w:val="24"/>
          <w:szCs w:val="24"/>
          <w:lang w:val="es-ES_tradnl" w:eastAsia="en-US"/>
        </w:rPr>
        <w:t>4.4. …</w:t>
      </w:r>
    </w:p>
    <w:p w:rsidR="002C7424" w:rsidRPr="002C7424" w:rsidRDefault="002C7424" w:rsidP="002C7424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</w:p>
    <w:p w:rsidR="002C7424" w:rsidRPr="002C7424" w:rsidRDefault="002C7424" w:rsidP="002C7424">
      <w:pPr>
        <w:spacing w:line="360" w:lineRule="auto"/>
        <w:ind w:left="142"/>
        <w:contextualSpacing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  <w:r w:rsidRPr="002C7424">
        <w:rPr>
          <w:rFonts w:ascii="Century Gothic" w:eastAsia="Calibri" w:hAnsi="Century Gothic" w:cs="Arial"/>
          <w:sz w:val="24"/>
          <w:szCs w:val="24"/>
          <w:lang w:val="es-ES_tradnl" w:eastAsia="en-US"/>
        </w:rPr>
        <w:t>b) …</w:t>
      </w:r>
    </w:p>
    <w:p w:rsidR="002C7424" w:rsidRPr="002C7424" w:rsidRDefault="002C7424" w:rsidP="002C7424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</w:p>
    <w:p w:rsidR="002C7424" w:rsidRPr="002C7424" w:rsidRDefault="002C7424" w:rsidP="002C7424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  <w:r w:rsidRPr="002C7424">
        <w:rPr>
          <w:rFonts w:ascii="Century Gothic" w:eastAsia="Calibri" w:hAnsi="Century Gothic" w:cs="Arial"/>
          <w:b/>
          <w:sz w:val="24"/>
          <w:szCs w:val="24"/>
          <w:lang w:val="es-ES_tradnl" w:eastAsia="en-US"/>
        </w:rPr>
        <w:t xml:space="preserve">II.- </w:t>
      </w:r>
      <w:r w:rsidRPr="002C7424">
        <w:rPr>
          <w:rFonts w:ascii="Century Gothic" w:eastAsia="Calibri" w:hAnsi="Century Gothic" w:cs="Arial"/>
          <w:sz w:val="24"/>
          <w:szCs w:val="24"/>
          <w:lang w:val="es-ES_tradnl" w:eastAsia="en-US"/>
        </w:rPr>
        <w:t>a</w:t>
      </w:r>
      <w:r w:rsidRPr="002C7424">
        <w:rPr>
          <w:rFonts w:ascii="Century Gothic" w:eastAsia="Calibri" w:hAnsi="Century Gothic" w:cs="Arial"/>
          <w:b/>
          <w:sz w:val="24"/>
          <w:szCs w:val="24"/>
          <w:lang w:val="es-ES_tradnl" w:eastAsia="en-US"/>
        </w:rPr>
        <w:t xml:space="preserve"> VIII.-</w:t>
      </w:r>
      <w:r w:rsidRPr="002C7424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…</w:t>
      </w:r>
    </w:p>
    <w:p w:rsidR="002C7424" w:rsidRPr="002C7424" w:rsidRDefault="002C7424" w:rsidP="002C7424">
      <w:pPr>
        <w:spacing w:line="360" w:lineRule="auto"/>
        <w:contextualSpacing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</w:p>
    <w:p w:rsidR="002C7424" w:rsidRPr="002C7424" w:rsidRDefault="002C7424" w:rsidP="002C7424">
      <w:pPr>
        <w:spacing w:line="360" w:lineRule="auto"/>
        <w:ind w:right="-34"/>
        <w:jc w:val="center"/>
        <w:outlineLvl w:val="0"/>
        <w:rPr>
          <w:rFonts w:ascii="Century Gothic" w:eastAsia="Calibri" w:hAnsi="Century Gothic" w:cs="Arial"/>
          <w:b/>
          <w:bCs/>
          <w:spacing w:val="-11"/>
          <w:kern w:val="32"/>
          <w:sz w:val="28"/>
          <w:szCs w:val="24"/>
          <w:lang w:val="en-US" w:eastAsia="en-US"/>
        </w:rPr>
      </w:pPr>
      <w:r w:rsidRPr="002C7424">
        <w:rPr>
          <w:rFonts w:ascii="Century Gothic" w:eastAsia="Calibri" w:hAnsi="Century Gothic" w:cs="Arial"/>
          <w:b/>
          <w:sz w:val="28"/>
          <w:szCs w:val="24"/>
          <w:lang w:val="en-US" w:eastAsia="en-US"/>
        </w:rPr>
        <w:t>T R A N S I T O R I O</w:t>
      </w:r>
    </w:p>
    <w:p w:rsidR="002C7424" w:rsidRPr="002C7424" w:rsidRDefault="002C7424" w:rsidP="002C7424">
      <w:pPr>
        <w:spacing w:line="360" w:lineRule="auto"/>
        <w:ind w:right="-34"/>
        <w:outlineLvl w:val="0"/>
        <w:rPr>
          <w:rFonts w:ascii="Century Gothic" w:eastAsia="Calibri" w:hAnsi="Century Gothic" w:cs="Arial"/>
          <w:b/>
          <w:sz w:val="24"/>
          <w:szCs w:val="24"/>
          <w:lang w:val="en-US" w:eastAsia="en-US"/>
        </w:rPr>
      </w:pPr>
    </w:p>
    <w:p w:rsidR="002C7424" w:rsidRPr="002C7424" w:rsidRDefault="002C7424" w:rsidP="002C7424">
      <w:pPr>
        <w:spacing w:line="360" w:lineRule="auto"/>
        <w:ind w:right="-34"/>
        <w:jc w:val="both"/>
        <w:rPr>
          <w:rFonts w:ascii="Century Gothic" w:eastAsia="Yu Gothic UI Light" w:hAnsi="Century Gothic" w:cs="Arial"/>
          <w:sz w:val="24"/>
          <w:szCs w:val="24"/>
          <w:lang w:val="es-MX" w:eastAsia="en-US"/>
        </w:rPr>
      </w:pPr>
      <w:r w:rsidRPr="002C7424">
        <w:rPr>
          <w:rFonts w:ascii="Century Gothic" w:eastAsia="Yu Gothic UI Light" w:hAnsi="Century Gothic" w:cs="Arial"/>
          <w:b/>
          <w:sz w:val="28"/>
          <w:szCs w:val="24"/>
          <w:lang w:val="es-MX" w:eastAsia="en-US"/>
        </w:rPr>
        <w:t xml:space="preserve">ARTÍCULO ÚNICO.- </w:t>
      </w:r>
      <w:r w:rsidRPr="002C7424">
        <w:rPr>
          <w:rFonts w:ascii="Century Gothic" w:eastAsia="Yu Gothic UI Light" w:hAnsi="Century Gothic" w:cs="Arial"/>
          <w:sz w:val="24"/>
          <w:szCs w:val="24"/>
          <w:lang w:val="es-MX" w:eastAsia="en-US"/>
        </w:rPr>
        <w:t>El presente Decreto entrará en vigor al día siguiente de su publicación en el Periódico Oficial del Estado.</w:t>
      </w:r>
    </w:p>
    <w:p w:rsidR="009E34A1" w:rsidRDefault="009E34A1" w:rsidP="002C7424">
      <w:pPr>
        <w:spacing w:line="360" w:lineRule="auto"/>
        <w:jc w:val="both"/>
        <w:rPr>
          <w:rFonts w:ascii="Century Gothic" w:hAnsi="Century Gothic" w:cs="Arial"/>
          <w:sz w:val="24"/>
          <w:szCs w:val="18"/>
          <w:lang w:val="es-MX" w:eastAsia="es-MX"/>
        </w:rPr>
      </w:pPr>
    </w:p>
    <w:p w:rsidR="00DB27A4" w:rsidRDefault="00DB27A4" w:rsidP="002C7424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9E34A1">
        <w:rPr>
          <w:rFonts w:ascii="Century Gothic" w:hAnsi="Century Gothic"/>
          <w:szCs w:val="24"/>
        </w:rPr>
        <w:t>veintinueve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4137E3" w:rsidRPr="00CB0502">
        <w:rPr>
          <w:rFonts w:ascii="Century Gothic" w:hAnsi="Century Gothic"/>
          <w:szCs w:val="24"/>
        </w:rPr>
        <w:t>marzo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9E34A1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9E34A1" w:rsidRDefault="009E34A1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9E34A1" w:rsidRDefault="009E34A1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9E34A1" w:rsidRPr="005C31F0" w:rsidRDefault="009E34A1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9E34A1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9E34A1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ARELLANES AVITIA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2C4259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47445" w:rsidRPr="005C31F0" w:rsidRDefault="00A4744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2C425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2C4259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445EEF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708" w:rsidRDefault="00325708">
      <w:r>
        <w:separator/>
      </w:r>
    </w:p>
  </w:endnote>
  <w:endnote w:type="continuationSeparator" w:id="0">
    <w:p w:rsidR="00325708" w:rsidRDefault="0032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5EEF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708" w:rsidRDefault="00325708">
      <w:r>
        <w:separator/>
      </w:r>
    </w:p>
  </w:footnote>
  <w:footnote w:type="continuationSeparator" w:id="0">
    <w:p w:rsidR="00325708" w:rsidRDefault="00325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9E34A1">
      <w:rPr>
        <w:rFonts w:ascii="Century Gothic" w:hAnsi="Century Gothic"/>
        <w:b/>
        <w:sz w:val="24"/>
        <w:szCs w:val="24"/>
        <w:lang w:val="es-MX"/>
      </w:rPr>
      <w:t>RFLIM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D02AEB">
      <w:rPr>
        <w:rFonts w:ascii="Century Gothic" w:hAnsi="Century Gothic"/>
        <w:b/>
        <w:sz w:val="24"/>
        <w:szCs w:val="24"/>
        <w:lang w:val="es-MX"/>
      </w:rPr>
      <w:t>2</w:t>
    </w:r>
    <w:r w:rsidR="001D0961">
      <w:rPr>
        <w:rFonts w:ascii="Century Gothic" w:hAnsi="Century Gothic"/>
        <w:b/>
        <w:sz w:val="24"/>
        <w:szCs w:val="24"/>
        <w:lang w:val="es-MX"/>
      </w:rPr>
      <w:t>4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35021DA"/>
    <w:multiLevelType w:val="hybridMultilevel"/>
    <w:tmpl w:val="85A48BF0"/>
    <w:lvl w:ilvl="0" w:tplc="3CF4CCD4">
      <w:start w:val="1"/>
      <w:numFmt w:val="bullet"/>
      <w:lvlText w:val="-"/>
      <w:lvlJc w:val="left"/>
      <w:pPr>
        <w:ind w:left="1146" w:hanging="360"/>
      </w:pPr>
      <w:rPr>
        <w:rFonts w:ascii="Century Gothic" w:eastAsia="Calibri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7F12"/>
    <w:rsid w:val="0001018A"/>
    <w:rsid w:val="0001245C"/>
    <w:rsid w:val="000163B8"/>
    <w:rsid w:val="00017FE8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34A5"/>
    <w:rsid w:val="000B42A7"/>
    <w:rsid w:val="000C3DF7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61E9"/>
    <w:rsid w:val="001C11D2"/>
    <w:rsid w:val="001C1583"/>
    <w:rsid w:val="001C6E7E"/>
    <w:rsid w:val="001D0961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C742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5708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5ADB"/>
    <w:rsid w:val="00377311"/>
    <w:rsid w:val="00380889"/>
    <w:rsid w:val="00381DDF"/>
    <w:rsid w:val="00383578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2851"/>
    <w:rsid w:val="00434DDE"/>
    <w:rsid w:val="004351D5"/>
    <w:rsid w:val="004352F7"/>
    <w:rsid w:val="004372D3"/>
    <w:rsid w:val="00437AFA"/>
    <w:rsid w:val="00443C23"/>
    <w:rsid w:val="0044415C"/>
    <w:rsid w:val="00445EEF"/>
    <w:rsid w:val="00446707"/>
    <w:rsid w:val="004554AA"/>
    <w:rsid w:val="00455DDD"/>
    <w:rsid w:val="00456833"/>
    <w:rsid w:val="004606B5"/>
    <w:rsid w:val="0046269D"/>
    <w:rsid w:val="00471E7F"/>
    <w:rsid w:val="004758AB"/>
    <w:rsid w:val="00477088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5BAF"/>
    <w:rsid w:val="00516DF2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3F7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1B6B"/>
    <w:rsid w:val="006331AE"/>
    <w:rsid w:val="00637720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C25"/>
    <w:rsid w:val="006824CC"/>
    <w:rsid w:val="00682C1A"/>
    <w:rsid w:val="00685463"/>
    <w:rsid w:val="00686F5E"/>
    <w:rsid w:val="00687C79"/>
    <w:rsid w:val="00687D21"/>
    <w:rsid w:val="00692F6A"/>
    <w:rsid w:val="00695672"/>
    <w:rsid w:val="00695F85"/>
    <w:rsid w:val="00696469"/>
    <w:rsid w:val="00697DFF"/>
    <w:rsid w:val="006A02B5"/>
    <w:rsid w:val="006A1A71"/>
    <w:rsid w:val="006A2AA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6438"/>
    <w:rsid w:val="007D7724"/>
    <w:rsid w:val="007E2ECB"/>
    <w:rsid w:val="007E3B07"/>
    <w:rsid w:val="007E79C0"/>
    <w:rsid w:val="007F0ED9"/>
    <w:rsid w:val="007F7C34"/>
    <w:rsid w:val="0080128E"/>
    <w:rsid w:val="00804854"/>
    <w:rsid w:val="008072F2"/>
    <w:rsid w:val="00812F09"/>
    <w:rsid w:val="00815B90"/>
    <w:rsid w:val="00816CF8"/>
    <w:rsid w:val="0082028D"/>
    <w:rsid w:val="00824443"/>
    <w:rsid w:val="00824924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2675"/>
    <w:rsid w:val="009D5BE3"/>
    <w:rsid w:val="009E0969"/>
    <w:rsid w:val="009E1BC3"/>
    <w:rsid w:val="009E34A1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75D8"/>
    <w:rsid w:val="00A37EA7"/>
    <w:rsid w:val="00A406D7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2BCF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042A7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C5261"/>
    <w:rsid w:val="00CD3F9A"/>
    <w:rsid w:val="00CE1695"/>
    <w:rsid w:val="00CE621D"/>
    <w:rsid w:val="00CF7A96"/>
    <w:rsid w:val="00CF7E9C"/>
    <w:rsid w:val="00CF7FB8"/>
    <w:rsid w:val="00D0241F"/>
    <w:rsid w:val="00D02AEB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77D35"/>
    <w:rsid w:val="00D80276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4139C"/>
    <w:rsid w:val="00E53212"/>
    <w:rsid w:val="00E566C0"/>
    <w:rsid w:val="00E707A1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2882"/>
    <w:rsid w:val="00EC46D5"/>
    <w:rsid w:val="00EC6312"/>
    <w:rsid w:val="00ED0D63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3D20"/>
    <w:rsid w:val="00EF4676"/>
    <w:rsid w:val="00F1041A"/>
    <w:rsid w:val="00F147D1"/>
    <w:rsid w:val="00F2579D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131</cp:revision>
  <cp:lastPrinted>2022-03-29T20:39:00Z</cp:lastPrinted>
  <dcterms:created xsi:type="dcterms:W3CDTF">2021-10-05T18:17:00Z</dcterms:created>
  <dcterms:modified xsi:type="dcterms:W3CDTF">2022-03-29T20:39:00Z</dcterms:modified>
</cp:coreProperties>
</file>