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9E34A1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E34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9E34A1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9E34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E34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113C5F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113C5F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Se reforma el ar</w:t>
      </w:r>
      <w:r w:rsidR="00F21A22">
        <w:rPr>
          <w:rFonts w:ascii="Century Gothic" w:eastAsia="Yu Gothic UI Light" w:hAnsi="Century Gothic" w:cs="Arial"/>
          <w:sz w:val="24"/>
          <w:szCs w:val="24"/>
          <w:lang w:val="es-MX" w:eastAsia="en-US"/>
        </w:rPr>
        <w:t>tículo 10; y</w:t>
      </w:r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se adicionan los incisos g y h, al párrafo segundo del artículo 41; el artículo quinto transitorio; y el numeral 18, al apartado </w:t>
      </w:r>
      <w:proofErr w:type="spellStart"/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II.2.8</w:t>
      </w:r>
      <w:proofErr w:type="spellEnd"/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., fracción </w:t>
      </w:r>
      <w:proofErr w:type="spellStart"/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II.2</w:t>
      </w:r>
      <w:proofErr w:type="spellEnd"/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., de la Tarifa de Derechos; todos de la Ley de Ingresos del Municipio de Delicias, para el ejercicio fiscal 2022, para quedar en los siguientes términos: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/>
          <w:b/>
          <w:sz w:val="24"/>
          <w:szCs w:val="24"/>
          <w:lang w:val="es-MX" w:eastAsia="es-MX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113C5F">
        <w:rPr>
          <w:rFonts w:ascii="Century Gothic" w:eastAsia="Calibri" w:hAnsi="Century Gothic"/>
          <w:b/>
          <w:sz w:val="24"/>
          <w:szCs w:val="24"/>
          <w:lang w:val="es-MX" w:eastAsia="es-MX"/>
        </w:rPr>
        <w:t>ARTÍCULO 10.</w:t>
      </w:r>
      <w:r w:rsidRPr="00113C5F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113C5F">
        <w:rPr>
          <w:rFonts w:ascii="Century Gothic" w:hAnsi="Century Gothic"/>
          <w:sz w:val="24"/>
          <w:szCs w:val="24"/>
          <w:lang w:val="es-MX" w:eastAsia="es-MX"/>
        </w:rPr>
        <w:t>Se reducirá el importe por concepto de Impuesto Predial en un 15%</w:t>
      </w:r>
      <w:r w:rsidRPr="00113C5F">
        <w:rPr>
          <w:rFonts w:ascii="Century Gothic" w:eastAsia="Calibri" w:hAnsi="Century Gothic"/>
          <w:sz w:val="24"/>
          <w:szCs w:val="24"/>
          <w:lang w:val="es-MX" w:eastAsia="es-MX"/>
        </w:rPr>
        <w:t>,</w:t>
      </w:r>
      <w:r w:rsidRPr="00113C5F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Pr="00113C5F">
        <w:rPr>
          <w:rFonts w:ascii="Century Gothic" w:hAnsi="Century Gothic"/>
          <w:sz w:val="24"/>
          <w:szCs w:val="24"/>
          <w:lang w:val="es-MX" w:eastAsia="es-MX"/>
        </w:rPr>
        <w:t>con efectos generales, en los cas</w:t>
      </w:r>
      <w:r w:rsidRPr="00113C5F">
        <w:rPr>
          <w:rFonts w:ascii="Century Gothic" w:eastAsia="Calibri" w:hAnsi="Century Gothic"/>
          <w:sz w:val="24"/>
          <w:szCs w:val="24"/>
          <w:lang w:val="es-MX" w:eastAsia="es-MX"/>
        </w:rPr>
        <w:t>os de</w:t>
      </w:r>
      <w:r w:rsidRPr="00113C5F">
        <w:rPr>
          <w:rFonts w:ascii="Century Gothic" w:hAnsi="Century Gothic"/>
          <w:sz w:val="24"/>
          <w:szCs w:val="24"/>
          <w:lang w:val="es-MX" w:eastAsia="es-MX"/>
        </w:rPr>
        <w:t xml:space="preserve"> pago anticipado de todo el año</w:t>
      </w:r>
      <w:r w:rsidRPr="00113C5F">
        <w:rPr>
          <w:rFonts w:ascii="Century Gothic" w:eastAsia="Calibri" w:hAnsi="Century Gothic"/>
          <w:sz w:val="24"/>
          <w:szCs w:val="24"/>
          <w:lang w:val="es-MX" w:eastAsia="es-MX"/>
        </w:rPr>
        <w:t>,</w:t>
      </w:r>
      <w:r w:rsidRPr="00113C5F">
        <w:rPr>
          <w:rFonts w:ascii="Century Gothic" w:hAnsi="Century Gothic"/>
          <w:sz w:val="24"/>
          <w:szCs w:val="24"/>
          <w:lang w:val="es-MX" w:eastAsia="es-MX"/>
        </w:rPr>
        <w:t xml:space="preserve"> si estos se realizan</w:t>
      </w:r>
      <w:r w:rsidRPr="00113C5F">
        <w:rPr>
          <w:rFonts w:ascii="Century Gothic" w:hAnsi="Century Gothic"/>
          <w:b/>
          <w:sz w:val="24"/>
          <w:szCs w:val="24"/>
          <w:lang w:val="es-MX" w:eastAsia="es-MX"/>
        </w:rPr>
        <w:t xml:space="preserve"> durante el primer bimestre de 2022.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13C5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ARTÍCULO 41.</w:t>
      </w:r>
      <w:r w:rsidRPr="00113C5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…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13C5F">
        <w:rPr>
          <w:rFonts w:ascii="Century Gothic" w:eastAsia="Calibri" w:hAnsi="Century Gothic" w:cs="Arial"/>
          <w:sz w:val="24"/>
          <w:szCs w:val="24"/>
          <w:lang w:val="es-MX" w:eastAsia="en-US"/>
        </w:rPr>
        <w:t>…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ind w:left="284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113C5F">
        <w:rPr>
          <w:rFonts w:ascii="Century Gothic" w:eastAsia="Calibri" w:hAnsi="Century Gothic" w:cs="Arial"/>
          <w:sz w:val="24"/>
          <w:szCs w:val="24"/>
          <w:lang w:val="es-MX" w:eastAsia="en-US"/>
        </w:rPr>
        <w:lastRenderedPageBreak/>
        <w:t xml:space="preserve">a. al </w:t>
      </w:r>
      <w:proofErr w:type="gramStart"/>
      <w:r w:rsidRPr="00113C5F">
        <w:rPr>
          <w:rFonts w:ascii="Century Gothic" w:eastAsia="Calibri" w:hAnsi="Century Gothic" w:cs="Arial"/>
          <w:sz w:val="24"/>
          <w:szCs w:val="24"/>
          <w:lang w:val="es-MX" w:eastAsia="en-US"/>
        </w:rPr>
        <w:t>f. …</w:t>
      </w:r>
      <w:proofErr w:type="gramEnd"/>
    </w:p>
    <w:p w:rsidR="00113C5F" w:rsidRPr="00113C5F" w:rsidRDefault="00113C5F" w:rsidP="00113C5F">
      <w:pPr>
        <w:spacing w:line="360" w:lineRule="auto"/>
        <w:ind w:left="284"/>
        <w:contextualSpacing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</w:pPr>
      <w:r w:rsidRPr="00113C5F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g. Regidor de la Comisión de Grupos Vulnerables.   </w:t>
      </w:r>
    </w:p>
    <w:p w:rsidR="00113C5F" w:rsidRPr="00113C5F" w:rsidRDefault="00113C5F" w:rsidP="00113C5F">
      <w:pPr>
        <w:spacing w:line="360" w:lineRule="auto"/>
        <w:ind w:left="284"/>
        <w:contextualSpacing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113C5F">
        <w:rPr>
          <w:rFonts w:ascii="Century Gothic" w:hAnsi="Century Gothic"/>
          <w:b/>
          <w:bCs/>
          <w:color w:val="000000"/>
          <w:sz w:val="24"/>
          <w:szCs w:val="24"/>
          <w:lang w:val="es-MX" w:eastAsia="es-MX"/>
        </w:rPr>
        <w:t xml:space="preserve">h. Regidor de la Comisión de Asuntos Religiosos, Vida y Familia.   </w:t>
      </w:r>
      <w:r w:rsidRPr="00113C5F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   </w:t>
      </w:r>
    </w:p>
    <w:p w:rsidR="00113C5F" w:rsidRPr="00113C5F" w:rsidRDefault="00113C5F" w:rsidP="00113C5F">
      <w:pPr>
        <w:spacing w:line="360" w:lineRule="auto"/>
        <w:contextualSpacing/>
        <w:jc w:val="center"/>
        <w:rPr>
          <w:rFonts w:ascii="Century Gothic" w:hAnsi="Century Gothic"/>
          <w:b/>
          <w:color w:val="000000"/>
          <w:sz w:val="24"/>
          <w:szCs w:val="24"/>
          <w:lang w:val="es-MX" w:eastAsia="es-MX"/>
        </w:rPr>
      </w:pPr>
    </w:p>
    <w:p w:rsidR="00113C5F" w:rsidRPr="00113C5F" w:rsidRDefault="00113C5F" w:rsidP="00113C5F">
      <w:pPr>
        <w:spacing w:line="360" w:lineRule="auto"/>
        <w:contextualSpacing/>
        <w:jc w:val="center"/>
        <w:rPr>
          <w:rFonts w:ascii="Century Gothic" w:hAnsi="Century Gothic"/>
          <w:b/>
          <w:color w:val="000000"/>
          <w:sz w:val="24"/>
          <w:szCs w:val="24"/>
          <w:lang w:val="es-MX" w:eastAsia="es-MX"/>
        </w:rPr>
      </w:pPr>
      <w:r w:rsidRPr="00113C5F">
        <w:rPr>
          <w:rFonts w:ascii="Century Gothic" w:hAnsi="Century Gothic"/>
          <w:b/>
          <w:color w:val="000000"/>
          <w:sz w:val="24"/>
          <w:szCs w:val="24"/>
          <w:lang w:val="es-MX" w:eastAsia="es-MX"/>
        </w:rPr>
        <w:t>TRANSITORIOS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hAnsi="Century Gothic"/>
          <w:b/>
          <w:color w:val="000000"/>
          <w:sz w:val="24"/>
          <w:szCs w:val="24"/>
          <w:lang w:val="es-MX" w:eastAsia="es-MX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hAnsi="Century Gothic"/>
          <w:b/>
          <w:color w:val="000000"/>
          <w:sz w:val="24"/>
          <w:szCs w:val="24"/>
          <w:lang w:val="es-MX" w:eastAsia="es-MX"/>
        </w:rPr>
      </w:pPr>
      <w:r w:rsidRPr="00113C5F">
        <w:rPr>
          <w:rFonts w:ascii="Century Gothic" w:hAnsi="Century Gothic"/>
          <w:b/>
          <w:color w:val="000000"/>
          <w:sz w:val="24"/>
          <w:szCs w:val="24"/>
          <w:lang w:val="es-MX" w:eastAsia="es-MX"/>
        </w:rPr>
        <w:t xml:space="preserve">ARTÍCULO PRIMERO.- </w:t>
      </w:r>
      <w:r w:rsidRPr="00113C5F">
        <w:rPr>
          <w:rFonts w:ascii="Century Gothic" w:hAnsi="Century Gothic"/>
          <w:color w:val="000000"/>
          <w:sz w:val="24"/>
          <w:szCs w:val="24"/>
          <w:lang w:val="es-MX" w:eastAsia="es-MX"/>
        </w:rPr>
        <w:t>al</w:t>
      </w:r>
      <w:r w:rsidRPr="00113C5F">
        <w:rPr>
          <w:rFonts w:ascii="Century Gothic" w:hAnsi="Century Gothic"/>
          <w:b/>
          <w:color w:val="000000"/>
          <w:sz w:val="24"/>
          <w:szCs w:val="24"/>
          <w:lang w:val="es-MX" w:eastAsia="es-MX"/>
        </w:rPr>
        <w:t xml:space="preserve"> ARTÍCULO CUARTO.</w:t>
      </w:r>
      <w:proofErr w:type="gramStart"/>
      <w:r w:rsidRPr="00113C5F">
        <w:rPr>
          <w:rFonts w:ascii="Century Gothic" w:hAnsi="Century Gothic"/>
          <w:b/>
          <w:color w:val="000000"/>
          <w:sz w:val="24"/>
          <w:szCs w:val="24"/>
          <w:lang w:val="es-MX" w:eastAsia="es-MX"/>
        </w:rPr>
        <w:t>-</w:t>
      </w:r>
      <w:r w:rsidRPr="00113C5F">
        <w:rPr>
          <w:rFonts w:ascii="Century Gothic" w:hAnsi="Century Gothic"/>
          <w:color w:val="000000"/>
          <w:sz w:val="24"/>
          <w:szCs w:val="24"/>
          <w:lang w:val="es-MX" w:eastAsia="es-MX"/>
        </w:rPr>
        <w:t xml:space="preserve"> …</w:t>
      </w:r>
      <w:proofErr w:type="gramEnd"/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Dotum" w:hAnsi="Century Gothic" w:cs="Arial"/>
          <w:b/>
          <w:color w:val="000000"/>
          <w:kern w:val="3"/>
          <w:sz w:val="24"/>
          <w:szCs w:val="24"/>
          <w:lang w:val="es-MX" w:eastAsia="es-MX"/>
        </w:rPr>
      </w:pP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113C5F">
        <w:rPr>
          <w:rFonts w:ascii="Century Gothic" w:eastAsia="Dotum" w:hAnsi="Century Gothic" w:cs="Arial"/>
          <w:b/>
          <w:color w:val="000000"/>
          <w:kern w:val="3"/>
          <w:sz w:val="24"/>
          <w:szCs w:val="24"/>
          <w:lang w:val="es-MX" w:eastAsia="es-MX"/>
        </w:rPr>
        <w:t xml:space="preserve">ARTÍCULO QUINTO.- Para efectos del cálculo del Impuesto Predial, y tratándose de aquellas cuentas subvaluadas, se utilizará el mismo valor de la base gravable al 31 de diciembre del 2021, actualizándose su valor catastral aplicando los valores </w:t>
      </w:r>
      <w:r w:rsidR="00F21A22">
        <w:rPr>
          <w:rFonts w:ascii="Century Gothic" w:eastAsia="Dotum" w:hAnsi="Century Gothic" w:cs="Arial"/>
          <w:b/>
          <w:color w:val="000000"/>
          <w:kern w:val="3"/>
          <w:sz w:val="24"/>
          <w:szCs w:val="24"/>
          <w:lang w:val="es-MX" w:eastAsia="es-MX"/>
        </w:rPr>
        <w:t xml:space="preserve">de las </w:t>
      </w:r>
      <w:r w:rsidRPr="00113C5F">
        <w:rPr>
          <w:rFonts w:ascii="Century Gothic" w:eastAsia="Dotum" w:hAnsi="Century Gothic" w:cs="Arial"/>
          <w:b/>
          <w:color w:val="000000"/>
          <w:kern w:val="3"/>
          <w:sz w:val="24"/>
          <w:szCs w:val="24"/>
          <w:lang w:val="es-MX" w:eastAsia="es-MX"/>
        </w:rPr>
        <w:t>tablas vigentes, conforme al esquema y plazos determinados por el H. Ayuntamiento del Municipio de Delicias.</w:t>
      </w:r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TARIFA</w:t>
      </w:r>
    </w:p>
    <w:p w:rsidR="00113C5F" w:rsidRPr="00113C5F" w:rsidRDefault="00113C5F" w:rsidP="00113C5F">
      <w:pPr>
        <w:spacing w:line="360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proofErr w:type="gram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I.</w:t>
      </w:r>
      <w:proofErr w:type="gram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 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II.1</w:t>
      </w:r>
      <w:proofErr w:type="spellEnd"/>
      <w:proofErr w:type="gram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. 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  <w:proofErr w:type="gramEnd"/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bookmarkStart w:id="0" w:name="_GoBack"/>
      <w:bookmarkEnd w:id="0"/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lastRenderedPageBreak/>
        <w:t>II.2</w:t>
      </w:r>
      <w:proofErr w:type="spellEnd"/>
      <w:proofErr w:type="gram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. 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  <w:proofErr w:type="gramEnd"/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II.2.1</w:t>
      </w:r>
      <w:proofErr w:type="spell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al </w:t>
      </w: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II.2.7</w:t>
      </w:r>
      <w:proofErr w:type="spell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…</w:t>
      </w: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II.2.8</w:t>
      </w:r>
      <w:proofErr w:type="spell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proofErr w:type="gram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-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…</w:t>
      </w:r>
      <w:proofErr w:type="gramEnd"/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1.- al 17.</w:t>
      </w:r>
      <w:proofErr w:type="gramStart"/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- …</w:t>
      </w:r>
      <w:proofErr w:type="gramEnd"/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113C5F" w:rsidRPr="00113C5F" w:rsidTr="00704BFF">
        <w:tc>
          <w:tcPr>
            <w:tcW w:w="6771" w:type="dxa"/>
            <w:shd w:val="clear" w:color="auto" w:fill="auto"/>
          </w:tcPr>
          <w:p w:rsidR="00113C5F" w:rsidRPr="00113C5F" w:rsidRDefault="00113C5F" w:rsidP="00113C5F">
            <w:pPr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sz w:val="28"/>
                <w:szCs w:val="24"/>
                <w:lang w:val="es-MX" w:eastAsia="en-US"/>
              </w:rPr>
            </w:pPr>
            <w:r w:rsidRPr="00113C5F">
              <w:rPr>
                <w:rFonts w:ascii="Century Gothic" w:eastAsia="Arial" w:hAnsi="Century Gothic" w:cs="Arial"/>
                <w:b/>
                <w:bCs/>
                <w:sz w:val="24"/>
                <w:szCs w:val="24"/>
                <w:lang w:val="es-MX" w:eastAsia="en-US"/>
              </w:rPr>
              <w:t xml:space="preserve">18.- Tratándose de licencias con domicilio en otro municipio, por las que se solicite alguno de los trámites descritos en los numerales 14, 15, 16 y 17, del presente apartado </w:t>
            </w:r>
            <w:proofErr w:type="spellStart"/>
            <w:r w:rsidRPr="00113C5F">
              <w:rPr>
                <w:rFonts w:ascii="Century Gothic" w:eastAsia="Arial" w:hAnsi="Century Gothic" w:cs="Arial"/>
                <w:b/>
                <w:bCs/>
                <w:sz w:val="24"/>
                <w:szCs w:val="24"/>
                <w:lang w:val="es-MX" w:eastAsia="en-US"/>
              </w:rPr>
              <w:t>II.2.8</w:t>
            </w:r>
            <w:proofErr w:type="spellEnd"/>
            <w:r w:rsidRPr="00113C5F">
              <w:rPr>
                <w:rFonts w:ascii="Century Gothic" w:eastAsia="Arial" w:hAnsi="Century Gothic" w:cs="Arial"/>
                <w:b/>
                <w:bCs/>
                <w:sz w:val="24"/>
                <w:szCs w:val="24"/>
                <w:lang w:val="es-MX" w:eastAsia="en-US"/>
              </w:rPr>
              <w:t>, costo por trámite.</w:t>
            </w:r>
          </w:p>
        </w:tc>
        <w:tc>
          <w:tcPr>
            <w:tcW w:w="2268" w:type="dxa"/>
            <w:shd w:val="clear" w:color="auto" w:fill="auto"/>
          </w:tcPr>
          <w:p w:rsidR="00113C5F" w:rsidRPr="00113C5F" w:rsidRDefault="00113C5F" w:rsidP="00113C5F">
            <w:pPr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sz w:val="28"/>
                <w:szCs w:val="24"/>
                <w:lang w:val="es-MX" w:eastAsia="en-US"/>
              </w:rPr>
            </w:pPr>
            <w:r w:rsidRPr="00113C5F">
              <w:rPr>
                <w:rFonts w:ascii="Century Gothic" w:eastAsia="Arial" w:hAnsi="Century Gothic" w:cs="Arial"/>
                <w:b/>
                <w:bCs/>
                <w:sz w:val="24"/>
                <w:szCs w:val="24"/>
                <w:lang w:val="es-MX" w:eastAsia="en-US"/>
              </w:rPr>
              <w:t xml:space="preserve">500 </w:t>
            </w:r>
            <w:proofErr w:type="spellStart"/>
            <w:r w:rsidRPr="00113C5F">
              <w:rPr>
                <w:rFonts w:ascii="Century Gothic" w:eastAsia="Arial" w:hAnsi="Century Gothic" w:cs="Arial"/>
                <w:b/>
                <w:bCs/>
                <w:sz w:val="24"/>
                <w:szCs w:val="24"/>
                <w:lang w:val="es-MX" w:eastAsia="en-US"/>
              </w:rPr>
              <w:t>UMA</w:t>
            </w:r>
            <w:proofErr w:type="spellEnd"/>
          </w:p>
        </w:tc>
      </w:tr>
    </w:tbl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II.2.9</w:t>
      </w:r>
      <w:proofErr w:type="spell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al </w:t>
      </w:r>
      <w:proofErr w:type="spell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II.2.14</w:t>
      </w:r>
      <w:proofErr w:type="spellEnd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…</w:t>
      </w: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113C5F" w:rsidRPr="00113C5F" w:rsidRDefault="00113C5F" w:rsidP="00113C5F">
      <w:pPr>
        <w:spacing w:line="360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III</w:t>
      </w:r>
      <w:proofErr w:type="gramStart"/>
      <w:r w:rsidRPr="00113C5F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…</w:t>
      </w:r>
      <w:proofErr w:type="gramEnd"/>
    </w:p>
    <w:p w:rsidR="00113C5F" w:rsidRPr="00113C5F" w:rsidRDefault="00113C5F" w:rsidP="00113C5F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s-MX" w:eastAsia="en-US"/>
        </w:rPr>
      </w:pPr>
      <w:r w:rsidRPr="00113C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 R A N S I T O R I O S</w:t>
      </w:r>
    </w:p>
    <w:p w:rsidR="00113C5F" w:rsidRPr="00113C5F" w:rsidRDefault="00113C5F" w:rsidP="00113C5F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113C5F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PRIMERO.- </w:t>
      </w:r>
      <w:r w:rsidRPr="00113C5F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113C5F" w:rsidRPr="00113C5F" w:rsidRDefault="00113C5F" w:rsidP="00113C5F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113C5F" w:rsidRPr="00113C5F" w:rsidRDefault="00113C5F" w:rsidP="00113C5F">
      <w:pPr>
        <w:spacing w:line="360" w:lineRule="auto"/>
        <w:jc w:val="both"/>
        <w:rPr>
          <w:rFonts w:ascii="Century Gothic" w:eastAsia="Arial" w:hAnsi="Century Gothic" w:cs="Arial"/>
          <w:bCs/>
          <w:color w:val="000000"/>
          <w:sz w:val="24"/>
          <w:szCs w:val="22"/>
          <w:lang w:val="es-MX"/>
        </w:rPr>
      </w:pPr>
      <w:r w:rsidRPr="00113C5F">
        <w:rPr>
          <w:rFonts w:ascii="Century Gothic" w:eastAsia="Arial" w:hAnsi="Century Gothic" w:cs="Arial"/>
          <w:b/>
          <w:bCs/>
          <w:color w:val="000000"/>
          <w:sz w:val="28"/>
          <w:szCs w:val="22"/>
          <w:lang w:val="es-MX"/>
        </w:rPr>
        <w:lastRenderedPageBreak/>
        <w:t xml:space="preserve">ARTÍCULO SEGUNDO.- </w:t>
      </w:r>
      <w:r w:rsidRPr="00113C5F">
        <w:rPr>
          <w:rFonts w:ascii="Century Gothic" w:eastAsia="Arial" w:hAnsi="Century Gothic" w:cs="Arial"/>
          <w:bCs/>
          <w:color w:val="000000"/>
          <w:sz w:val="24"/>
          <w:szCs w:val="22"/>
          <w:lang w:val="es-MX"/>
        </w:rPr>
        <w:t>Se autoriza al H. Ayuntamiento del Municipio de Delicias, para que a través de las áreas competentes, lleve a cabo los trámites administrativos, financieros y contables necesarios para el cumplimiento del presente Decreto, con efectos, según corresponda, al primero de enero del año 2022.</w:t>
      </w:r>
    </w:p>
    <w:p w:rsidR="009E34A1" w:rsidRDefault="009E34A1" w:rsidP="00113C5F">
      <w:pPr>
        <w:spacing w:line="360" w:lineRule="auto"/>
        <w:jc w:val="both"/>
        <w:rPr>
          <w:rFonts w:ascii="Century Gothic" w:hAnsi="Century Gothic" w:cs="Arial"/>
          <w:sz w:val="24"/>
          <w:szCs w:val="18"/>
          <w:lang w:val="es-MX" w:eastAsia="es-MX"/>
        </w:rPr>
      </w:pPr>
    </w:p>
    <w:p w:rsidR="00DB27A4" w:rsidRDefault="00DB27A4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113C5F" w:rsidRDefault="00113C5F" w:rsidP="00113C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1139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98" w:rsidRDefault="003D5A98">
      <w:r>
        <w:separator/>
      </w:r>
    </w:p>
  </w:endnote>
  <w:endnote w:type="continuationSeparator" w:id="0">
    <w:p w:rsidR="003D5A98" w:rsidRDefault="003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146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98" w:rsidRDefault="003D5A98">
      <w:r>
        <w:separator/>
      </w:r>
    </w:p>
  </w:footnote>
  <w:footnote w:type="continuationSeparator" w:id="0">
    <w:p w:rsidR="003D5A98" w:rsidRDefault="003D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E34A1">
      <w:rPr>
        <w:rFonts w:ascii="Century Gothic" w:hAnsi="Century Gothic"/>
        <w:b/>
        <w:sz w:val="24"/>
        <w:szCs w:val="24"/>
        <w:lang w:val="es-MX"/>
      </w:rPr>
      <w:t>RFLIM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9E34A1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3C5F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460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D5A98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D20"/>
    <w:rsid w:val="00EF4676"/>
    <w:rsid w:val="00F1041A"/>
    <w:rsid w:val="00F1139C"/>
    <w:rsid w:val="00F147D1"/>
    <w:rsid w:val="00F21A22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2022-03-29T17:59:00Z</cp:lastPrinted>
  <dcterms:created xsi:type="dcterms:W3CDTF">2021-10-05T18:17:00Z</dcterms:created>
  <dcterms:modified xsi:type="dcterms:W3CDTF">2022-03-29T18:24:00Z</dcterms:modified>
</cp:coreProperties>
</file>