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C4259">
        <w:rPr>
          <w:rFonts w:ascii="Century Gothic" w:hAnsi="Century Gothic"/>
          <w:b/>
          <w:sz w:val="25"/>
          <w:szCs w:val="25"/>
          <w:lang w:val="es-MX"/>
        </w:rPr>
        <w:t>ITCYC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20</w:t>
      </w:r>
      <w:r w:rsidR="002C4259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ARTÍCULO PRIMERO.-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La Sexagésima Séptima Legislatura del H. Congreso del Estado</w:t>
      </w:r>
      <w:r w:rsidRPr="00481D5F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,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crea la Comisión Especial para la Reforma Integral de la Constitución Política del Estado de Chihuahua, l</w:t>
      </w:r>
      <w:r w:rsidRPr="00481D5F">
        <w:rPr>
          <w:rFonts w:ascii="Century Gothic" w:eastAsia="Calibri" w:hAnsi="Century Gothic" w:cs="Arial"/>
          <w:sz w:val="24"/>
          <w:szCs w:val="24"/>
          <w:lang w:val="es-MX" w:eastAsia="en-US"/>
        </w:rPr>
        <w:t>a cual queda conformada de la siguiente manera:</w:t>
      </w: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3946"/>
        <w:gridCol w:w="3334"/>
      </w:tblGrid>
      <w:tr w:rsidR="00481D5F" w:rsidRPr="00481D5F" w:rsidTr="00431CF7">
        <w:trPr>
          <w:jc w:val="center"/>
        </w:trPr>
        <w:tc>
          <w:tcPr>
            <w:tcW w:w="1622" w:type="dxa"/>
            <w:shd w:val="clear" w:color="auto" w:fill="auto"/>
          </w:tcPr>
          <w:p w:rsidR="00481D5F" w:rsidRPr="00481D5F" w:rsidRDefault="00481D5F" w:rsidP="00481D5F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/>
                <w:bCs/>
                <w:sz w:val="22"/>
                <w:szCs w:val="24"/>
                <w:lang w:val="es-MX" w:eastAsia="en-US"/>
              </w:rPr>
              <w:t>CARGO</w:t>
            </w:r>
          </w:p>
        </w:tc>
        <w:tc>
          <w:tcPr>
            <w:tcW w:w="3946" w:type="dxa"/>
            <w:shd w:val="clear" w:color="auto" w:fill="auto"/>
          </w:tcPr>
          <w:p w:rsidR="00481D5F" w:rsidRPr="00481D5F" w:rsidRDefault="00481D5F" w:rsidP="00481D5F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/>
                <w:bCs/>
                <w:sz w:val="22"/>
                <w:szCs w:val="24"/>
                <w:lang w:val="es-MX" w:eastAsia="en-US"/>
              </w:rPr>
              <w:t>PROPIETARIO (A)</w:t>
            </w:r>
          </w:p>
        </w:tc>
        <w:tc>
          <w:tcPr>
            <w:tcW w:w="3334" w:type="dxa"/>
          </w:tcPr>
          <w:p w:rsidR="00481D5F" w:rsidRPr="00481D5F" w:rsidRDefault="00481D5F" w:rsidP="00481D5F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/>
                <w:bCs/>
                <w:sz w:val="22"/>
                <w:szCs w:val="24"/>
                <w:lang w:val="es-MX" w:eastAsia="en-US"/>
              </w:rPr>
              <w:t>SUPLENTE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PRESIDENTE: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MARIO HUMBERTO VÁZQUEZ ROBLES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JOSÉ ALFREDO CHÁVEZ MADRID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SECRETARIO: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EDIN CUAUHTÉMOC ESTRADA SOTELO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BENJAMÍN CARRERA CHÁVEZ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VOCAL: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CARLOS ALFREDO OLSON SAN VICENTE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LUIS ALBERTO AGUILAR LOZOYA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VOCAL: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GEORGINA ALEJANDRA BUJANDA RÍOS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GABRIEL ÁNGEL GARCÍA CANTÚ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lastRenderedPageBreak/>
              <w:t>VOCAL: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ROSA ISELA MARTÍNEZ DÍAZ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ROCIO GUADALUPE SARMIENTO</w:t>
            </w:r>
            <w:r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 xml:space="preserve"> RUFINO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VOCAL: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ADRIANA TERRAZAS PORRAS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ROSANA DÍAZ REYES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VOCAL: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GUSTAVO DE LA ROSA HICKERSON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ÓSCAR DANIEL AVITIA ARELLANES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VOCAL: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EDGAR JOSÉ PIÑÓN DOMÍNGUEZ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IVÓN SALAZAR MORALES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VOCAL: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ANA GEORGINA ZAPATA LUCERO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NOEL CHÁVEZ VELÁZQUEZ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VOCAL: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FRANCISCO ADRIÁN SÁNCHEZ VILLEGAS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ILSE AMÉRICA GARCÍA SOTO</w:t>
            </w:r>
          </w:p>
        </w:tc>
      </w:tr>
      <w:tr w:rsidR="00481D5F" w:rsidRPr="00481D5F" w:rsidTr="00431CF7">
        <w:trPr>
          <w:trHeight w:val="794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VOCAL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AMELIA DEYANIRA OZAETA DÍAZ</w:t>
            </w:r>
          </w:p>
        </w:tc>
        <w:tc>
          <w:tcPr>
            <w:tcW w:w="3334" w:type="dxa"/>
            <w:vAlign w:val="center"/>
          </w:tcPr>
          <w:p w:rsidR="00481D5F" w:rsidRPr="00481D5F" w:rsidRDefault="00481D5F" w:rsidP="00481D5F">
            <w:pPr>
              <w:spacing w:line="360" w:lineRule="auto"/>
              <w:rPr>
                <w:rFonts w:ascii="Century Gothic" w:eastAsia="Calibri" w:hAnsi="Century Gothic"/>
                <w:sz w:val="22"/>
                <w:szCs w:val="22"/>
                <w:lang w:val="es-MX" w:eastAsia="en-US"/>
              </w:rPr>
            </w:pPr>
            <w:r w:rsidRPr="00481D5F">
              <w:rPr>
                <w:rFonts w:ascii="Century Gothic" w:eastAsia="Calibri" w:hAnsi="Century Gothic" w:cs="Arial"/>
                <w:bCs/>
                <w:sz w:val="22"/>
                <w:szCs w:val="24"/>
                <w:lang w:val="es-MX" w:eastAsia="en-US"/>
              </w:rPr>
              <w:t>DIP. MARISELA TERRAZAS MUÑOZ</w:t>
            </w:r>
          </w:p>
        </w:tc>
      </w:tr>
    </w:tbl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sz w:val="24"/>
          <w:szCs w:val="24"/>
          <w:lang w:val="es-MX" w:eastAsia="en-US"/>
        </w:rPr>
        <w:t>En el caso de que no esté presente la o el propietario, asumirá su lugar el suplente, con todos los derechos y obligaciones.</w:t>
      </w: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SEGUNDO.-</w:t>
      </w:r>
      <w:r w:rsidRPr="00481D5F">
        <w:rPr>
          <w:rFonts w:ascii="Century Gothic" w:eastAsia="Calibri" w:hAnsi="Century Gothic" w:cs="Arial"/>
          <w:bCs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La Comisión Especial conducirá los trabajos inherentes a su denominación. En la elaboración y dictamen de la iniciativa de reforma a la Constitución, recabará la opinión de las Comisiones de Dictamen Legislativo y Comités del H. Congreso del Estado, en las materias que corresponda.</w:t>
      </w: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</w:p>
    <w:p w:rsid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Asimismo, </w:t>
      </w:r>
      <w:r w:rsidRPr="00481D5F">
        <w:rPr>
          <w:rFonts w:ascii="Century Gothic" w:eastAsia="Calibri" w:hAnsi="Century Gothic" w:cs="Arial"/>
          <w:sz w:val="24"/>
          <w:szCs w:val="24"/>
          <w:lang w:val="es-MX" w:eastAsia="en-US"/>
        </w:rPr>
        <w:t>proveerá lo necesario a fin de dar cumplimiento a las disposiciones en materia de participación ciudadana y consulta a los pueblos originarios.</w:t>
      </w: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</w:p>
    <w:p w:rsid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TERCERO.-</w:t>
      </w:r>
      <w:r w:rsidRPr="00481D5F">
        <w:rPr>
          <w:rFonts w:ascii="Century Gothic" w:eastAsia="Calibri" w:hAnsi="Century Gothic" w:cs="Arial"/>
          <w:bCs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Se designa a la Secretaría de Asuntos Legislativos y Jurídicos como el enlace entre la Comisión Especial y los Representantes de los Poderes Ejecutivo y Judicial, y Organismos Públicos Autónomos, ante dicha Comisión.</w:t>
      </w: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ARTÍCULO CUARTO</w:t>
      </w:r>
      <w:r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.</w:t>
      </w:r>
      <w:r w:rsidRPr="00481D5F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-</w:t>
      </w:r>
      <w:r w:rsidRPr="00481D5F"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Se instruye a la Secretaría de Administración para que</w:t>
      </w:r>
      <w:r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,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conforme a los recursos disponibles, provea lo necesario en los términos de la normatividad aplicable, a fin de que la Comisión Especial cuente con suficiencia presupuestal para cumplir su encomienda.</w:t>
      </w:r>
    </w:p>
    <w:p w:rsidR="00481D5F" w:rsidRPr="00481D5F" w:rsidRDefault="00481D5F" w:rsidP="00481D5F">
      <w:pPr>
        <w:spacing w:line="360" w:lineRule="auto"/>
        <w:jc w:val="center"/>
        <w:rPr>
          <w:rFonts w:ascii="Century Gothic" w:eastAsia="Calibri" w:hAnsi="Century Gothic" w:cs="Arial"/>
          <w:b/>
          <w:sz w:val="28"/>
          <w:szCs w:val="24"/>
          <w:lang w:val="es-MX" w:eastAsia="en-US"/>
        </w:rPr>
      </w:pPr>
    </w:p>
    <w:p w:rsidR="00481D5F" w:rsidRDefault="00481D5F" w:rsidP="00481D5F">
      <w:pPr>
        <w:spacing w:line="360" w:lineRule="auto"/>
        <w:jc w:val="center"/>
        <w:rPr>
          <w:rFonts w:ascii="Century Gothic" w:eastAsia="Calibri" w:hAnsi="Century Gothic" w:cs="Arial"/>
          <w:b/>
          <w:sz w:val="28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R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N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I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O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R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I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O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</w:t>
      </w:r>
    </w:p>
    <w:p w:rsidR="00481D5F" w:rsidRPr="00481D5F" w:rsidRDefault="00481D5F" w:rsidP="00481D5F">
      <w:pPr>
        <w:spacing w:line="360" w:lineRule="auto"/>
        <w:jc w:val="center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ARTÍCULO PRIMERO.-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El presente Decreto entrará en vigor el día de su publicación en el Periódico Oficial del Estado.</w:t>
      </w: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lastRenderedPageBreak/>
        <w:t xml:space="preserve">ARTÍCULO SEGUNDO.-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Los Poderes Ejecutivo y Judicial y  los Organismos Públicos Autónomos, nombrarán a quienes fungirán como su representante ante la Comisión.  </w:t>
      </w: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</w:p>
    <w:p w:rsid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ARTÍCULO TERCERO.-</w:t>
      </w:r>
      <w:r w:rsidRPr="00481D5F">
        <w:rPr>
          <w:rFonts w:ascii="Century Gothic" w:eastAsia="Calibri" w:hAnsi="Century Gothic" w:cs="Arial"/>
          <w:bCs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Se instruye a la Secretaría de Asuntos Legislativos y Jurídicos realice las notificaciones correspondientes, para dar cumplimiento a lo previsto en el artículo anterior.</w:t>
      </w: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</w:p>
    <w:p w:rsid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ARTÍCULO CUARTO.-</w:t>
      </w:r>
      <w:r w:rsidRPr="00481D5F">
        <w:rPr>
          <w:rFonts w:ascii="Century Gothic" w:eastAsia="Calibri" w:hAnsi="Century Gothic" w:cs="Arial"/>
          <w:bCs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La Comisión Especial se extinguirá una vez que el Pleno expida la Declaratoria de Reforma Constitucional, prevista en el artículo 202 de la Constitución Política del Estado.</w:t>
      </w: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</w:p>
    <w:p w:rsidR="00481D5F" w:rsidRPr="00481D5F" w:rsidRDefault="00481D5F" w:rsidP="00481D5F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481D5F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ARTÍCULO QUINTO.-</w:t>
      </w:r>
      <w:r w:rsidRPr="00481D5F">
        <w:rPr>
          <w:rFonts w:ascii="Century Gothic" w:eastAsia="Calibri" w:hAnsi="Century Gothic" w:cs="Arial"/>
          <w:bCs/>
          <w:sz w:val="28"/>
          <w:szCs w:val="24"/>
          <w:lang w:val="es-MX" w:eastAsia="en-US"/>
        </w:rPr>
        <w:t xml:space="preserve"> </w:t>
      </w:r>
      <w:r w:rsidRPr="00481D5F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Las Comisiones de Dictamen Legislativo, una vez expedida la Declaratoria a que se refiere el artículo anterior, realizarán las adecuaciones necesarias a la normatividad secundaria, conforme a lo establecido en el Decreto de Reforma Constitucional.</w:t>
      </w:r>
    </w:p>
    <w:p w:rsidR="00375ADB" w:rsidRDefault="00375ADB" w:rsidP="00481D5F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Pr="00CB0502" w:rsidRDefault="00DB27A4" w:rsidP="00481D5F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375ADB">
        <w:rPr>
          <w:rFonts w:ascii="Century Gothic" w:hAnsi="Century Gothic"/>
          <w:szCs w:val="24"/>
        </w:rPr>
        <w:t>diez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CB0502" w:rsidRDefault="00CB0502" w:rsidP="00CB0502">
      <w:pPr>
        <w:pStyle w:val="Sangradetextonormal"/>
        <w:ind w:left="0" w:right="23"/>
        <w:rPr>
          <w:rFonts w:ascii="Century Gothic" w:hAnsi="Century Gothic"/>
          <w:szCs w:val="24"/>
        </w:rPr>
      </w:pPr>
    </w:p>
    <w:p w:rsidR="00CB0502" w:rsidRDefault="00CB0502" w:rsidP="00CB0502">
      <w:pPr>
        <w:pStyle w:val="Sangradetextonormal"/>
        <w:ind w:left="0" w:right="23"/>
        <w:rPr>
          <w:rFonts w:ascii="Century Gothic" w:hAnsi="Century Gothic"/>
          <w:szCs w:val="24"/>
        </w:rPr>
      </w:pPr>
    </w:p>
    <w:p w:rsidR="00CB0502" w:rsidRDefault="00CB0502" w:rsidP="00CB0502">
      <w:pPr>
        <w:pStyle w:val="Sangradetextonormal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7562E">
      <w:headerReference w:type="default" r:id="rId7"/>
      <w:footerReference w:type="even" r:id="rId8"/>
      <w:footerReference w:type="default" r:id="rId9"/>
      <w:pgSz w:w="12242" w:h="15842" w:code="1"/>
      <w:pgMar w:top="4366" w:right="1644" w:bottom="1474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FF" w:rsidRDefault="007415FF">
      <w:r>
        <w:separator/>
      </w:r>
    </w:p>
  </w:endnote>
  <w:endnote w:type="continuationSeparator" w:id="0">
    <w:p w:rsidR="007415FF" w:rsidRDefault="0074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7AF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FF" w:rsidRDefault="007415FF">
      <w:r>
        <w:separator/>
      </w:r>
    </w:p>
  </w:footnote>
  <w:footnote w:type="continuationSeparator" w:id="0">
    <w:p w:rsidR="007415FF" w:rsidRDefault="0074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C4259">
      <w:rPr>
        <w:rFonts w:ascii="Century Gothic" w:hAnsi="Century Gothic"/>
        <w:b/>
        <w:sz w:val="24"/>
        <w:szCs w:val="24"/>
        <w:lang w:val="es-MX"/>
      </w:rPr>
      <w:t>ITCYC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20</w:t>
    </w:r>
    <w:r w:rsidR="002C4259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452C"/>
    <w:rsid w:val="00195F83"/>
    <w:rsid w:val="0019664E"/>
    <w:rsid w:val="001A1707"/>
    <w:rsid w:val="001A292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62E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0DE9"/>
    <w:rsid w:val="0046269D"/>
    <w:rsid w:val="00471E7F"/>
    <w:rsid w:val="004758AB"/>
    <w:rsid w:val="00480FEE"/>
    <w:rsid w:val="0048126B"/>
    <w:rsid w:val="00481D5F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15FF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3B07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17AFC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61F3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284A"/>
    <w:rsid w:val="00DA5611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2</cp:revision>
  <cp:lastPrinted>2022-03-10T21:02:00Z</cp:lastPrinted>
  <dcterms:created xsi:type="dcterms:W3CDTF">2022-03-11T19:19:00Z</dcterms:created>
  <dcterms:modified xsi:type="dcterms:W3CDTF">2022-03-11T19:19:00Z</dcterms:modified>
</cp:coreProperties>
</file>