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BD6A42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EA251A">
        <w:rPr>
          <w:rFonts w:ascii="Century Gothic" w:hAnsi="Century Gothic"/>
          <w:b/>
          <w:sz w:val="25"/>
          <w:szCs w:val="25"/>
          <w:lang w:val="es-MX"/>
        </w:rPr>
        <w:t>1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BD6A42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D57C6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 xml:space="preserve">ARTÍCULO </w:t>
      </w:r>
      <w:r w:rsidR="003345DF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ÚNICO</w:t>
      </w: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.-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Se 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REFORMAN 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>los artículos 294, numerales 1 y 2; y 296, numeral 1, inciso a) de la Ley Electoral del Estado de Chihuahua, para quedar redactados de la siguiente manera:</w:t>
      </w: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n-US"/>
        </w:rPr>
      </w:pP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n-US"/>
        </w:rPr>
        <w:t>Artículo 294</w:t>
      </w:r>
    </w:p>
    <w:p w:rsidR="00AF198E" w:rsidRPr="00BC21D5" w:rsidRDefault="00AF198E" w:rsidP="00AF198E">
      <w:pPr>
        <w:numPr>
          <w:ilvl w:val="0"/>
          <w:numId w:val="1"/>
        </w:numPr>
        <w:spacing w:line="348" w:lineRule="auto"/>
        <w:ind w:left="1134" w:hanging="567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 xml:space="preserve">El Tribunal Estatal Electoral funcionará en Pleno. Para que pueda sesionar válidamente se requiere la presencia de por lo menos </w:t>
      </w:r>
      <w:r w:rsidRPr="00BC21D5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n-US"/>
        </w:rPr>
        <w:t>dos</w:t>
      </w: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 xml:space="preserve"> de sus integrantes. Sus determinaciones serán válidas con el voto de la mayoría simple de los presentes. En caso de empate, la Magistrada o Magistrado Presidente tendrá voto de calidad, después de haber emitido su voto ordinario. La Secretaria o Secretario General solo tendrá derecho a voz.</w:t>
      </w:r>
    </w:p>
    <w:p w:rsidR="00AF198E" w:rsidRPr="00BC21D5" w:rsidRDefault="00AF198E" w:rsidP="00AF198E">
      <w:pPr>
        <w:spacing w:line="348" w:lineRule="auto"/>
        <w:ind w:left="1134" w:hanging="567"/>
        <w:jc w:val="both"/>
        <w:rPr>
          <w:rFonts w:ascii="Century Gothic" w:eastAsia="Arial" w:hAnsi="Century Gothic" w:cs="Arial"/>
          <w:color w:val="000000"/>
          <w:szCs w:val="24"/>
          <w:lang w:val="es-MX" w:eastAsia="en-US"/>
        </w:rPr>
      </w:pPr>
    </w:p>
    <w:p w:rsidR="00AF198E" w:rsidRPr="00BC21D5" w:rsidRDefault="00AF198E" w:rsidP="00AF198E">
      <w:pPr>
        <w:numPr>
          <w:ilvl w:val="0"/>
          <w:numId w:val="1"/>
        </w:numPr>
        <w:spacing w:line="348" w:lineRule="auto"/>
        <w:ind w:left="1134" w:hanging="567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 xml:space="preserve">El Tribunal Estatal Electoral se integra por </w:t>
      </w:r>
      <w:r w:rsidRPr="00BC21D5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n-US"/>
        </w:rPr>
        <w:t>tres</w:t>
      </w: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 xml:space="preserve"> magistradas y magistrados, de los cuales </w:t>
      </w:r>
      <w:r w:rsidRPr="00BC21D5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n-US"/>
        </w:rPr>
        <w:t xml:space="preserve">uno </w:t>
      </w: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 xml:space="preserve">deberá ser de distinto género a las </w:t>
      </w: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lastRenderedPageBreak/>
        <w:t xml:space="preserve">otras </w:t>
      </w:r>
      <w:r w:rsidRPr="00BC21D5">
        <w:rPr>
          <w:rFonts w:ascii="Century Gothic" w:eastAsia="Arial" w:hAnsi="Century Gothic" w:cs="Arial"/>
          <w:b/>
          <w:color w:val="000000"/>
          <w:sz w:val="24"/>
          <w:szCs w:val="24"/>
          <w:lang w:val="es-MX" w:eastAsia="en-US"/>
        </w:rPr>
        <w:t xml:space="preserve">dos </w:t>
      </w: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 xml:space="preserve">personas, y se deberá alternar el género mayoritario, así como satisfacer los requisitos de elegibilidad que establece la Ley General de Instituciones y Procedimientos Electorales. </w:t>
      </w: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color w:val="000000"/>
          <w:szCs w:val="24"/>
          <w:lang w:val="es-MX" w:eastAsia="en-US"/>
        </w:rPr>
      </w:pPr>
    </w:p>
    <w:p w:rsidR="00AF198E" w:rsidRPr="00BC21D5" w:rsidRDefault="00AF198E" w:rsidP="00AF198E">
      <w:pPr>
        <w:spacing w:line="348" w:lineRule="auto"/>
        <w:ind w:left="1134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>…</w:t>
      </w:r>
    </w:p>
    <w:p w:rsidR="00AF198E" w:rsidRPr="00BC21D5" w:rsidRDefault="00AF198E" w:rsidP="00AF198E">
      <w:pPr>
        <w:spacing w:line="348" w:lineRule="auto"/>
        <w:ind w:left="1134" w:hanging="567"/>
        <w:jc w:val="both"/>
        <w:rPr>
          <w:rFonts w:ascii="Century Gothic" w:eastAsia="Arial" w:hAnsi="Century Gothic" w:cs="Arial"/>
          <w:color w:val="000000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 xml:space="preserve"> </w:t>
      </w: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ab/>
      </w:r>
    </w:p>
    <w:p w:rsidR="00AF198E" w:rsidRPr="00BC21D5" w:rsidRDefault="00AF198E" w:rsidP="00AF198E">
      <w:pPr>
        <w:numPr>
          <w:ilvl w:val="0"/>
          <w:numId w:val="1"/>
        </w:numPr>
        <w:spacing w:line="348" w:lineRule="auto"/>
        <w:ind w:left="1134" w:hanging="567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color w:val="000000"/>
          <w:sz w:val="24"/>
          <w:szCs w:val="24"/>
          <w:lang w:val="es-MX" w:eastAsia="en-US"/>
        </w:rPr>
        <w:t>y 4) …</w:t>
      </w: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b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>Artículo 296</w:t>
      </w: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b/>
          <w:szCs w:val="24"/>
          <w:lang w:val="es-MX" w:eastAsia="en-US"/>
        </w:rPr>
      </w:pPr>
    </w:p>
    <w:p w:rsidR="00AF198E" w:rsidRPr="00BC21D5" w:rsidRDefault="00AF198E" w:rsidP="00AF198E">
      <w:pPr>
        <w:numPr>
          <w:ilvl w:val="0"/>
          <w:numId w:val="2"/>
        </w:numPr>
        <w:spacing w:line="348" w:lineRule="auto"/>
        <w:ind w:left="1134" w:hanging="567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>…</w:t>
      </w:r>
    </w:p>
    <w:p w:rsidR="00AF198E" w:rsidRPr="00BC21D5" w:rsidRDefault="00AF198E" w:rsidP="00AF198E">
      <w:pPr>
        <w:spacing w:line="348" w:lineRule="auto"/>
        <w:ind w:left="360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AF198E" w:rsidRPr="00BC21D5" w:rsidRDefault="00AF198E" w:rsidP="00AF198E">
      <w:pPr>
        <w:numPr>
          <w:ilvl w:val="1"/>
          <w:numId w:val="3"/>
        </w:numPr>
        <w:spacing w:line="348" w:lineRule="auto"/>
        <w:contextualSpacing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Pleno, compuesto por 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>tres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magistraturas, una de las cuales fungirá como Presidencia.</w:t>
      </w: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szCs w:val="24"/>
          <w:lang w:val="es-MX" w:eastAsia="en-US"/>
        </w:rPr>
      </w:pPr>
    </w:p>
    <w:p w:rsidR="00AF198E" w:rsidRPr="00BC21D5" w:rsidRDefault="00AF198E" w:rsidP="00AF198E">
      <w:pPr>
        <w:numPr>
          <w:ilvl w:val="1"/>
          <w:numId w:val="3"/>
        </w:numPr>
        <w:spacing w:line="348" w:lineRule="auto"/>
        <w:contextualSpacing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>a  g)  …</w:t>
      </w:r>
    </w:p>
    <w:p w:rsidR="00AF198E" w:rsidRPr="00BC21D5" w:rsidRDefault="00AF198E" w:rsidP="00AF198E">
      <w:pPr>
        <w:spacing w:line="348" w:lineRule="auto"/>
        <w:jc w:val="center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AF198E" w:rsidRPr="00BC21D5" w:rsidRDefault="00AF198E" w:rsidP="00AF198E">
      <w:pPr>
        <w:spacing w:line="348" w:lineRule="auto"/>
        <w:jc w:val="center"/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</w:t>
      </w:r>
      <w:r w:rsidRPr="00BC21D5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>T R A N S I T O R I O S</w:t>
      </w:r>
    </w:p>
    <w:p w:rsidR="00AF198E" w:rsidRPr="00BC21D5" w:rsidRDefault="00AF198E" w:rsidP="00AF198E">
      <w:pPr>
        <w:spacing w:line="348" w:lineRule="auto"/>
        <w:jc w:val="both"/>
        <w:rPr>
          <w:rFonts w:ascii="Century Gothic" w:eastAsia="Arial" w:hAnsi="Century Gothic" w:cs="Arial"/>
          <w:b/>
          <w:sz w:val="24"/>
          <w:szCs w:val="24"/>
          <w:lang w:val="es-MX" w:eastAsia="en-US"/>
        </w:rPr>
      </w:pPr>
    </w:p>
    <w:p w:rsidR="003345DF" w:rsidRPr="00BC21D5" w:rsidRDefault="003345DF" w:rsidP="003345DF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 xml:space="preserve">ARTÍCULO </w:t>
      </w:r>
      <w:r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PRIMERO</w:t>
      </w: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.-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>El presente Decreto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entrará en vigor al día siguiente de la publicación en el Periódico Oficial del Estado.</w:t>
      </w:r>
    </w:p>
    <w:p w:rsidR="003345DF" w:rsidRPr="00BC21D5" w:rsidRDefault="003345DF" w:rsidP="003345DF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3345DF" w:rsidRPr="00BC21D5" w:rsidRDefault="003345DF" w:rsidP="003345DF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lastRenderedPageBreak/>
        <w:t xml:space="preserve">ARTÍCULO </w:t>
      </w:r>
      <w:r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SEGUNDO</w:t>
      </w: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.-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 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>Se derogan las disposiciones que se opongan al presente Decreto.</w:t>
      </w:r>
    </w:p>
    <w:p w:rsidR="003345DF" w:rsidRPr="00BC21D5" w:rsidRDefault="003345DF" w:rsidP="003345DF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</w:p>
    <w:p w:rsidR="003345DF" w:rsidRPr="00BC21D5" w:rsidRDefault="003345DF" w:rsidP="003345DF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 xml:space="preserve">ARTÍCULO </w:t>
      </w:r>
      <w:r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TERCERO</w:t>
      </w:r>
      <w:r w:rsidRPr="00BC21D5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.-</w:t>
      </w:r>
      <w:r w:rsidRPr="00BC21D5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 </w:t>
      </w:r>
      <w:r w:rsidRPr="00BC21D5">
        <w:rPr>
          <w:rFonts w:ascii="Century Gothic" w:eastAsia="Arial" w:hAnsi="Century Gothic" w:cs="Arial"/>
          <w:sz w:val="24"/>
          <w:szCs w:val="24"/>
          <w:lang w:val="es-MX" w:eastAsia="en-US"/>
        </w:rPr>
        <w:t>Las Magistraturas del Tribunal Estatal Electoral que actualmente se encuentran en funciones, seguirán en el cargo hasta la conclusión del periodo para el que fueron nombradas.</w:t>
      </w:r>
    </w:p>
    <w:p w:rsidR="00AF198E" w:rsidRDefault="00AF198E" w:rsidP="00AF198E">
      <w:pPr>
        <w:spacing w:line="348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AF198E" w:rsidRDefault="00AF198E" w:rsidP="00AF198E">
      <w:pPr>
        <w:pStyle w:val="Sangradetextonormal"/>
        <w:spacing w:line="348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>
        <w:rPr>
          <w:rFonts w:ascii="Century Gothic" w:hAnsi="Century Gothic"/>
          <w:szCs w:val="24"/>
        </w:rPr>
        <w:t>quince</w:t>
      </w:r>
      <w:r w:rsidRPr="00654B69">
        <w:rPr>
          <w:rFonts w:ascii="Century Gothic" w:hAnsi="Century Gothic"/>
          <w:szCs w:val="24"/>
        </w:rPr>
        <w:t xml:space="preserve"> días del mes de </w:t>
      </w:r>
      <w:r>
        <w:rPr>
          <w:rFonts w:ascii="Century Gothic" w:hAnsi="Century Gothic"/>
          <w:szCs w:val="24"/>
        </w:rPr>
        <w:t>diciembre</w:t>
      </w:r>
      <w:r w:rsidRPr="00654B69">
        <w:rPr>
          <w:rFonts w:ascii="Century Gothic" w:hAnsi="Century Gothic"/>
          <w:szCs w:val="24"/>
        </w:rPr>
        <w:t xml:space="preserve"> del año dos mil veintiuno.</w:t>
      </w:r>
    </w:p>
    <w:p w:rsidR="00617F01" w:rsidRDefault="00617F01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750FEB" w:rsidRDefault="00750FEB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750FEB" w:rsidRDefault="00750FEB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3345DF" w:rsidRDefault="003345DF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3345DF" w:rsidRDefault="003345DF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3345DF" w:rsidRDefault="003345DF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3345DF" w:rsidRDefault="003345DF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3345DF" w:rsidRDefault="003345DF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3345DF" w:rsidRDefault="003345DF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3345DF" w:rsidRDefault="003345DF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750FEB" w:rsidRDefault="00750FEB" w:rsidP="002D13D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750FEB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Pr="005C31F0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6F45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D2216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F5" w:rsidRDefault="008160F5">
      <w:r>
        <w:separator/>
      </w:r>
    </w:p>
  </w:endnote>
  <w:endnote w:type="continuationSeparator" w:id="0">
    <w:p w:rsidR="008160F5" w:rsidRDefault="008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221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F5" w:rsidRDefault="008160F5">
      <w:r>
        <w:separator/>
      </w:r>
    </w:p>
  </w:footnote>
  <w:footnote w:type="continuationSeparator" w:id="0">
    <w:p w:rsidR="008160F5" w:rsidRDefault="0081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1626C">
      <w:rPr>
        <w:rFonts w:ascii="Century Gothic" w:hAnsi="Century Gothic"/>
        <w:b/>
        <w:sz w:val="24"/>
        <w:szCs w:val="24"/>
        <w:lang w:val="es-MX"/>
      </w:rPr>
      <w:t>RF</w:t>
    </w:r>
    <w:r w:rsidR="00BD6A42">
      <w:rPr>
        <w:rFonts w:ascii="Century Gothic" w:hAnsi="Century Gothic"/>
        <w:b/>
        <w:sz w:val="24"/>
        <w:szCs w:val="24"/>
        <w:lang w:val="es-MX"/>
      </w:rPr>
      <w:t>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EA251A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0</w:t>
    </w:r>
    <w:r w:rsidR="00BD6A42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EEB"/>
    <w:multiLevelType w:val="multilevel"/>
    <w:tmpl w:val="A8A42A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27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D7139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C62C4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2CF0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345DF"/>
    <w:rsid w:val="0033764B"/>
    <w:rsid w:val="00341601"/>
    <w:rsid w:val="00346888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2216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16F17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0FEB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0F5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E3B"/>
    <w:rsid w:val="00873427"/>
    <w:rsid w:val="00873F47"/>
    <w:rsid w:val="00876F6C"/>
    <w:rsid w:val="008814C7"/>
    <w:rsid w:val="0088222B"/>
    <w:rsid w:val="00882C8F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2C3D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626C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897"/>
    <w:rsid w:val="00AF198E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A42"/>
    <w:rsid w:val="00BE15DF"/>
    <w:rsid w:val="00BE48C7"/>
    <w:rsid w:val="00BE4E71"/>
    <w:rsid w:val="00BE6CBB"/>
    <w:rsid w:val="00BF65B5"/>
    <w:rsid w:val="00C01562"/>
    <w:rsid w:val="00C0258C"/>
    <w:rsid w:val="00C0451E"/>
    <w:rsid w:val="00C073F7"/>
    <w:rsid w:val="00C14918"/>
    <w:rsid w:val="00C206C4"/>
    <w:rsid w:val="00C24A53"/>
    <w:rsid w:val="00C258D8"/>
    <w:rsid w:val="00C35B3A"/>
    <w:rsid w:val="00C41339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2FCA"/>
    <w:rsid w:val="00D03600"/>
    <w:rsid w:val="00D04F44"/>
    <w:rsid w:val="00D05A2E"/>
    <w:rsid w:val="00D05C89"/>
    <w:rsid w:val="00D10763"/>
    <w:rsid w:val="00D269E5"/>
    <w:rsid w:val="00D27F38"/>
    <w:rsid w:val="00D31BF8"/>
    <w:rsid w:val="00D31DAD"/>
    <w:rsid w:val="00D338FA"/>
    <w:rsid w:val="00D41C97"/>
    <w:rsid w:val="00D5222F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4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251A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977DE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80</cp:revision>
  <cp:lastPrinted>2021-12-23T15:11:00Z</cp:lastPrinted>
  <dcterms:created xsi:type="dcterms:W3CDTF">2021-10-05T18:17:00Z</dcterms:created>
  <dcterms:modified xsi:type="dcterms:W3CDTF">2021-12-23T15:11:00Z</dcterms:modified>
</cp:coreProperties>
</file>