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50" w:rsidRDefault="007C5D50" w:rsidP="007C5D50">
      <w:pP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905A48">
        <w:rPr>
          <w:rFonts w:ascii="Century Gothic" w:hAnsi="Century Gothic" w:cs="Arial"/>
          <w:b/>
          <w:sz w:val="24"/>
          <w:szCs w:val="24"/>
        </w:rPr>
        <w:t>ANEXO A LA LEY DE INGRESOS CORRESP</w:t>
      </w:r>
      <w:r>
        <w:rPr>
          <w:rFonts w:ascii="Century Gothic" w:hAnsi="Century Gothic" w:cs="Arial"/>
          <w:b/>
          <w:sz w:val="24"/>
          <w:szCs w:val="24"/>
        </w:rPr>
        <w:t>ONDIENTE AL MUNICIPIO</w:t>
      </w:r>
      <w:r w:rsidRPr="00946C58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b/>
          <w:sz w:val="24"/>
          <w:szCs w:val="24"/>
        </w:rPr>
        <w:t>DE CORONADO</w:t>
      </w:r>
    </w:p>
    <w:p w:rsidR="007C5D50" w:rsidRDefault="007C5D50" w:rsidP="007C5D50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05A48">
        <w:rPr>
          <w:rFonts w:ascii="Century Gothic" w:hAnsi="Century Gothic" w:cs="Arial"/>
          <w:sz w:val="24"/>
          <w:szCs w:val="24"/>
        </w:rPr>
        <w:t>En los términos de los Artículos 115, fracción IV, inciso c) último párrafo de la Constitución Política de los Estados Unidos Mexicanos; 132 de la Constitución Política del Estado de Chihuahua, y 28, fracción XII del Código Municipal de la Entidad, el H. Congreso del Estado aprueba el monto estimado de Ingresos que percibirá el Municipio de</w:t>
      </w:r>
      <w:r>
        <w:rPr>
          <w:rFonts w:ascii="Century Gothic" w:hAnsi="Century Gothic" w:cs="Arial"/>
          <w:sz w:val="24"/>
          <w:szCs w:val="24"/>
        </w:rPr>
        <w:t xml:space="preserve"> Coronado</w:t>
      </w:r>
      <w:r w:rsidRPr="00905A48">
        <w:rPr>
          <w:rFonts w:ascii="Century Gothic" w:hAnsi="Century Gothic" w:cs="Arial"/>
          <w:sz w:val="24"/>
          <w:szCs w:val="24"/>
        </w:rPr>
        <w:t>, durante el Ejercicio Fiscal del año 2022.</w:t>
      </w:r>
    </w:p>
    <w:p w:rsidR="006D2632" w:rsidRDefault="00771631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08"/>
        <w:gridCol w:w="2126"/>
      </w:tblGrid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INGRESOS PROPIOS: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Impuestos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608,500.00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Contribuciones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     500.00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Derechos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494,883.60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Productos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117,070.00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Aprovechamientos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15,600.00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ind w:firstLineChars="400" w:firstLine="883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Total Ingresos Propios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 xml:space="preserve">            1,236,553.60 </w:t>
            </w: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PARTICIPACIONES: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Fondo General de Participaciones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14,141,040.00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Fondo de Fomento Municipal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Fondo de Fomento Municipal 70%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2,620,126.00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Fondo de Fomento Municipal 30%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141,975.00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Sobre Tenencia y Uso de Vehículos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     298.00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Impuestos sobre Producción y Servicios en materia de cervezas, bebidas alcohólicas y tabacos labrados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375,089.00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Participaciones Adicionales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Impuestos Sobre Autos Nuevos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295,843.00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Cuotas de Gasolina y Diesel 70%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57,082.00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Cuotas de Gasolina y Diesel 30%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24,464.00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lastRenderedPageBreak/>
              <w:t>Fondo de Fiscalización (FOFIR)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1,393,074.00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Fondo de ISR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354,307.00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ISR Bienes Inmuebles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88,746.00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FODESEM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2,007,376.03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ind w:firstLineChars="400" w:firstLine="883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Total de Participaciones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 xml:space="preserve">          21,499,420.03 </w:t>
            </w: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FONDO DE APORTACIONES: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FISM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1,987,286.00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FAFM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1,517,163.00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 xml:space="preserve">            3,504,449.00 </w:t>
            </w: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ind w:firstLineChars="400" w:firstLine="883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Total de Aportaciones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>Ingresos derivados de Financiamientos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jc w:val="right"/>
              <w:rPr>
                <w:rFonts w:ascii="Century Gothic" w:hAnsi="Century Gothic"/>
                <w:color w:val="000000"/>
              </w:rPr>
            </w:pPr>
            <w:r w:rsidRPr="007C5D50">
              <w:rPr>
                <w:rFonts w:ascii="Century Gothic" w:hAnsi="Century Gothic"/>
                <w:color w:val="000000"/>
              </w:rPr>
              <w:t xml:space="preserve">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 xml:space="preserve">                             -   </w:t>
            </w:r>
          </w:p>
        </w:tc>
      </w:tr>
      <w:tr w:rsidR="007C5D50" w:rsidRPr="007C5D50" w:rsidTr="007C5D5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ind w:firstLineChars="400" w:firstLine="883"/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>TOTAL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50" w:rsidRPr="007C5D50" w:rsidRDefault="007C5D50" w:rsidP="007C5D5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D50" w:rsidRPr="007C5D50" w:rsidRDefault="007C5D50" w:rsidP="007C5D5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7C5D50">
              <w:rPr>
                <w:rFonts w:ascii="Century Gothic" w:hAnsi="Century Gothic"/>
                <w:b/>
                <w:bCs/>
                <w:color w:val="000000"/>
              </w:rPr>
              <w:t xml:space="preserve">          26,240,422.63 </w:t>
            </w:r>
          </w:p>
        </w:tc>
      </w:tr>
    </w:tbl>
    <w:p w:rsidR="007C5D50" w:rsidRDefault="007C5D50"/>
    <w:sectPr w:rsidR="007C5D50" w:rsidSect="00771631">
      <w:pgSz w:w="12240" w:h="15840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D50"/>
    <w:rsid w:val="004E021F"/>
    <w:rsid w:val="00771631"/>
    <w:rsid w:val="007C5D50"/>
    <w:rsid w:val="00F3060F"/>
    <w:rsid w:val="00F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05769-C9E0-48FC-9E34-50DE791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50"/>
    <w:pPr>
      <w:spacing w:after="160" w:line="259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631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jigonzalez</dc:creator>
  <cp:lastModifiedBy>Sonia Pérez Chacón</cp:lastModifiedBy>
  <cp:revision>2</cp:revision>
  <cp:lastPrinted>2021-12-22T19:04:00Z</cp:lastPrinted>
  <dcterms:created xsi:type="dcterms:W3CDTF">2021-12-21T21:34:00Z</dcterms:created>
  <dcterms:modified xsi:type="dcterms:W3CDTF">2021-12-22T19:04:00Z</dcterms:modified>
</cp:coreProperties>
</file>