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12B" w:rsidRPr="00065E65" w:rsidRDefault="002A612B" w:rsidP="002A612B">
      <w:pPr>
        <w:spacing w:after="160" w:line="360" w:lineRule="auto"/>
        <w:jc w:val="center"/>
        <w:rPr>
          <w:rFonts w:ascii="Century Gothic" w:eastAsia="Calibri" w:hAnsi="Century Gothic"/>
          <w:b/>
          <w:sz w:val="24"/>
          <w:szCs w:val="24"/>
          <w:lang w:val="es-MX" w:eastAsia="en-US"/>
        </w:rPr>
      </w:pPr>
      <w:r w:rsidRPr="00065E65">
        <w:rPr>
          <w:rFonts w:ascii="Century Gothic" w:eastAsia="Calibri" w:hAnsi="Century Gothic"/>
          <w:b/>
          <w:sz w:val="24"/>
          <w:szCs w:val="24"/>
          <w:lang w:val="es-MX" w:eastAsia="en-US"/>
        </w:rPr>
        <w:t>Anexo a la Ley de Ingresos correspondiente al Municipio de Riva Palacio 2022</w:t>
      </w:r>
    </w:p>
    <w:p w:rsidR="002A612B" w:rsidRPr="00065E65" w:rsidRDefault="002A612B" w:rsidP="002A612B">
      <w:pPr>
        <w:spacing w:after="160" w:line="360" w:lineRule="auto"/>
        <w:jc w:val="both"/>
        <w:rPr>
          <w:rFonts w:ascii="Century Gothic" w:eastAsia="Calibri" w:hAnsi="Century Gothic"/>
          <w:sz w:val="24"/>
          <w:szCs w:val="24"/>
          <w:lang w:val="es-MX" w:eastAsia="en-US"/>
        </w:rPr>
      </w:pPr>
      <w:r w:rsidRPr="00065E65">
        <w:rPr>
          <w:rFonts w:ascii="Century Gothic" w:eastAsia="Calibri" w:hAnsi="Century Gothic"/>
          <w:sz w:val="24"/>
          <w:szCs w:val="24"/>
          <w:lang w:val="es-MX" w:eastAsia="en-US"/>
        </w:rPr>
        <w:t>En los términos de los Artículos 115, fracción IV, inciso c) último párrafo de la Constitución Política de los Estados Unidos Mexicanos; 132 de la Constitución Política del Estado de Chihuahua, y 28, fracción XII del Código Municipal de la Entidad, el H. Congreso del Estado aprueba el monto estimado de ingresos que percibirá el Municipio de Riva Palacio, durante el Ejercicio Fiscal del año 2022.</w:t>
      </w:r>
    </w:p>
    <w:tbl>
      <w:tblPr>
        <w:tblW w:w="9110" w:type="dxa"/>
        <w:tblCellMar>
          <w:left w:w="70" w:type="dxa"/>
          <w:right w:w="70" w:type="dxa"/>
        </w:tblCellMar>
        <w:tblLook w:val="04A0" w:firstRow="1" w:lastRow="0" w:firstColumn="1" w:lastColumn="0" w:noHBand="0" w:noVBand="1"/>
      </w:tblPr>
      <w:tblGrid>
        <w:gridCol w:w="4194"/>
        <w:gridCol w:w="2458"/>
        <w:gridCol w:w="2458"/>
      </w:tblGrid>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Ingresos Locales</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lang w:val="es-MX" w:eastAsia="es-MX"/>
              </w:rPr>
            </w:pPr>
          </w:p>
        </w:tc>
      </w:tr>
      <w:tr w:rsidR="002A612B" w:rsidRPr="00065E65" w:rsidTr="002A612B">
        <w:trPr>
          <w:trHeight w:val="216"/>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Impuestos</w:t>
            </w:r>
          </w:p>
        </w:tc>
        <w:tc>
          <w:tcPr>
            <w:tcW w:w="2458" w:type="dxa"/>
            <w:tcBorders>
              <w:top w:val="nil"/>
              <w:left w:val="nil"/>
              <w:bottom w:val="nil"/>
              <w:right w:val="nil"/>
            </w:tcBorders>
            <w:shd w:val="clear" w:color="auto" w:fill="auto"/>
            <w:noWrap/>
            <w:vAlign w:val="bottom"/>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3,581,495.00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center"/>
              <w:rPr>
                <w:rFonts w:ascii="Century Gothic" w:hAnsi="Century Gothic" w:cs="Calibri"/>
                <w:color w:val="000000"/>
                <w:sz w:val="24"/>
                <w:szCs w:val="24"/>
                <w:lang w:val="es-MX" w:eastAsia="es-MX"/>
              </w:rPr>
            </w:pPr>
          </w:p>
        </w:tc>
      </w:tr>
      <w:tr w:rsidR="002A612B" w:rsidRPr="00065E65" w:rsidTr="002A612B">
        <w:trPr>
          <w:trHeight w:val="216"/>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Contribuciones</w:t>
            </w:r>
          </w:p>
        </w:tc>
        <w:tc>
          <w:tcPr>
            <w:tcW w:w="2458" w:type="dxa"/>
            <w:tcBorders>
              <w:top w:val="nil"/>
              <w:left w:val="nil"/>
              <w:bottom w:val="nil"/>
              <w:right w:val="nil"/>
            </w:tcBorders>
            <w:shd w:val="clear" w:color="auto" w:fill="auto"/>
            <w:noWrap/>
            <w:vAlign w:val="bottom"/>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center"/>
              <w:rPr>
                <w:rFonts w:ascii="Century Gothic" w:hAnsi="Century Gothic" w:cs="Calibri"/>
                <w:color w:val="000000"/>
                <w:sz w:val="24"/>
                <w:szCs w:val="24"/>
                <w:lang w:val="es-MX" w:eastAsia="es-MX"/>
              </w:rPr>
            </w:pPr>
          </w:p>
        </w:tc>
      </w:tr>
      <w:tr w:rsidR="002A612B" w:rsidRPr="00065E65" w:rsidTr="002A612B">
        <w:trPr>
          <w:trHeight w:val="216"/>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Derechos</w:t>
            </w:r>
          </w:p>
        </w:tc>
        <w:tc>
          <w:tcPr>
            <w:tcW w:w="2458" w:type="dxa"/>
            <w:tcBorders>
              <w:top w:val="nil"/>
              <w:left w:val="nil"/>
              <w:bottom w:val="nil"/>
              <w:right w:val="nil"/>
            </w:tcBorders>
            <w:shd w:val="clear" w:color="auto" w:fill="auto"/>
            <w:noWrap/>
            <w:vAlign w:val="bottom"/>
            <w:hideMark/>
          </w:tcPr>
          <w:p w:rsidR="002A612B" w:rsidRPr="00065E65" w:rsidRDefault="00274F19" w:rsidP="002A612B">
            <w:pPr>
              <w:jc w:val="right"/>
              <w:rPr>
                <w:rFonts w:ascii="Century Gothic" w:hAnsi="Century Gothic" w:cs="Calibri"/>
                <w:color w:val="000000"/>
                <w:sz w:val="24"/>
                <w:szCs w:val="24"/>
                <w:lang w:val="es-MX" w:eastAsia="es-MX"/>
              </w:rPr>
            </w:pPr>
            <w:r>
              <w:rPr>
                <w:rFonts w:ascii="Century Gothic" w:hAnsi="Century Gothic" w:cs="Calibri"/>
                <w:color w:val="000000"/>
                <w:sz w:val="24"/>
                <w:szCs w:val="24"/>
                <w:lang w:val="es-MX" w:eastAsia="es-MX"/>
              </w:rPr>
              <w:t>$           2,740,714</w:t>
            </w:r>
            <w:r w:rsidR="002A612B" w:rsidRPr="00065E65">
              <w:rPr>
                <w:rFonts w:ascii="Century Gothic" w:hAnsi="Century Gothic" w:cs="Calibri"/>
                <w:color w:val="000000"/>
                <w:sz w:val="24"/>
                <w:szCs w:val="24"/>
                <w:lang w:val="es-MX" w:eastAsia="es-MX"/>
              </w:rPr>
              <w:t xml:space="preserve">.00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center"/>
              <w:rPr>
                <w:rFonts w:ascii="Century Gothic" w:hAnsi="Century Gothic" w:cs="Calibri"/>
                <w:color w:val="000000"/>
                <w:sz w:val="24"/>
                <w:szCs w:val="24"/>
                <w:lang w:val="es-MX" w:eastAsia="es-MX"/>
              </w:rPr>
            </w:pPr>
          </w:p>
        </w:tc>
      </w:tr>
      <w:tr w:rsidR="002A612B" w:rsidRPr="00065E65" w:rsidTr="002A612B">
        <w:trPr>
          <w:trHeight w:val="216"/>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Productos</w:t>
            </w:r>
          </w:p>
        </w:tc>
        <w:tc>
          <w:tcPr>
            <w:tcW w:w="2458" w:type="dxa"/>
            <w:tcBorders>
              <w:top w:val="nil"/>
              <w:left w:val="nil"/>
              <w:bottom w:val="nil"/>
              <w:right w:val="nil"/>
            </w:tcBorders>
            <w:shd w:val="clear" w:color="auto" w:fill="auto"/>
            <w:noWrap/>
            <w:vAlign w:val="bottom"/>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522,572.00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center"/>
              <w:rPr>
                <w:rFonts w:ascii="Century Gothic" w:hAnsi="Century Gothic" w:cs="Calibri"/>
                <w:color w:val="000000"/>
                <w:sz w:val="24"/>
                <w:szCs w:val="24"/>
                <w:lang w:val="es-MX" w:eastAsia="es-MX"/>
              </w:rPr>
            </w:pPr>
          </w:p>
        </w:tc>
      </w:tr>
      <w:tr w:rsidR="002A612B" w:rsidRPr="00065E65" w:rsidTr="002A612B">
        <w:trPr>
          <w:trHeight w:val="216"/>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Aprovechamientos</w:t>
            </w:r>
          </w:p>
        </w:tc>
        <w:tc>
          <w:tcPr>
            <w:tcW w:w="2458" w:type="dxa"/>
            <w:tcBorders>
              <w:top w:val="nil"/>
              <w:left w:val="nil"/>
              <w:bottom w:val="single" w:sz="4" w:space="0" w:color="auto"/>
              <w:right w:val="nil"/>
            </w:tcBorders>
            <w:shd w:val="clear" w:color="auto" w:fill="auto"/>
            <w:noWrap/>
            <w:vAlign w:val="bottom"/>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4,544.00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center"/>
              <w:rPr>
                <w:rFonts w:ascii="Century Gothic" w:hAnsi="Century Gothic" w:cs="Calibri"/>
                <w:color w:val="000000"/>
                <w:sz w:val="24"/>
                <w:szCs w:val="24"/>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Total Ingresos Locales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74F19" w:rsidP="00274F19">
            <w:pPr>
              <w:rPr>
                <w:rFonts w:ascii="Century Gothic" w:hAnsi="Century Gothic" w:cs="Calibri"/>
                <w:b/>
                <w:bCs/>
                <w:color w:val="000000"/>
                <w:sz w:val="24"/>
                <w:szCs w:val="24"/>
                <w:lang w:val="es-MX" w:eastAsia="es-MX"/>
              </w:rPr>
            </w:pPr>
            <w:r>
              <w:rPr>
                <w:rFonts w:ascii="Century Gothic" w:hAnsi="Century Gothic" w:cs="Calibri"/>
                <w:b/>
                <w:bCs/>
                <w:color w:val="000000"/>
                <w:sz w:val="24"/>
                <w:szCs w:val="24"/>
                <w:lang w:val="es-MX" w:eastAsia="es-MX"/>
              </w:rPr>
              <w:t>$          6,849,325</w:t>
            </w:r>
            <w:r w:rsidR="002A612B" w:rsidRPr="00065E65">
              <w:rPr>
                <w:rFonts w:ascii="Century Gothic" w:hAnsi="Century Gothic" w:cs="Calibri"/>
                <w:b/>
                <w:bCs/>
                <w:color w:val="000000"/>
                <w:sz w:val="24"/>
                <w:szCs w:val="24"/>
                <w:lang w:val="es-MX" w:eastAsia="es-MX"/>
              </w:rPr>
              <w:t xml:space="preserve">.00 </w:t>
            </w: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Participaciones Federales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Fondo General de Participaciones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Pr>
                <w:rFonts w:ascii="Century Gothic" w:hAnsi="Century Gothic" w:cs="Calibri"/>
                <w:color w:val="000000"/>
                <w:sz w:val="24"/>
                <w:szCs w:val="24"/>
                <w:lang w:val="es-MX" w:eastAsia="es-MX"/>
              </w:rPr>
              <w:t>$         25,765,773</w:t>
            </w:r>
            <w:r w:rsidRPr="00065E65">
              <w:rPr>
                <w:rFonts w:ascii="Century Gothic" w:hAnsi="Century Gothic" w:cs="Calibri"/>
                <w:color w:val="000000"/>
                <w:sz w:val="24"/>
                <w:szCs w:val="24"/>
                <w:lang w:val="es-MX" w:eastAsia="es-MX"/>
              </w:rPr>
              <w:t xml:space="preserve">.00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Fondo de Fomento Municipal 70%</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4,774,018.00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Fondo de Fomento Municipal 30%</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688,315.00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622"/>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2"/>
                <w:lang w:val="es-MX" w:eastAsia="es-MX"/>
              </w:rPr>
              <w:t>Impuestos Sobre Producción y Servicios en materia de cervezas, bebidas alcohólicas y tabacos labrados (IEPS)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683,433.00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416"/>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Fondo de Fiscalización y Recaudación (FOFIR)</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2,538,259.00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416"/>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Impuesto Sobre Automóviles Nuevos (ISAN)</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539,043.00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416"/>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Impuesto Sobre Tenencia y Uso de Vehículos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542.00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Impuesto Sobre la Renta Bienes Inmuebles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161,700.00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Cuotas de Gasolina y Diesel 70%</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215,953.00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Cuotas de Gasolina y Diesel 30%</w:t>
            </w:r>
          </w:p>
        </w:tc>
        <w:tc>
          <w:tcPr>
            <w:tcW w:w="2458" w:type="dxa"/>
            <w:tcBorders>
              <w:top w:val="nil"/>
              <w:left w:val="nil"/>
              <w:bottom w:val="single" w:sz="4" w:space="0" w:color="auto"/>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92,551.00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Total Participaciones Federales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rPr>
                <w:rFonts w:ascii="Century Gothic" w:hAnsi="Century Gothic" w:cs="Calibri"/>
                <w:b/>
                <w:bCs/>
                <w:color w:val="000000"/>
                <w:sz w:val="24"/>
                <w:szCs w:val="24"/>
                <w:lang w:val="es-MX" w:eastAsia="es-MX"/>
              </w:rPr>
            </w:pPr>
            <w:r>
              <w:rPr>
                <w:rFonts w:ascii="Century Gothic" w:hAnsi="Century Gothic" w:cs="Calibri"/>
                <w:b/>
                <w:bCs/>
                <w:color w:val="000000"/>
                <w:sz w:val="24"/>
                <w:szCs w:val="24"/>
                <w:lang w:val="es-MX" w:eastAsia="es-MX"/>
              </w:rPr>
              <w:t>$        35,459,587</w:t>
            </w:r>
            <w:r w:rsidRPr="00065E65">
              <w:rPr>
                <w:rFonts w:ascii="Century Gothic" w:hAnsi="Century Gothic" w:cs="Calibri"/>
                <w:b/>
                <w:bCs/>
                <w:color w:val="000000"/>
                <w:sz w:val="24"/>
                <w:szCs w:val="24"/>
                <w:lang w:val="es-MX" w:eastAsia="es-MX"/>
              </w:rPr>
              <w:t xml:space="preserve">.00 </w:t>
            </w: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b/>
                <w:bCs/>
                <w:color w:val="000000"/>
                <w:sz w:val="24"/>
                <w:szCs w:val="24"/>
                <w:lang w:val="es-MX" w:eastAsia="es-MX"/>
              </w:rPr>
            </w:pPr>
          </w:p>
          <w:p w:rsidR="002A612B" w:rsidRDefault="002A612B" w:rsidP="002A612B">
            <w:pPr>
              <w:jc w:val="right"/>
              <w:rPr>
                <w:rFonts w:ascii="Century Gothic" w:hAnsi="Century Gothic" w:cs="Calibri"/>
                <w:b/>
                <w:bCs/>
                <w:color w:val="000000"/>
                <w:sz w:val="24"/>
                <w:szCs w:val="24"/>
                <w:lang w:val="es-MX" w:eastAsia="es-MX"/>
              </w:rPr>
            </w:pPr>
          </w:p>
          <w:p w:rsidR="00816D93" w:rsidRDefault="00816D93" w:rsidP="002A612B">
            <w:pPr>
              <w:jc w:val="right"/>
              <w:rPr>
                <w:rFonts w:ascii="Century Gothic" w:hAnsi="Century Gothic" w:cs="Calibri"/>
                <w:b/>
                <w:bCs/>
                <w:color w:val="000000"/>
                <w:sz w:val="24"/>
                <w:szCs w:val="24"/>
                <w:lang w:val="es-MX" w:eastAsia="es-MX"/>
              </w:rPr>
            </w:pPr>
          </w:p>
          <w:p w:rsidR="00816D93" w:rsidRPr="00065E65" w:rsidRDefault="00816D93" w:rsidP="002A612B">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2A612B">
            <w:pPr>
              <w:jc w:val="both"/>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lastRenderedPageBreak/>
              <w:t>Aportaciones Estatales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lang w:val="es-MX" w:eastAsia="es-MX"/>
              </w:rPr>
            </w:pPr>
          </w:p>
        </w:tc>
      </w:tr>
      <w:tr w:rsidR="002A612B" w:rsidRPr="00065E65" w:rsidTr="002A612B">
        <w:trPr>
          <w:trHeight w:val="622"/>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Fondo para el Desarrollo Socioeconómico Municipal (FODESEM)</w:t>
            </w:r>
          </w:p>
        </w:tc>
        <w:tc>
          <w:tcPr>
            <w:tcW w:w="2458" w:type="dxa"/>
            <w:tcBorders>
              <w:top w:val="nil"/>
              <w:left w:val="nil"/>
              <w:bottom w:val="single" w:sz="4" w:space="0" w:color="auto"/>
              <w:right w:val="nil"/>
            </w:tcBorders>
            <w:shd w:val="clear" w:color="auto" w:fill="auto"/>
            <w:vAlign w:val="bottom"/>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4,348,462.00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Total Aportaciones Estatales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 xml:space="preserve">$          4,348,462.00 </w:t>
            </w: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Aportaciones Federales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F.A.I.S.M.</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3,016,577.00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F.A.F.M.</w:t>
            </w:r>
          </w:p>
        </w:tc>
        <w:tc>
          <w:tcPr>
            <w:tcW w:w="2458" w:type="dxa"/>
            <w:tcBorders>
              <w:top w:val="nil"/>
              <w:left w:val="nil"/>
              <w:bottom w:val="single" w:sz="4" w:space="0" w:color="auto"/>
              <w:right w:val="nil"/>
            </w:tcBorders>
            <w:shd w:val="clear" w:color="auto" w:fill="auto"/>
            <w:vAlign w:val="center"/>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5,739,708.00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Total Aportaciones Federales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 xml:space="preserve">$          8,756,285.00 </w:t>
            </w: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Ingresos Extraordinarios</w:t>
            </w:r>
          </w:p>
        </w:tc>
        <w:tc>
          <w:tcPr>
            <w:tcW w:w="2458" w:type="dxa"/>
            <w:tcBorders>
              <w:top w:val="nil"/>
              <w:left w:val="nil"/>
              <w:bottom w:val="nil"/>
              <w:right w:val="nil"/>
            </w:tcBorders>
            <w:shd w:val="clear" w:color="auto" w:fill="auto"/>
            <w:vAlign w:val="center"/>
            <w:hideMark/>
          </w:tcPr>
          <w:p w:rsidR="002A612B" w:rsidRPr="00065E65" w:rsidRDefault="002A612B" w:rsidP="002A612B">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lang w:val="es-MX" w:eastAsia="es-MX"/>
              </w:rPr>
            </w:pPr>
          </w:p>
        </w:tc>
      </w:tr>
      <w:tr w:rsidR="002A612B" w:rsidRPr="00065E65" w:rsidTr="002A612B">
        <w:trPr>
          <w:trHeight w:val="416"/>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Ingresos Derivados de Financiamiento</w:t>
            </w:r>
          </w:p>
        </w:tc>
        <w:tc>
          <w:tcPr>
            <w:tcW w:w="2458" w:type="dxa"/>
            <w:tcBorders>
              <w:top w:val="nil"/>
              <w:left w:val="nil"/>
              <w:bottom w:val="single" w:sz="4" w:space="0" w:color="auto"/>
              <w:right w:val="nil"/>
            </w:tcBorders>
            <w:shd w:val="clear" w:color="auto" w:fill="auto"/>
            <w:vAlign w:val="bottom"/>
            <w:hideMark/>
          </w:tcPr>
          <w:p w:rsidR="002A612B" w:rsidRPr="00065E65" w:rsidRDefault="002A612B" w:rsidP="002A612B">
            <w:pPr>
              <w:jc w:val="right"/>
              <w:rPr>
                <w:rFonts w:ascii="Century Gothic" w:hAnsi="Century Gothic" w:cs="Calibri"/>
                <w:color w:val="000000"/>
                <w:sz w:val="24"/>
                <w:szCs w:val="24"/>
                <w:lang w:val="es-MX" w:eastAsia="es-MX"/>
              </w:rPr>
            </w:pPr>
            <w:r w:rsidRPr="00065E65">
              <w:rPr>
                <w:rFonts w:ascii="Century Gothic" w:hAnsi="Century Gothic" w:cs="Calibri"/>
                <w:color w:val="000000"/>
                <w:sz w:val="24"/>
                <w:szCs w:val="24"/>
                <w:lang w:val="es-MX" w:eastAsia="es-MX"/>
              </w:rPr>
              <w:t xml:space="preserve"> $         4,772,192.21 </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color w:val="000000"/>
                <w:sz w:val="24"/>
                <w:szCs w:val="24"/>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Total Ingresos Extraordinarios</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p>
        </w:tc>
        <w:tc>
          <w:tcPr>
            <w:tcW w:w="2458" w:type="dxa"/>
            <w:tcBorders>
              <w:top w:val="nil"/>
              <w:left w:val="nil"/>
              <w:bottom w:val="single" w:sz="4" w:space="0" w:color="auto"/>
              <w:right w:val="nil"/>
            </w:tcBorders>
            <w:shd w:val="clear" w:color="auto" w:fill="auto"/>
            <w:vAlign w:val="center"/>
            <w:hideMark/>
          </w:tcPr>
          <w:p w:rsidR="002A612B" w:rsidRPr="00065E65" w:rsidRDefault="002A612B" w:rsidP="00274F19">
            <w:pPr>
              <w:jc w:val="right"/>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 xml:space="preserve">$   </w:t>
            </w:r>
            <w:r w:rsidR="00274F19">
              <w:rPr>
                <w:rFonts w:ascii="Century Gothic" w:hAnsi="Century Gothic" w:cs="Calibri"/>
                <w:b/>
                <w:bCs/>
                <w:color w:val="000000"/>
                <w:sz w:val="24"/>
                <w:szCs w:val="24"/>
                <w:lang w:val="es-MX" w:eastAsia="es-MX"/>
              </w:rPr>
              <w:t xml:space="preserve">  </w:t>
            </w:r>
            <w:r w:rsidRPr="00065E65">
              <w:rPr>
                <w:rFonts w:ascii="Century Gothic" w:hAnsi="Century Gothic" w:cs="Calibri"/>
                <w:b/>
                <w:bCs/>
                <w:color w:val="000000"/>
                <w:sz w:val="24"/>
                <w:szCs w:val="24"/>
                <w:lang w:val="es-MX" w:eastAsia="es-MX"/>
              </w:rPr>
              <w:t xml:space="preserve">      4,772,192.21 </w:t>
            </w: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right"/>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both"/>
              <w:rPr>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A612B" w:rsidP="00CF7E12">
            <w:pPr>
              <w:jc w:val="right"/>
              <w:rPr>
                <w:lang w:val="es-MX" w:eastAsia="es-MX"/>
              </w:rPr>
            </w:pPr>
          </w:p>
        </w:tc>
      </w:tr>
      <w:tr w:rsidR="002A612B" w:rsidRPr="00065E65" w:rsidTr="002A612B">
        <w:trPr>
          <w:trHeight w:val="208"/>
        </w:trPr>
        <w:tc>
          <w:tcPr>
            <w:tcW w:w="4194"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r w:rsidRPr="00065E65">
              <w:rPr>
                <w:rFonts w:ascii="Century Gothic" w:hAnsi="Century Gothic" w:cs="Calibri"/>
                <w:b/>
                <w:bCs/>
                <w:color w:val="000000"/>
                <w:sz w:val="24"/>
                <w:szCs w:val="24"/>
                <w:lang w:val="es-MX" w:eastAsia="es-MX"/>
              </w:rPr>
              <w:t>Total Global</w:t>
            </w:r>
          </w:p>
        </w:tc>
        <w:tc>
          <w:tcPr>
            <w:tcW w:w="2458" w:type="dxa"/>
            <w:tcBorders>
              <w:top w:val="nil"/>
              <w:left w:val="nil"/>
              <w:bottom w:val="nil"/>
              <w:right w:val="nil"/>
            </w:tcBorders>
            <w:shd w:val="clear" w:color="auto" w:fill="auto"/>
            <w:vAlign w:val="center"/>
            <w:hideMark/>
          </w:tcPr>
          <w:p w:rsidR="002A612B" w:rsidRPr="00065E65" w:rsidRDefault="002A612B" w:rsidP="00CF7E12">
            <w:pPr>
              <w:jc w:val="both"/>
              <w:rPr>
                <w:rFonts w:ascii="Century Gothic" w:hAnsi="Century Gothic" w:cs="Calibri"/>
                <w:b/>
                <w:bCs/>
                <w:color w:val="000000"/>
                <w:sz w:val="24"/>
                <w:szCs w:val="24"/>
                <w:lang w:val="es-MX" w:eastAsia="es-MX"/>
              </w:rPr>
            </w:pPr>
          </w:p>
        </w:tc>
        <w:tc>
          <w:tcPr>
            <w:tcW w:w="2458" w:type="dxa"/>
            <w:tcBorders>
              <w:top w:val="nil"/>
              <w:left w:val="nil"/>
              <w:bottom w:val="nil"/>
              <w:right w:val="nil"/>
            </w:tcBorders>
            <w:shd w:val="clear" w:color="auto" w:fill="auto"/>
            <w:vAlign w:val="center"/>
            <w:hideMark/>
          </w:tcPr>
          <w:p w:rsidR="002A612B" w:rsidRPr="00065E65" w:rsidRDefault="00274F19" w:rsidP="00CF7E12">
            <w:pPr>
              <w:jc w:val="right"/>
              <w:rPr>
                <w:rFonts w:ascii="Century Gothic" w:hAnsi="Century Gothic" w:cs="Calibri"/>
                <w:b/>
                <w:bCs/>
                <w:color w:val="000000"/>
                <w:sz w:val="24"/>
                <w:szCs w:val="24"/>
                <w:lang w:val="es-MX" w:eastAsia="es-MX"/>
              </w:rPr>
            </w:pPr>
            <w:r>
              <w:rPr>
                <w:rFonts w:ascii="Century Gothic" w:hAnsi="Century Gothic" w:cs="Calibri"/>
                <w:b/>
                <w:bCs/>
                <w:color w:val="000000"/>
                <w:sz w:val="24"/>
                <w:szCs w:val="24"/>
                <w:lang w:val="es-MX" w:eastAsia="es-MX"/>
              </w:rPr>
              <w:t xml:space="preserve"> $        60,185,851.21</w:t>
            </w:r>
            <w:r w:rsidR="002A612B" w:rsidRPr="00065E65">
              <w:rPr>
                <w:rFonts w:ascii="Century Gothic" w:hAnsi="Century Gothic" w:cs="Calibri"/>
                <w:b/>
                <w:bCs/>
                <w:color w:val="000000"/>
                <w:sz w:val="24"/>
                <w:szCs w:val="24"/>
                <w:lang w:val="es-MX" w:eastAsia="es-MX"/>
              </w:rPr>
              <w:t xml:space="preserve"> </w:t>
            </w:r>
          </w:p>
        </w:tc>
      </w:tr>
    </w:tbl>
    <w:p w:rsidR="006D2632" w:rsidRDefault="00816D93">
      <w:bookmarkStart w:id="0" w:name="_GoBack"/>
      <w:bookmarkEnd w:id="0"/>
    </w:p>
    <w:sectPr w:rsidR="006D2632" w:rsidSect="00816D93">
      <w:pgSz w:w="12240" w:h="15840"/>
      <w:pgMar w:top="1418" w:right="1701" w:bottom="1418" w:left="1701"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2"/>
  </w:compat>
  <w:rsids>
    <w:rsidRoot w:val="002A612B"/>
    <w:rsid w:val="00274F19"/>
    <w:rsid w:val="002A612B"/>
    <w:rsid w:val="00816D93"/>
    <w:rsid w:val="00D64FFE"/>
    <w:rsid w:val="00E66937"/>
    <w:rsid w:val="00F3060F"/>
    <w:rsid w:val="00F80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F3AF6-3ECA-4957-B658-64717F73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12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6D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6D9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7E6D-AE0C-4764-9AF4-45601114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325</Words>
  <Characters>1791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jigonzalez</dc:creator>
  <cp:lastModifiedBy>Sonia Pérez Chacón</cp:lastModifiedBy>
  <cp:revision>3</cp:revision>
  <cp:lastPrinted>2021-12-21T23:18:00Z</cp:lastPrinted>
  <dcterms:created xsi:type="dcterms:W3CDTF">2021-12-16T21:11:00Z</dcterms:created>
  <dcterms:modified xsi:type="dcterms:W3CDTF">2021-12-21T23:18:00Z</dcterms:modified>
</cp:coreProperties>
</file>