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8E5" w:rsidRDefault="007D48E5" w:rsidP="007D48E5">
      <w:pPr>
        <w:jc w:val="center"/>
        <w:rPr>
          <w:rFonts w:ascii="Century Gothic" w:hAnsi="Century Gothic"/>
          <w:b/>
        </w:rPr>
      </w:pPr>
      <w:r w:rsidRPr="007D48E5">
        <w:rPr>
          <w:rFonts w:ascii="Century Gothic" w:hAnsi="Century Gothic"/>
          <w:b/>
        </w:rPr>
        <w:t>Ley de Ingr</w:t>
      </w:r>
      <w:bookmarkStart w:id="0" w:name="_GoBack"/>
      <w:bookmarkEnd w:id="0"/>
      <w:r w:rsidRPr="007D48E5">
        <w:rPr>
          <w:rFonts w:ascii="Century Gothic" w:hAnsi="Century Gothic"/>
          <w:b/>
        </w:rPr>
        <w:t>esos correspondiente al Municipio de Gómez Farías</w:t>
      </w:r>
      <w:r>
        <w:rPr>
          <w:rFonts w:ascii="Century Gothic" w:hAnsi="Century Gothic"/>
          <w:b/>
        </w:rPr>
        <w:t xml:space="preserve"> para el Ejercicio F</w:t>
      </w:r>
      <w:r w:rsidRPr="007D48E5">
        <w:rPr>
          <w:rFonts w:ascii="Century Gothic" w:hAnsi="Century Gothic"/>
          <w:b/>
        </w:rPr>
        <w:t>iscal 2022</w:t>
      </w:r>
    </w:p>
    <w:p w:rsidR="00354A8E" w:rsidRDefault="00354A8E" w:rsidP="007D48E5">
      <w:pPr>
        <w:jc w:val="center"/>
        <w:rPr>
          <w:rFonts w:ascii="Century Gothic" w:hAnsi="Century Gothic"/>
          <w:b/>
        </w:rPr>
      </w:pPr>
    </w:p>
    <w:p w:rsidR="00354A8E" w:rsidRPr="00354A8E" w:rsidRDefault="00354A8E" w:rsidP="00354A8E">
      <w:pPr>
        <w:jc w:val="both"/>
        <w:rPr>
          <w:rFonts w:ascii="Century Gothic" w:hAnsi="Century Gothic"/>
          <w:sz w:val="22"/>
          <w:szCs w:val="22"/>
        </w:rPr>
      </w:pPr>
      <w:r w:rsidRPr="00354A8E">
        <w:rPr>
          <w:rFonts w:ascii="Century Gothic" w:hAnsi="Century Gothic"/>
          <w:sz w:val="22"/>
          <w:szCs w:val="22"/>
        </w:rPr>
        <w:t>En los términos de los Artículos 115, fracción IV, inciso c) último párrafo de la Constitución Política de los Estados Unidos Mexicanos; 132 de la  Constitución Política del Estado de Chihuahua, y 28, fracción XII del Código Municipal de la Entidad, el H.  Congreso del Estado aprueba el monto estimado de ingresos que percibirá el Municipio de Gómez Farías, durante el Ejercicio Fiscal del año 2022.</w:t>
      </w:r>
    </w:p>
    <w:p w:rsidR="007D48E5" w:rsidRPr="00354A8E" w:rsidRDefault="007D48E5" w:rsidP="007D48E5">
      <w:pPr>
        <w:jc w:val="center"/>
        <w:rPr>
          <w:rFonts w:ascii="Century Gothic" w:hAnsi="Century Gothic"/>
          <w:b/>
          <w:sz w:val="18"/>
          <w:szCs w:val="22"/>
        </w:rPr>
      </w:pPr>
    </w:p>
    <w:p w:rsidR="007D48E5" w:rsidRPr="00354A8E" w:rsidRDefault="007D48E5" w:rsidP="007D48E5">
      <w:pPr>
        <w:jc w:val="both"/>
        <w:rPr>
          <w:rFonts w:ascii="Century Gothic" w:hAnsi="Century Gothic"/>
          <w:b/>
          <w:sz w:val="22"/>
          <w:szCs w:val="22"/>
        </w:rPr>
      </w:pPr>
      <w:r w:rsidRPr="00354A8E">
        <w:rPr>
          <w:rFonts w:ascii="Century Gothic" w:hAnsi="Century Gothic"/>
          <w:b/>
          <w:sz w:val="22"/>
          <w:szCs w:val="22"/>
        </w:rPr>
        <w:t>Ingresos Locales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2552"/>
        <w:gridCol w:w="2349"/>
      </w:tblGrid>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Impuestos</w:t>
            </w:r>
          </w:p>
        </w:tc>
        <w:tc>
          <w:tcPr>
            <w:tcW w:w="2552" w:type="dxa"/>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   1,113,000.00</w:t>
            </w:r>
          </w:p>
        </w:tc>
        <w:tc>
          <w:tcPr>
            <w:tcW w:w="2349" w:type="dxa"/>
          </w:tcPr>
          <w:p w:rsidR="007D48E5" w:rsidRPr="00354A8E" w:rsidRDefault="007D48E5" w:rsidP="00434CF7">
            <w:pPr>
              <w:jc w:val="both"/>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Contribuciones</w:t>
            </w:r>
          </w:p>
        </w:tc>
        <w:tc>
          <w:tcPr>
            <w:tcW w:w="2552" w:type="dxa"/>
          </w:tcPr>
          <w:p w:rsidR="007D48E5" w:rsidRPr="00354A8E" w:rsidRDefault="007D48E5" w:rsidP="00434CF7">
            <w:pPr>
              <w:jc w:val="center"/>
              <w:rPr>
                <w:rFonts w:ascii="Century Gothic" w:hAnsi="Century Gothic"/>
                <w:sz w:val="22"/>
                <w:szCs w:val="22"/>
              </w:rPr>
            </w:pPr>
            <w:r w:rsidRPr="00354A8E">
              <w:rPr>
                <w:rFonts w:ascii="Century Gothic" w:hAnsi="Century Gothic"/>
                <w:sz w:val="22"/>
                <w:szCs w:val="22"/>
              </w:rPr>
              <w:t xml:space="preserve">                          -   </w:t>
            </w:r>
          </w:p>
        </w:tc>
        <w:tc>
          <w:tcPr>
            <w:tcW w:w="2349" w:type="dxa"/>
          </w:tcPr>
          <w:p w:rsidR="007D48E5" w:rsidRPr="00354A8E" w:rsidRDefault="007D48E5" w:rsidP="00434CF7">
            <w:pPr>
              <w:jc w:val="both"/>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Derechos</w:t>
            </w:r>
          </w:p>
        </w:tc>
        <w:tc>
          <w:tcPr>
            <w:tcW w:w="2552" w:type="dxa"/>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1,239,000.00</w:t>
            </w:r>
          </w:p>
        </w:tc>
        <w:tc>
          <w:tcPr>
            <w:tcW w:w="2349" w:type="dxa"/>
          </w:tcPr>
          <w:p w:rsidR="007D48E5" w:rsidRPr="00354A8E" w:rsidRDefault="007D48E5" w:rsidP="00434CF7">
            <w:pPr>
              <w:jc w:val="both"/>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Productos</w:t>
            </w:r>
          </w:p>
        </w:tc>
        <w:tc>
          <w:tcPr>
            <w:tcW w:w="2552" w:type="dxa"/>
          </w:tcPr>
          <w:p w:rsidR="007D48E5" w:rsidRPr="00354A8E" w:rsidRDefault="007D48E5" w:rsidP="00434CF7">
            <w:pPr>
              <w:jc w:val="center"/>
              <w:rPr>
                <w:rFonts w:ascii="Century Gothic" w:hAnsi="Century Gothic"/>
                <w:sz w:val="22"/>
                <w:szCs w:val="22"/>
              </w:rPr>
            </w:pPr>
            <w:r w:rsidRPr="00354A8E">
              <w:rPr>
                <w:rFonts w:ascii="Century Gothic" w:hAnsi="Century Gothic"/>
                <w:sz w:val="22"/>
                <w:szCs w:val="22"/>
              </w:rPr>
              <w:t xml:space="preserve">                          -</w:t>
            </w:r>
          </w:p>
        </w:tc>
        <w:tc>
          <w:tcPr>
            <w:tcW w:w="2349" w:type="dxa"/>
          </w:tcPr>
          <w:p w:rsidR="007D48E5" w:rsidRPr="00354A8E" w:rsidRDefault="007D48E5" w:rsidP="00434CF7">
            <w:pPr>
              <w:jc w:val="both"/>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Aprovechamiento</w:t>
            </w:r>
          </w:p>
        </w:tc>
        <w:tc>
          <w:tcPr>
            <w:tcW w:w="2552" w:type="dxa"/>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787,500.00</w:t>
            </w:r>
          </w:p>
        </w:tc>
        <w:tc>
          <w:tcPr>
            <w:tcW w:w="2349" w:type="dxa"/>
          </w:tcPr>
          <w:p w:rsidR="007D48E5" w:rsidRPr="00354A8E" w:rsidRDefault="007D48E5" w:rsidP="00434CF7">
            <w:pPr>
              <w:jc w:val="both"/>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b/>
                <w:sz w:val="22"/>
                <w:szCs w:val="22"/>
              </w:rPr>
            </w:pPr>
            <w:r w:rsidRPr="00354A8E">
              <w:rPr>
                <w:rFonts w:ascii="Century Gothic" w:hAnsi="Century Gothic"/>
                <w:b/>
                <w:sz w:val="22"/>
                <w:szCs w:val="22"/>
              </w:rPr>
              <w:t>Total de Ingresos Locales</w:t>
            </w:r>
          </w:p>
        </w:tc>
        <w:tc>
          <w:tcPr>
            <w:tcW w:w="2552" w:type="dxa"/>
          </w:tcPr>
          <w:p w:rsidR="007D48E5" w:rsidRPr="00354A8E" w:rsidRDefault="007D48E5" w:rsidP="00434CF7">
            <w:pPr>
              <w:jc w:val="both"/>
              <w:rPr>
                <w:rFonts w:ascii="Century Gothic" w:hAnsi="Century Gothic"/>
                <w:sz w:val="22"/>
                <w:szCs w:val="22"/>
              </w:rPr>
            </w:pPr>
          </w:p>
        </w:tc>
        <w:tc>
          <w:tcPr>
            <w:tcW w:w="2349"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 xml:space="preserve"> $       3,139,500.00</w:t>
            </w:r>
          </w:p>
        </w:tc>
      </w:tr>
    </w:tbl>
    <w:p w:rsidR="007D48E5" w:rsidRPr="00354A8E" w:rsidRDefault="007D48E5" w:rsidP="007D48E5">
      <w:pPr>
        <w:jc w:val="both"/>
        <w:rPr>
          <w:rFonts w:ascii="Century Gothic" w:hAnsi="Century Gothic"/>
          <w:sz w:val="22"/>
          <w:szCs w:val="22"/>
        </w:rPr>
      </w:pPr>
    </w:p>
    <w:p w:rsidR="007D48E5" w:rsidRPr="00354A8E" w:rsidRDefault="007D48E5" w:rsidP="007D48E5">
      <w:pPr>
        <w:jc w:val="both"/>
        <w:rPr>
          <w:rFonts w:ascii="Century Gothic" w:hAnsi="Century Gothic"/>
          <w:b/>
          <w:sz w:val="22"/>
          <w:szCs w:val="22"/>
        </w:rPr>
      </w:pPr>
      <w:r w:rsidRPr="00354A8E">
        <w:rPr>
          <w:rFonts w:ascii="Century Gothic" w:hAnsi="Century Gothic"/>
          <w:b/>
          <w:sz w:val="22"/>
          <w:szCs w:val="22"/>
        </w:rPr>
        <w:t>Participaciones Federales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2552"/>
        <w:gridCol w:w="2349"/>
      </w:tblGrid>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Fondo General de Participaciones</w:t>
            </w:r>
          </w:p>
        </w:tc>
        <w:tc>
          <w:tcPr>
            <w:tcW w:w="2552" w:type="dxa"/>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  19,562,885.00</w:t>
            </w:r>
          </w:p>
        </w:tc>
        <w:tc>
          <w:tcPr>
            <w:tcW w:w="2349" w:type="dxa"/>
          </w:tcPr>
          <w:p w:rsidR="007D48E5" w:rsidRPr="00354A8E" w:rsidRDefault="007D48E5" w:rsidP="00434CF7">
            <w:pPr>
              <w:jc w:val="right"/>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Fondo de Fomento Municipal 70%</w:t>
            </w:r>
          </w:p>
        </w:tc>
        <w:tc>
          <w:tcPr>
            <w:tcW w:w="2552" w:type="dxa"/>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3,624,714.00</w:t>
            </w:r>
          </w:p>
        </w:tc>
        <w:tc>
          <w:tcPr>
            <w:tcW w:w="2349" w:type="dxa"/>
          </w:tcPr>
          <w:p w:rsidR="007D48E5" w:rsidRPr="00354A8E" w:rsidRDefault="007D48E5" w:rsidP="00434CF7">
            <w:pPr>
              <w:jc w:val="right"/>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Fondo de Fomento Municipal 30%</w:t>
            </w:r>
          </w:p>
        </w:tc>
        <w:tc>
          <w:tcPr>
            <w:tcW w:w="2552" w:type="dxa"/>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553,097.00</w:t>
            </w:r>
          </w:p>
        </w:tc>
        <w:tc>
          <w:tcPr>
            <w:tcW w:w="2349" w:type="dxa"/>
          </w:tcPr>
          <w:p w:rsidR="007D48E5" w:rsidRPr="00354A8E" w:rsidRDefault="007D48E5" w:rsidP="00434CF7">
            <w:pPr>
              <w:jc w:val="right"/>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 xml:space="preserve">Impuesto Sobre Producción y </w:t>
            </w:r>
          </w:p>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Servicios en materia de cervezas, bebidas alcohólicas y tabacos labrados</w:t>
            </w:r>
          </w:p>
        </w:tc>
        <w:tc>
          <w:tcPr>
            <w:tcW w:w="2552" w:type="dxa"/>
            <w:vAlign w:val="center"/>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518,902.00</w:t>
            </w:r>
          </w:p>
        </w:tc>
        <w:tc>
          <w:tcPr>
            <w:tcW w:w="2349" w:type="dxa"/>
          </w:tcPr>
          <w:p w:rsidR="007D48E5" w:rsidRPr="00354A8E" w:rsidRDefault="007D48E5" w:rsidP="00434CF7">
            <w:pPr>
              <w:jc w:val="right"/>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Fondo de Fiscalización y Recaudación (FOFIR)</w:t>
            </w:r>
          </w:p>
        </w:tc>
        <w:tc>
          <w:tcPr>
            <w:tcW w:w="2552" w:type="dxa"/>
            <w:vAlign w:val="center"/>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1,927,195.00</w:t>
            </w:r>
          </w:p>
        </w:tc>
        <w:tc>
          <w:tcPr>
            <w:tcW w:w="2349" w:type="dxa"/>
          </w:tcPr>
          <w:p w:rsidR="007D48E5" w:rsidRPr="00354A8E" w:rsidRDefault="007D48E5" w:rsidP="00434CF7">
            <w:pPr>
              <w:jc w:val="right"/>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Impuestos Sobre Autos Nuevos</w:t>
            </w:r>
          </w:p>
        </w:tc>
        <w:tc>
          <w:tcPr>
            <w:tcW w:w="2552" w:type="dxa"/>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409,273.00</w:t>
            </w:r>
          </w:p>
        </w:tc>
        <w:tc>
          <w:tcPr>
            <w:tcW w:w="2349" w:type="dxa"/>
          </w:tcPr>
          <w:p w:rsidR="007D48E5" w:rsidRPr="00354A8E" w:rsidRDefault="007D48E5" w:rsidP="00434CF7">
            <w:pPr>
              <w:jc w:val="right"/>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Impuesto Sobre Tenencia y Uso de Vehículos</w:t>
            </w:r>
          </w:p>
        </w:tc>
        <w:tc>
          <w:tcPr>
            <w:tcW w:w="2552" w:type="dxa"/>
            <w:vAlign w:val="center"/>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412.00</w:t>
            </w:r>
          </w:p>
        </w:tc>
        <w:tc>
          <w:tcPr>
            <w:tcW w:w="2349" w:type="dxa"/>
          </w:tcPr>
          <w:p w:rsidR="007D48E5" w:rsidRPr="00354A8E" w:rsidRDefault="007D48E5" w:rsidP="00434CF7">
            <w:pPr>
              <w:jc w:val="right"/>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Cuotas de Gasolina y Diesel 70%</w:t>
            </w:r>
          </w:p>
        </w:tc>
        <w:tc>
          <w:tcPr>
            <w:tcW w:w="2552" w:type="dxa"/>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197,094.00</w:t>
            </w:r>
          </w:p>
        </w:tc>
        <w:tc>
          <w:tcPr>
            <w:tcW w:w="2349" w:type="dxa"/>
          </w:tcPr>
          <w:p w:rsidR="007D48E5" w:rsidRPr="00354A8E" w:rsidRDefault="007D48E5" w:rsidP="00434CF7">
            <w:pPr>
              <w:jc w:val="right"/>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Cuotas de Gasolina y Diesel 30%</w:t>
            </w:r>
          </w:p>
        </w:tc>
        <w:tc>
          <w:tcPr>
            <w:tcW w:w="2552" w:type="dxa"/>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84,469.00</w:t>
            </w:r>
          </w:p>
        </w:tc>
        <w:tc>
          <w:tcPr>
            <w:tcW w:w="2349" w:type="dxa"/>
          </w:tcPr>
          <w:p w:rsidR="007D48E5" w:rsidRPr="00354A8E" w:rsidRDefault="007D48E5" w:rsidP="00434CF7">
            <w:pPr>
              <w:jc w:val="right"/>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Fondo ISR</w:t>
            </w:r>
          </w:p>
        </w:tc>
        <w:tc>
          <w:tcPr>
            <w:tcW w:w="2552" w:type="dxa"/>
          </w:tcPr>
          <w:p w:rsidR="007D48E5" w:rsidRPr="00354A8E" w:rsidRDefault="007D48E5" w:rsidP="00434CF7">
            <w:pPr>
              <w:jc w:val="center"/>
              <w:rPr>
                <w:rFonts w:ascii="Century Gothic" w:hAnsi="Century Gothic"/>
                <w:sz w:val="22"/>
                <w:szCs w:val="22"/>
              </w:rPr>
            </w:pPr>
            <w:r w:rsidRPr="00354A8E">
              <w:rPr>
                <w:rFonts w:ascii="Century Gothic" w:hAnsi="Century Gothic"/>
                <w:sz w:val="22"/>
                <w:szCs w:val="22"/>
              </w:rPr>
              <w:t xml:space="preserve">                122,772.00</w:t>
            </w:r>
          </w:p>
        </w:tc>
        <w:tc>
          <w:tcPr>
            <w:tcW w:w="2349" w:type="dxa"/>
          </w:tcPr>
          <w:p w:rsidR="007D48E5" w:rsidRPr="00354A8E" w:rsidRDefault="007D48E5" w:rsidP="00434CF7">
            <w:pPr>
              <w:jc w:val="right"/>
              <w:rPr>
                <w:rFonts w:ascii="Century Gothic" w:hAnsi="Century Gothic"/>
                <w:sz w:val="22"/>
                <w:szCs w:val="22"/>
              </w:rPr>
            </w:pPr>
          </w:p>
        </w:tc>
      </w:tr>
      <w:tr w:rsidR="007D48E5" w:rsidRPr="00354A8E" w:rsidTr="00434CF7">
        <w:tc>
          <w:tcPr>
            <w:tcW w:w="4077" w:type="dxa"/>
          </w:tcPr>
          <w:p w:rsidR="007D48E5" w:rsidRPr="00354A8E" w:rsidRDefault="007D48E5" w:rsidP="00434CF7">
            <w:pPr>
              <w:jc w:val="both"/>
              <w:rPr>
                <w:rFonts w:ascii="Century Gothic" w:hAnsi="Century Gothic"/>
                <w:b/>
                <w:sz w:val="22"/>
                <w:szCs w:val="22"/>
              </w:rPr>
            </w:pPr>
            <w:r w:rsidRPr="00354A8E">
              <w:rPr>
                <w:rFonts w:ascii="Century Gothic" w:hAnsi="Century Gothic"/>
                <w:b/>
                <w:sz w:val="22"/>
                <w:szCs w:val="22"/>
              </w:rPr>
              <w:t>Total de Participaciones</w:t>
            </w:r>
          </w:p>
        </w:tc>
        <w:tc>
          <w:tcPr>
            <w:tcW w:w="2552" w:type="dxa"/>
          </w:tcPr>
          <w:p w:rsidR="007D48E5" w:rsidRPr="00354A8E" w:rsidRDefault="007D48E5" w:rsidP="00434CF7">
            <w:pPr>
              <w:jc w:val="right"/>
              <w:rPr>
                <w:rFonts w:ascii="Century Gothic" w:hAnsi="Century Gothic"/>
                <w:sz w:val="22"/>
                <w:szCs w:val="22"/>
              </w:rPr>
            </w:pPr>
          </w:p>
        </w:tc>
        <w:tc>
          <w:tcPr>
            <w:tcW w:w="2349" w:type="dxa"/>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     27,000,813.00</w:t>
            </w:r>
          </w:p>
        </w:tc>
      </w:tr>
    </w:tbl>
    <w:p w:rsidR="007D48E5" w:rsidRPr="00354A8E" w:rsidRDefault="007D48E5" w:rsidP="007D48E5">
      <w:pPr>
        <w:jc w:val="both"/>
        <w:rPr>
          <w:rFonts w:ascii="Century Gothic" w:hAnsi="Century Gothic"/>
          <w:b/>
          <w:sz w:val="20"/>
          <w:szCs w:val="22"/>
        </w:rPr>
      </w:pPr>
    </w:p>
    <w:p w:rsidR="007D48E5" w:rsidRPr="00354A8E" w:rsidRDefault="007D48E5" w:rsidP="007D48E5">
      <w:pPr>
        <w:jc w:val="both"/>
        <w:rPr>
          <w:rFonts w:ascii="Century Gothic" w:hAnsi="Century Gothic"/>
          <w:b/>
          <w:sz w:val="22"/>
          <w:szCs w:val="22"/>
        </w:rPr>
      </w:pPr>
      <w:r w:rsidRPr="00354A8E">
        <w:rPr>
          <w:rFonts w:ascii="Century Gothic" w:hAnsi="Century Gothic"/>
          <w:b/>
          <w:sz w:val="22"/>
          <w:szCs w:val="22"/>
        </w:rPr>
        <w:t>Aportaciones Estatales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24"/>
        <w:gridCol w:w="2605"/>
        <w:gridCol w:w="2410"/>
      </w:tblGrid>
      <w:tr w:rsidR="007D48E5" w:rsidRPr="00354A8E" w:rsidTr="006B53A7">
        <w:tc>
          <w:tcPr>
            <w:tcW w:w="4024" w:type="dxa"/>
          </w:tcPr>
          <w:p w:rsidR="007D48E5" w:rsidRPr="00354A8E" w:rsidRDefault="007D48E5" w:rsidP="00434CF7">
            <w:pPr>
              <w:rPr>
                <w:rFonts w:ascii="Century Gothic" w:hAnsi="Century Gothic"/>
                <w:sz w:val="22"/>
                <w:szCs w:val="22"/>
              </w:rPr>
            </w:pPr>
            <w:r w:rsidRPr="00354A8E">
              <w:rPr>
                <w:rFonts w:ascii="Century Gothic" w:hAnsi="Century Gothic"/>
                <w:sz w:val="22"/>
                <w:szCs w:val="22"/>
              </w:rPr>
              <w:t>Fondo para el Desarrollo Socioeconómico Municipal (FODESEM)</w:t>
            </w:r>
          </w:p>
        </w:tc>
        <w:tc>
          <w:tcPr>
            <w:tcW w:w="2605" w:type="dxa"/>
            <w:vAlign w:val="center"/>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   4,469,234.00</w:t>
            </w:r>
          </w:p>
        </w:tc>
        <w:tc>
          <w:tcPr>
            <w:tcW w:w="2410" w:type="dxa"/>
          </w:tcPr>
          <w:p w:rsidR="007D48E5" w:rsidRPr="00354A8E" w:rsidRDefault="007D48E5" w:rsidP="00434CF7">
            <w:pPr>
              <w:jc w:val="both"/>
              <w:rPr>
                <w:rFonts w:ascii="Century Gothic" w:hAnsi="Century Gothic"/>
                <w:sz w:val="22"/>
                <w:szCs w:val="22"/>
              </w:rPr>
            </w:pPr>
          </w:p>
        </w:tc>
      </w:tr>
    </w:tbl>
    <w:p w:rsidR="007D48E5" w:rsidRPr="00354A8E" w:rsidRDefault="007D48E5" w:rsidP="007D48E5">
      <w:pPr>
        <w:jc w:val="both"/>
        <w:rPr>
          <w:rFonts w:ascii="Century Gothic" w:hAnsi="Century Gothic"/>
          <w:sz w:val="20"/>
          <w:szCs w:val="22"/>
        </w:rPr>
      </w:pPr>
    </w:p>
    <w:p w:rsidR="007D48E5" w:rsidRPr="00354A8E" w:rsidRDefault="007D48E5" w:rsidP="007D48E5">
      <w:pPr>
        <w:jc w:val="both"/>
        <w:rPr>
          <w:rFonts w:ascii="Century Gothic" w:hAnsi="Century Gothic"/>
          <w:b/>
          <w:sz w:val="22"/>
          <w:szCs w:val="22"/>
        </w:rPr>
      </w:pPr>
      <w:r w:rsidRPr="00354A8E">
        <w:rPr>
          <w:rFonts w:ascii="Century Gothic" w:hAnsi="Century Gothic"/>
          <w:b/>
          <w:sz w:val="22"/>
          <w:szCs w:val="22"/>
        </w:rPr>
        <w:t>Aportaciones Federales</w:t>
      </w: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2552"/>
        <w:gridCol w:w="2410"/>
      </w:tblGrid>
      <w:tr w:rsidR="007D48E5" w:rsidRPr="00354A8E" w:rsidTr="006B53A7">
        <w:trPr>
          <w:trHeight w:val="305"/>
        </w:trPr>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F.I.S.M.</w:t>
            </w:r>
          </w:p>
        </w:tc>
        <w:tc>
          <w:tcPr>
            <w:tcW w:w="2552" w:type="dxa"/>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   4,351,803.00</w:t>
            </w:r>
          </w:p>
        </w:tc>
        <w:tc>
          <w:tcPr>
            <w:tcW w:w="2410" w:type="dxa"/>
          </w:tcPr>
          <w:p w:rsidR="007D48E5" w:rsidRPr="00354A8E" w:rsidRDefault="007D48E5" w:rsidP="00434CF7">
            <w:pPr>
              <w:jc w:val="both"/>
              <w:rPr>
                <w:rFonts w:ascii="Century Gothic" w:hAnsi="Century Gothic"/>
                <w:sz w:val="22"/>
                <w:szCs w:val="22"/>
              </w:rPr>
            </w:pPr>
          </w:p>
        </w:tc>
      </w:tr>
      <w:tr w:rsidR="007D48E5" w:rsidRPr="00354A8E" w:rsidTr="006B53A7">
        <w:trPr>
          <w:trHeight w:val="321"/>
        </w:trPr>
        <w:tc>
          <w:tcPr>
            <w:tcW w:w="4077" w:type="dxa"/>
          </w:tcPr>
          <w:p w:rsidR="007D48E5" w:rsidRPr="00354A8E" w:rsidRDefault="007D48E5" w:rsidP="00434CF7">
            <w:pPr>
              <w:jc w:val="both"/>
              <w:rPr>
                <w:rFonts w:ascii="Century Gothic" w:hAnsi="Century Gothic"/>
                <w:sz w:val="22"/>
                <w:szCs w:val="22"/>
              </w:rPr>
            </w:pPr>
            <w:r w:rsidRPr="00354A8E">
              <w:rPr>
                <w:rFonts w:ascii="Century Gothic" w:hAnsi="Century Gothic"/>
                <w:sz w:val="22"/>
                <w:szCs w:val="22"/>
              </w:rPr>
              <w:t>F.A.F.M.</w:t>
            </w:r>
          </w:p>
        </w:tc>
        <w:tc>
          <w:tcPr>
            <w:tcW w:w="2552" w:type="dxa"/>
          </w:tcPr>
          <w:p w:rsidR="007D48E5" w:rsidRPr="00354A8E" w:rsidRDefault="007D48E5" w:rsidP="00434CF7">
            <w:pPr>
              <w:jc w:val="right"/>
              <w:rPr>
                <w:rFonts w:ascii="Century Gothic" w:hAnsi="Century Gothic"/>
                <w:sz w:val="22"/>
                <w:szCs w:val="22"/>
              </w:rPr>
            </w:pPr>
            <w:r w:rsidRPr="00354A8E">
              <w:rPr>
                <w:rFonts w:ascii="Century Gothic" w:hAnsi="Century Gothic"/>
                <w:sz w:val="22"/>
                <w:szCs w:val="22"/>
              </w:rPr>
              <w:t>5,238,463.00</w:t>
            </w:r>
          </w:p>
        </w:tc>
        <w:tc>
          <w:tcPr>
            <w:tcW w:w="2410" w:type="dxa"/>
          </w:tcPr>
          <w:p w:rsidR="007D48E5" w:rsidRPr="00354A8E" w:rsidRDefault="007D48E5" w:rsidP="00434CF7">
            <w:pPr>
              <w:jc w:val="both"/>
              <w:rPr>
                <w:rFonts w:ascii="Century Gothic" w:hAnsi="Century Gothic"/>
                <w:sz w:val="22"/>
                <w:szCs w:val="22"/>
              </w:rPr>
            </w:pPr>
          </w:p>
        </w:tc>
      </w:tr>
      <w:tr w:rsidR="007D48E5" w:rsidRPr="00354A8E" w:rsidTr="006B53A7">
        <w:trPr>
          <w:trHeight w:val="305"/>
        </w:trPr>
        <w:tc>
          <w:tcPr>
            <w:tcW w:w="4077" w:type="dxa"/>
          </w:tcPr>
          <w:p w:rsidR="007D48E5" w:rsidRPr="00354A8E" w:rsidRDefault="007D48E5" w:rsidP="00434CF7">
            <w:pPr>
              <w:jc w:val="both"/>
              <w:rPr>
                <w:rFonts w:ascii="Century Gothic" w:hAnsi="Century Gothic"/>
                <w:b/>
                <w:sz w:val="22"/>
                <w:szCs w:val="22"/>
              </w:rPr>
            </w:pPr>
            <w:r w:rsidRPr="00354A8E">
              <w:rPr>
                <w:rFonts w:ascii="Century Gothic" w:hAnsi="Century Gothic"/>
                <w:b/>
                <w:sz w:val="22"/>
                <w:szCs w:val="22"/>
              </w:rPr>
              <w:t>Total de Aportaciones</w:t>
            </w:r>
          </w:p>
        </w:tc>
        <w:tc>
          <w:tcPr>
            <w:tcW w:w="2552" w:type="dxa"/>
          </w:tcPr>
          <w:p w:rsidR="007D48E5" w:rsidRPr="00354A8E" w:rsidRDefault="007D48E5" w:rsidP="00434CF7">
            <w:pPr>
              <w:jc w:val="both"/>
              <w:rPr>
                <w:rFonts w:ascii="Century Gothic" w:hAnsi="Century Gothic"/>
                <w:sz w:val="22"/>
                <w:szCs w:val="22"/>
              </w:rPr>
            </w:pPr>
          </w:p>
        </w:tc>
        <w:tc>
          <w:tcPr>
            <w:tcW w:w="2410" w:type="dxa"/>
          </w:tcPr>
          <w:p w:rsidR="007D48E5" w:rsidRPr="00354A8E" w:rsidRDefault="007D48E5" w:rsidP="00434CF7">
            <w:pPr>
              <w:rPr>
                <w:rFonts w:ascii="Century Gothic" w:hAnsi="Century Gothic"/>
                <w:sz w:val="22"/>
                <w:szCs w:val="22"/>
              </w:rPr>
            </w:pPr>
            <w:r w:rsidRPr="00354A8E">
              <w:rPr>
                <w:rFonts w:ascii="Century Gothic" w:hAnsi="Century Gothic"/>
                <w:sz w:val="22"/>
                <w:szCs w:val="22"/>
              </w:rPr>
              <w:t xml:space="preserve"> $   14,059,500.00</w:t>
            </w:r>
          </w:p>
        </w:tc>
      </w:tr>
    </w:tbl>
    <w:p w:rsidR="007D48E5" w:rsidRPr="00354A8E" w:rsidRDefault="007D48E5" w:rsidP="007D48E5">
      <w:pPr>
        <w:jc w:val="both"/>
        <w:rPr>
          <w:rFonts w:ascii="Century Gothic" w:hAnsi="Century Gothic"/>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2410"/>
      </w:tblGrid>
      <w:tr w:rsidR="007D48E5" w:rsidRPr="00354A8E" w:rsidTr="006B53A7">
        <w:trPr>
          <w:trHeight w:val="283"/>
        </w:trPr>
        <w:tc>
          <w:tcPr>
            <w:tcW w:w="6629" w:type="dxa"/>
          </w:tcPr>
          <w:p w:rsidR="007D48E5" w:rsidRPr="00354A8E" w:rsidRDefault="007D48E5" w:rsidP="00434CF7">
            <w:pPr>
              <w:jc w:val="both"/>
              <w:rPr>
                <w:rFonts w:ascii="Century Gothic" w:hAnsi="Century Gothic"/>
                <w:b/>
                <w:sz w:val="22"/>
                <w:szCs w:val="22"/>
              </w:rPr>
            </w:pPr>
            <w:r w:rsidRPr="00354A8E">
              <w:rPr>
                <w:rFonts w:ascii="Century Gothic" w:hAnsi="Century Gothic"/>
                <w:b/>
                <w:sz w:val="22"/>
                <w:szCs w:val="22"/>
              </w:rPr>
              <w:t>Total Global</w:t>
            </w:r>
          </w:p>
        </w:tc>
        <w:tc>
          <w:tcPr>
            <w:tcW w:w="2410" w:type="dxa"/>
          </w:tcPr>
          <w:p w:rsidR="007D48E5" w:rsidRPr="00354A8E" w:rsidRDefault="007D48E5" w:rsidP="00434CF7">
            <w:pPr>
              <w:jc w:val="right"/>
              <w:rPr>
                <w:rFonts w:ascii="Century Gothic" w:hAnsi="Century Gothic"/>
                <w:b/>
                <w:sz w:val="22"/>
                <w:szCs w:val="22"/>
              </w:rPr>
            </w:pPr>
            <w:r w:rsidRPr="00354A8E">
              <w:rPr>
                <w:rFonts w:ascii="Century Gothic" w:hAnsi="Century Gothic"/>
                <w:b/>
                <w:sz w:val="22"/>
                <w:szCs w:val="22"/>
              </w:rPr>
              <w:t>$     44,199,813.00</w:t>
            </w:r>
          </w:p>
        </w:tc>
      </w:tr>
    </w:tbl>
    <w:p w:rsidR="006D2632" w:rsidRPr="00354A8E" w:rsidRDefault="00354A8E" w:rsidP="00354A8E">
      <w:pPr>
        <w:rPr>
          <w:sz w:val="22"/>
          <w:szCs w:val="22"/>
        </w:rPr>
      </w:pPr>
    </w:p>
    <w:sectPr w:rsidR="006D2632" w:rsidRPr="00354A8E" w:rsidSect="00CC223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48E5"/>
    <w:rsid w:val="00354A8E"/>
    <w:rsid w:val="006073F5"/>
    <w:rsid w:val="006B53A7"/>
    <w:rsid w:val="007D48E5"/>
    <w:rsid w:val="00880008"/>
    <w:rsid w:val="00CC223E"/>
    <w:rsid w:val="00F3060F"/>
    <w:rsid w:val="00F80C2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E5"/>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48E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1356</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jigonzalez</dc:creator>
  <cp:lastModifiedBy>flgonzalez</cp:lastModifiedBy>
  <cp:revision>3</cp:revision>
  <dcterms:created xsi:type="dcterms:W3CDTF">2021-12-15T00:37:00Z</dcterms:created>
  <dcterms:modified xsi:type="dcterms:W3CDTF">2021-12-18T00:23:00Z</dcterms:modified>
</cp:coreProperties>
</file>