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0" w:rsidRDefault="006579A0" w:rsidP="006579A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579A0" w:rsidRDefault="006579A0" w:rsidP="006579A0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bookmarkStart w:id="0" w:name="_Hlk88815056"/>
      <w:r w:rsidRPr="005234C1">
        <w:rPr>
          <w:rFonts w:ascii="Century Gothic" w:hAnsi="Century Gothic" w:cs="Arial"/>
          <w:b/>
          <w:sz w:val="20"/>
          <w:szCs w:val="20"/>
        </w:rPr>
        <w:t xml:space="preserve">Anexo a la Ley de Ingresos correspondiente al Municipio de </w:t>
      </w:r>
      <w:proofErr w:type="spellStart"/>
      <w:r w:rsidRPr="005234C1">
        <w:rPr>
          <w:rFonts w:ascii="Century Gothic" w:hAnsi="Century Gothic" w:cs="Arial"/>
          <w:b/>
          <w:sz w:val="20"/>
          <w:szCs w:val="20"/>
        </w:rPr>
        <w:t>Balleza</w:t>
      </w:r>
      <w:proofErr w:type="spellEnd"/>
      <w:r w:rsidRPr="005234C1">
        <w:rPr>
          <w:rFonts w:ascii="Century Gothic" w:hAnsi="Century Gothic" w:cs="Arial"/>
          <w:b/>
          <w:sz w:val="20"/>
          <w:szCs w:val="20"/>
        </w:rPr>
        <w:t xml:space="preserve"> 2022</w:t>
      </w:r>
    </w:p>
    <w:p w:rsidR="006579A0" w:rsidRPr="005234C1" w:rsidRDefault="006579A0" w:rsidP="006579A0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6579A0" w:rsidRDefault="006579A0" w:rsidP="006579A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234C1">
        <w:rPr>
          <w:rFonts w:ascii="Century Gothic" w:hAnsi="Century Gothic" w:cs="Arial"/>
          <w:sz w:val="20"/>
          <w:szCs w:val="20"/>
        </w:rPr>
        <w:t xml:space="preserve"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 </w:t>
      </w:r>
      <w:proofErr w:type="spellStart"/>
      <w:r w:rsidRPr="005234C1">
        <w:rPr>
          <w:rFonts w:ascii="Century Gothic" w:hAnsi="Century Gothic" w:cs="Arial"/>
          <w:sz w:val="20"/>
          <w:szCs w:val="20"/>
        </w:rPr>
        <w:t>Balleza</w:t>
      </w:r>
      <w:proofErr w:type="spellEnd"/>
      <w:r w:rsidRPr="005234C1">
        <w:rPr>
          <w:rFonts w:ascii="Century Gothic" w:hAnsi="Century Gothic" w:cs="Arial"/>
          <w:sz w:val="20"/>
          <w:szCs w:val="20"/>
        </w:rPr>
        <w:t>, durante el Ejercicio Fiscal del año 2022.</w:t>
      </w:r>
      <w:bookmarkStart w:id="1" w:name="_GoBack"/>
      <w:bookmarkEnd w:id="1"/>
    </w:p>
    <w:p w:rsidR="0054174B" w:rsidRPr="005234C1" w:rsidRDefault="0054174B" w:rsidP="006579A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1113"/>
        <w:gridCol w:w="556"/>
        <w:gridCol w:w="1809"/>
        <w:gridCol w:w="1653"/>
      </w:tblGrid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$1,180,245.19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Contribuciones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$0.00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$1,544,253.22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Productos 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$27,675.48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Aprovechamiento 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$195,688.12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5416" w:type="dxa"/>
            <w:gridSpan w:val="3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Total de ingresos propios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2,947,86</w:t>
            </w: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2.01</w:t>
            </w: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Participaciones: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3747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Fondo General de Participaciones</w:t>
            </w:r>
          </w:p>
        </w:tc>
        <w:tc>
          <w:tcPr>
            <w:tcW w:w="1669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$25,519,630.00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Fondo de Fomento Municipal 70%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$4,728,411.00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Fondo de Fomento Municipal 30%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$1,422,256.00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5416" w:type="dxa"/>
            <w:gridSpan w:val="3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Impuestos Especiales sobre Productos y Servicios 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$676,904.00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5416" w:type="dxa"/>
            <w:gridSpan w:val="3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Participación de las Cuotas de Gasolina 70%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$461,374.00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Participación de las Cuotas de Gasolina 30%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$24,978.00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Fondo de Fiscalización y Recaudación (FOFIR)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$2,514,011.00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Imp. Sobre Tenencia o uso de vehículos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$537.00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5416" w:type="dxa"/>
            <w:gridSpan w:val="3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Impuesto sobre autos nuevos (ISAN).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$533,894.00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5416" w:type="dxa"/>
            <w:gridSpan w:val="3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Fondo para el Desarrollo Socioeconómico Municipal (FODESEM)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$9,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322,526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5416" w:type="dxa"/>
            <w:gridSpan w:val="3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ISR Bienes Inmuebles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$160,156.00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Total Participaciones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$45,364,677</w:t>
            </w: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F.I.S.M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$50,236,815.00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F.A.F.M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$12,262,612.00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Total Aportaciones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$62,499,427.00</w:t>
            </w:r>
          </w:p>
        </w:tc>
      </w:tr>
      <w:tr w:rsidR="006579A0" w:rsidRPr="005234C1" w:rsidTr="00A96B8D">
        <w:trPr>
          <w:trHeight w:val="305"/>
        </w:trPr>
        <w:tc>
          <w:tcPr>
            <w:tcW w:w="4860" w:type="dxa"/>
            <w:gridSpan w:val="2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 xml:space="preserve">Total Global </w:t>
            </w:r>
          </w:p>
        </w:tc>
        <w:tc>
          <w:tcPr>
            <w:tcW w:w="556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6579A0" w:rsidRPr="005234C1" w:rsidRDefault="006579A0" w:rsidP="005428E9">
            <w:pPr>
              <w:spacing w:after="0" w:line="36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</w:pP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110,811,966</w:t>
            </w:r>
            <w:r w:rsidRPr="005234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MX"/>
              </w:rPr>
              <w:t>.01</w:t>
            </w:r>
          </w:p>
        </w:tc>
      </w:tr>
      <w:bookmarkEnd w:id="0"/>
    </w:tbl>
    <w:p w:rsidR="006D2632" w:rsidRDefault="00DF44BF"/>
    <w:sectPr w:rsidR="006D2632" w:rsidSect="00DF44BF">
      <w:pgSz w:w="12240" w:h="15840"/>
      <w:pgMar w:top="1418" w:right="1701" w:bottom="1418" w:left="170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9A0"/>
    <w:rsid w:val="00504030"/>
    <w:rsid w:val="0054174B"/>
    <w:rsid w:val="006579A0"/>
    <w:rsid w:val="00A96B8D"/>
    <w:rsid w:val="00B52A67"/>
    <w:rsid w:val="00DF44BF"/>
    <w:rsid w:val="00F3060F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7C5D0-8B80-4C31-AF24-70A69B08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jigonzalez</dc:creator>
  <cp:lastModifiedBy>Sonia Pérez Chacón</cp:lastModifiedBy>
  <cp:revision>4</cp:revision>
  <cp:lastPrinted>2021-12-21T16:39:00Z</cp:lastPrinted>
  <dcterms:created xsi:type="dcterms:W3CDTF">2021-12-15T22:05:00Z</dcterms:created>
  <dcterms:modified xsi:type="dcterms:W3CDTF">2021-12-21T16:39:00Z</dcterms:modified>
</cp:coreProperties>
</file>