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98" w:rsidRPr="00C95B7A" w:rsidRDefault="000E6A98" w:rsidP="000E6A98">
      <w:pPr>
        <w:contextualSpacing/>
        <w:jc w:val="both"/>
        <w:rPr>
          <w:rFonts w:ascii="Century Gothic" w:hAnsi="Century Gothic" w:cs="Tahoma"/>
          <w:sz w:val="25"/>
          <w:szCs w:val="25"/>
        </w:rPr>
      </w:pPr>
      <w:r w:rsidRPr="00C95B7A">
        <w:rPr>
          <w:rFonts w:ascii="Century Gothic" w:hAnsi="Century Gothic" w:cs="Tahoma"/>
          <w:b/>
          <w:sz w:val="25"/>
          <w:szCs w:val="25"/>
        </w:rPr>
        <w:t>DECRETO No.</w:t>
      </w:r>
    </w:p>
    <w:p w:rsidR="000E6A98" w:rsidRPr="00C95B7A" w:rsidRDefault="000E6A98" w:rsidP="000E6A98">
      <w:pPr>
        <w:contextualSpacing/>
        <w:jc w:val="both"/>
        <w:rPr>
          <w:rFonts w:ascii="Century Gothic" w:hAnsi="Century Gothic" w:cs="Tahoma"/>
          <w:sz w:val="25"/>
          <w:szCs w:val="25"/>
        </w:rPr>
      </w:pPr>
      <w:r w:rsidRPr="00C95B7A">
        <w:rPr>
          <w:rFonts w:ascii="Century Gothic" w:hAnsi="Century Gothic" w:cs="Tahoma"/>
          <w:b/>
          <w:sz w:val="25"/>
          <w:szCs w:val="25"/>
        </w:rPr>
        <w:t>LXVII/</w:t>
      </w:r>
      <w:proofErr w:type="spellStart"/>
      <w:r w:rsidRPr="00C95B7A">
        <w:rPr>
          <w:rFonts w:ascii="Century Gothic" w:hAnsi="Century Gothic" w:cs="Tahoma"/>
          <w:b/>
          <w:sz w:val="25"/>
          <w:szCs w:val="25"/>
        </w:rPr>
        <w:t>APLIM</w:t>
      </w:r>
      <w:proofErr w:type="spellEnd"/>
      <w:r w:rsidRPr="00C95B7A">
        <w:rPr>
          <w:rFonts w:ascii="Century Gothic" w:hAnsi="Century Gothic" w:cs="Tahoma"/>
          <w:b/>
          <w:sz w:val="25"/>
          <w:szCs w:val="25"/>
        </w:rPr>
        <w:t>/0</w:t>
      </w:r>
      <w:r w:rsidR="008E5924" w:rsidRPr="00C95B7A">
        <w:rPr>
          <w:rFonts w:ascii="Century Gothic" w:hAnsi="Century Gothic" w:cs="Tahoma"/>
          <w:b/>
          <w:sz w:val="25"/>
          <w:szCs w:val="25"/>
        </w:rPr>
        <w:t>118</w:t>
      </w:r>
      <w:r w:rsidRPr="00C95B7A">
        <w:rPr>
          <w:rFonts w:ascii="Century Gothic" w:hAnsi="Century Gothic" w:cs="Tahoma"/>
          <w:b/>
          <w:sz w:val="25"/>
          <w:szCs w:val="25"/>
        </w:rPr>
        <w:t>/2021 I P.O.</w:t>
      </w:r>
    </w:p>
    <w:p w:rsidR="000E6A98" w:rsidRPr="00F44230" w:rsidRDefault="000E6A98" w:rsidP="000E6A98">
      <w:pPr>
        <w:spacing w:line="360" w:lineRule="auto"/>
        <w:contextualSpacing/>
        <w:jc w:val="both"/>
        <w:rPr>
          <w:rFonts w:ascii="Century Gothic" w:hAnsi="Century Gothic"/>
          <w:sz w:val="24"/>
          <w:szCs w:val="24"/>
        </w:rPr>
      </w:pPr>
    </w:p>
    <w:p w:rsidR="000E6A98" w:rsidRPr="00F44230" w:rsidRDefault="000E6A98" w:rsidP="000E6A98">
      <w:pPr>
        <w:ind w:right="51"/>
        <w:contextualSpacing/>
        <w:jc w:val="both"/>
        <w:rPr>
          <w:rFonts w:ascii="Century Gothic" w:hAnsi="Century Gothic"/>
          <w:sz w:val="26"/>
          <w:szCs w:val="26"/>
        </w:rPr>
      </w:pPr>
      <w:r w:rsidRPr="00F44230">
        <w:rPr>
          <w:rFonts w:ascii="Century Gothic" w:hAnsi="Century Gothic"/>
          <w:b/>
          <w:sz w:val="26"/>
          <w:szCs w:val="26"/>
        </w:rPr>
        <w:t>LA SEXAGÉSIMA SÉPTIMA LEGISLATURA DEL HONORABLE CONGRESO DEL ESTADO DE CHIHUAHUA, REUNIDA EN SU PRIMER PERÍODO ORDINARIO DE SESIONES, DENTRO DEL PRIMER AÑO DE EJERCICIO CONSTITUCIONAL,</w:t>
      </w:r>
    </w:p>
    <w:p w:rsidR="000E6A98" w:rsidRPr="00F44230" w:rsidRDefault="000E6A98" w:rsidP="000E6A98">
      <w:pPr>
        <w:tabs>
          <w:tab w:val="left" w:pos="940"/>
          <w:tab w:val="center" w:pos="4277"/>
        </w:tabs>
        <w:spacing w:line="360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</w:p>
    <w:p w:rsidR="000E6A98" w:rsidRPr="00F44230" w:rsidRDefault="000E6A98" w:rsidP="00CB6165">
      <w:pPr>
        <w:tabs>
          <w:tab w:val="left" w:pos="940"/>
          <w:tab w:val="center" w:pos="4277"/>
        </w:tabs>
        <w:spacing w:after="0" w:line="360" w:lineRule="auto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F44230">
        <w:rPr>
          <w:rFonts w:ascii="Century Gothic" w:hAnsi="Century Gothic"/>
          <w:b/>
          <w:sz w:val="28"/>
          <w:szCs w:val="28"/>
        </w:rPr>
        <w:t>D E C R E T A</w:t>
      </w:r>
    </w:p>
    <w:p w:rsidR="000E6A98" w:rsidRDefault="000E6A98" w:rsidP="00CB6165">
      <w:pPr>
        <w:spacing w:after="0" w:line="360" w:lineRule="auto"/>
        <w:ind w:right="106"/>
        <w:jc w:val="center"/>
        <w:rPr>
          <w:rFonts w:ascii="Century Gothic" w:hAnsi="Century Gothic" w:cs="Arial"/>
          <w:b/>
          <w:bCs/>
          <w:sz w:val="26"/>
          <w:szCs w:val="26"/>
        </w:rPr>
      </w:pPr>
    </w:p>
    <w:p w:rsidR="00154803" w:rsidRPr="00D045C6" w:rsidRDefault="00154803" w:rsidP="00CB6165">
      <w:pPr>
        <w:spacing w:after="0" w:line="360" w:lineRule="auto"/>
        <w:ind w:right="106"/>
        <w:jc w:val="center"/>
        <w:rPr>
          <w:rFonts w:ascii="Century Gothic" w:hAnsi="Century Gothic" w:cs="Arial"/>
          <w:b/>
          <w:bCs/>
          <w:sz w:val="24"/>
          <w:szCs w:val="26"/>
        </w:rPr>
      </w:pPr>
      <w:r w:rsidRPr="00D045C6">
        <w:rPr>
          <w:rFonts w:ascii="Century Gothic" w:hAnsi="Century Gothic" w:cs="Arial"/>
          <w:b/>
          <w:bCs/>
          <w:sz w:val="24"/>
          <w:szCs w:val="26"/>
        </w:rPr>
        <w:t xml:space="preserve">LEY DE INGRESOS DEL MUNICIPIO DE </w:t>
      </w:r>
      <w:proofErr w:type="spellStart"/>
      <w:r w:rsidR="00FF613D" w:rsidRPr="00D045C6">
        <w:rPr>
          <w:rFonts w:ascii="Century Gothic" w:hAnsi="Century Gothic" w:cs="Arial"/>
          <w:b/>
          <w:bCs/>
          <w:sz w:val="24"/>
          <w:szCs w:val="26"/>
        </w:rPr>
        <w:t>BALLEZA</w:t>
      </w:r>
      <w:proofErr w:type="spellEnd"/>
    </w:p>
    <w:p w:rsidR="00154803" w:rsidRPr="00D045C6" w:rsidRDefault="00700A93" w:rsidP="00CB6165">
      <w:pPr>
        <w:spacing w:after="0" w:line="360" w:lineRule="auto"/>
        <w:ind w:right="106"/>
        <w:jc w:val="center"/>
        <w:rPr>
          <w:rFonts w:ascii="Century Gothic" w:hAnsi="Century Gothic" w:cs="Arial"/>
          <w:b/>
          <w:bCs/>
          <w:sz w:val="24"/>
          <w:szCs w:val="26"/>
        </w:rPr>
      </w:pPr>
      <w:r w:rsidRPr="00D045C6">
        <w:rPr>
          <w:rFonts w:ascii="Century Gothic" w:hAnsi="Century Gothic" w:cs="Arial"/>
          <w:b/>
          <w:bCs/>
          <w:sz w:val="24"/>
          <w:szCs w:val="26"/>
        </w:rPr>
        <w:t>PARA EL EJERCICIO FISCAL DE 202</w:t>
      </w:r>
      <w:r w:rsidR="00FF613D" w:rsidRPr="00D045C6">
        <w:rPr>
          <w:rFonts w:ascii="Century Gothic" w:hAnsi="Century Gothic" w:cs="Arial"/>
          <w:b/>
          <w:bCs/>
          <w:sz w:val="24"/>
          <w:szCs w:val="26"/>
        </w:rPr>
        <w:t>2</w:t>
      </w:r>
    </w:p>
    <w:p w:rsidR="00C83093" w:rsidRPr="006E20DE" w:rsidRDefault="00C83093" w:rsidP="00CB6165">
      <w:pPr>
        <w:spacing w:after="0" w:line="360" w:lineRule="auto"/>
        <w:ind w:right="106"/>
        <w:jc w:val="center"/>
        <w:rPr>
          <w:rFonts w:ascii="Century Gothic" w:hAnsi="Century Gothic" w:cs="Arial"/>
          <w:b/>
          <w:bCs/>
          <w:sz w:val="26"/>
          <w:szCs w:val="26"/>
        </w:rPr>
      </w:pPr>
    </w:p>
    <w:p w:rsidR="003F19CE" w:rsidRPr="00020237" w:rsidRDefault="00154803" w:rsidP="00CB616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  <w:sz w:val="24"/>
          <w:szCs w:val="32"/>
        </w:rPr>
      </w:pPr>
      <w:r w:rsidRPr="006B217C">
        <w:rPr>
          <w:rFonts w:ascii="Century Gothic" w:hAnsi="Century Gothic" w:cs="Arial"/>
          <w:b/>
          <w:bCs/>
          <w:sz w:val="24"/>
          <w:szCs w:val="32"/>
        </w:rPr>
        <w:t xml:space="preserve">ARTÍCULO </w:t>
      </w:r>
      <w:r w:rsidR="00C83093">
        <w:rPr>
          <w:rFonts w:ascii="Century Gothic" w:hAnsi="Century Gothic" w:cs="Arial"/>
          <w:b/>
          <w:bCs/>
          <w:sz w:val="24"/>
          <w:szCs w:val="32"/>
        </w:rPr>
        <w:t>PRIMERO.</w:t>
      </w:r>
      <w:r w:rsidR="00020237" w:rsidRPr="006B217C">
        <w:rPr>
          <w:rFonts w:ascii="Century Gothic" w:hAnsi="Century Gothic" w:cs="Arial"/>
          <w:b/>
          <w:bCs/>
          <w:sz w:val="24"/>
          <w:szCs w:val="32"/>
        </w:rPr>
        <w:t>-</w:t>
      </w:r>
      <w:r w:rsidR="00C83093">
        <w:rPr>
          <w:rFonts w:ascii="Century Gothic" w:hAnsi="Century Gothic" w:cs="Arial"/>
          <w:b/>
          <w:bCs/>
          <w:sz w:val="24"/>
          <w:szCs w:val="32"/>
        </w:rPr>
        <w:t xml:space="preserve"> </w:t>
      </w:r>
      <w:r>
        <w:rPr>
          <w:rFonts w:ascii="Century Gothic" w:hAnsi="Century Gothic" w:cs="Arial"/>
          <w:bCs/>
          <w:sz w:val="24"/>
          <w:szCs w:val="32"/>
        </w:rPr>
        <w:t>Para que el Municipio de</w:t>
      </w:r>
      <w:r w:rsidR="008D0C67">
        <w:rPr>
          <w:rFonts w:ascii="Century Gothic" w:hAnsi="Century Gothic" w:cs="Arial"/>
          <w:bCs/>
          <w:sz w:val="24"/>
          <w:szCs w:val="32"/>
        </w:rPr>
        <w:t xml:space="preserve"> </w:t>
      </w:r>
      <w:proofErr w:type="spellStart"/>
      <w:r w:rsidR="008D0C67">
        <w:rPr>
          <w:rFonts w:ascii="Century Gothic" w:hAnsi="Century Gothic" w:cs="Arial"/>
          <w:bCs/>
          <w:sz w:val="24"/>
          <w:szCs w:val="32"/>
        </w:rPr>
        <w:t>Balleza</w:t>
      </w:r>
      <w:proofErr w:type="spellEnd"/>
      <w:r>
        <w:rPr>
          <w:rFonts w:ascii="Century Gothic" w:hAnsi="Century Gothic" w:cs="Arial"/>
          <w:bCs/>
          <w:sz w:val="24"/>
          <w:szCs w:val="32"/>
        </w:rPr>
        <w:t xml:space="preserve"> pueda cubrir los gastos previstos en su presupuesto</w:t>
      </w:r>
      <w:r w:rsidRPr="006B217C">
        <w:rPr>
          <w:rFonts w:ascii="Century Gothic" w:hAnsi="Century Gothic" w:cs="Arial"/>
          <w:bCs/>
          <w:sz w:val="24"/>
          <w:szCs w:val="32"/>
        </w:rPr>
        <w:t xml:space="preserve"> de</w:t>
      </w:r>
      <w:r>
        <w:rPr>
          <w:rFonts w:ascii="Century Gothic" w:hAnsi="Century Gothic" w:cs="Arial"/>
          <w:bCs/>
          <w:sz w:val="24"/>
          <w:szCs w:val="32"/>
        </w:rPr>
        <w:t xml:space="preserve"> egresos durante el ejercicio </w:t>
      </w:r>
      <w:r w:rsidR="00020237">
        <w:rPr>
          <w:rFonts w:ascii="Century Gothic" w:hAnsi="Century Gothic" w:cs="Arial"/>
          <w:bCs/>
          <w:sz w:val="24"/>
          <w:szCs w:val="32"/>
        </w:rPr>
        <w:t xml:space="preserve">fiscal </w:t>
      </w:r>
      <w:proofErr w:type="gramStart"/>
      <w:r w:rsidR="00020237">
        <w:rPr>
          <w:rFonts w:ascii="Century Gothic" w:hAnsi="Century Gothic" w:cs="Arial"/>
          <w:bCs/>
          <w:sz w:val="24"/>
          <w:szCs w:val="32"/>
        </w:rPr>
        <w:t>comprendido</w:t>
      </w:r>
      <w:proofErr w:type="gramEnd"/>
      <w:r w:rsidR="000E6A98">
        <w:rPr>
          <w:rFonts w:ascii="Century Gothic" w:hAnsi="Century Gothic" w:cs="Arial"/>
          <w:bCs/>
          <w:sz w:val="24"/>
          <w:szCs w:val="32"/>
        </w:rPr>
        <w:t xml:space="preserve"> </w:t>
      </w:r>
      <w:r w:rsidRPr="006B217C">
        <w:rPr>
          <w:rFonts w:ascii="Century Gothic" w:hAnsi="Century Gothic" w:cs="Arial"/>
          <w:bCs/>
          <w:sz w:val="24"/>
          <w:szCs w:val="32"/>
        </w:rPr>
        <w:t>de</w:t>
      </w:r>
      <w:r>
        <w:rPr>
          <w:rFonts w:ascii="Century Gothic" w:hAnsi="Century Gothic" w:cs="Arial"/>
          <w:bCs/>
          <w:sz w:val="24"/>
          <w:szCs w:val="32"/>
        </w:rPr>
        <w:t xml:space="preserve">l </w:t>
      </w:r>
      <w:proofErr w:type="spellStart"/>
      <w:r>
        <w:rPr>
          <w:rFonts w:ascii="Century Gothic" w:hAnsi="Century Gothic" w:cs="Arial"/>
          <w:bCs/>
          <w:sz w:val="24"/>
          <w:szCs w:val="32"/>
        </w:rPr>
        <w:t>1o</w:t>
      </w:r>
      <w:proofErr w:type="spellEnd"/>
      <w:r>
        <w:rPr>
          <w:rFonts w:ascii="Century Gothic" w:hAnsi="Century Gothic" w:cs="Arial"/>
          <w:bCs/>
          <w:sz w:val="24"/>
          <w:szCs w:val="32"/>
        </w:rPr>
        <w:t>. de enero al 31 de diciembre de 20</w:t>
      </w:r>
      <w:r w:rsidR="00700A93">
        <w:rPr>
          <w:rFonts w:ascii="Century Gothic" w:hAnsi="Century Gothic" w:cs="Arial"/>
          <w:bCs/>
          <w:sz w:val="24"/>
          <w:szCs w:val="32"/>
        </w:rPr>
        <w:t>2</w:t>
      </w:r>
      <w:r w:rsidR="008D0C67">
        <w:rPr>
          <w:rFonts w:ascii="Century Gothic" w:hAnsi="Century Gothic" w:cs="Arial"/>
          <w:bCs/>
          <w:sz w:val="24"/>
          <w:szCs w:val="32"/>
        </w:rPr>
        <w:t>2</w:t>
      </w:r>
      <w:r>
        <w:rPr>
          <w:rFonts w:ascii="Century Gothic" w:hAnsi="Century Gothic" w:cs="Arial"/>
          <w:bCs/>
          <w:sz w:val="24"/>
          <w:szCs w:val="32"/>
        </w:rPr>
        <w:t xml:space="preserve">, percibirá </w:t>
      </w:r>
      <w:r w:rsidRPr="006B217C">
        <w:rPr>
          <w:rFonts w:ascii="Century Gothic" w:hAnsi="Century Gothic" w:cs="Arial"/>
          <w:bCs/>
          <w:sz w:val="24"/>
          <w:szCs w:val="32"/>
        </w:rPr>
        <w:t xml:space="preserve">los  </w:t>
      </w:r>
      <w:r>
        <w:rPr>
          <w:rFonts w:ascii="Century Gothic" w:hAnsi="Century Gothic" w:cs="Arial"/>
          <w:bCs/>
          <w:sz w:val="24"/>
          <w:szCs w:val="32"/>
        </w:rPr>
        <w:t xml:space="preserve">   ingresos ordinarios y </w:t>
      </w:r>
      <w:r w:rsidRPr="006B217C">
        <w:rPr>
          <w:rFonts w:ascii="Century Gothic" w:hAnsi="Century Gothic" w:cs="Arial"/>
          <w:bCs/>
          <w:sz w:val="24"/>
          <w:szCs w:val="32"/>
        </w:rPr>
        <w:t>extraordinarios siguientes:</w:t>
      </w:r>
      <w:r w:rsidR="00020237">
        <w:rPr>
          <w:rFonts w:ascii="Century Gothic" w:hAnsi="Century Gothic" w:cs="Arial"/>
          <w:bCs/>
          <w:sz w:val="24"/>
          <w:szCs w:val="32"/>
        </w:rPr>
        <w:tab/>
      </w:r>
      <w:r w:rsidR="00020237">
        <w:rPr>
          <w:rFonts w:ascii="Century Gothic" w:hAnsi="Century Gothic" w:cs="Arial"/>
          <w:bCs/>
          <w:sz w:val="24"/>
          <w:szCs w:val="32"/>
        </w:rPr>
        <w:tab/>
      </w:r>
    </w:p>
    <w:p w:rsidR="00CB6165" w:rsidRDefault="00CB6165" w:rsidP="00CB6165">
      <w:pPr>
        <w:spacing w:after="0" w:line="360" w:lineRule="auto"/>
        <w:rPr>
          <w:rFonts w:ascii="Century Gothic" w:hAnsi="Century Gothic" w:cs="Arial"/>
          <w:b/>
          <w:sz w:val="24"/>
          <w:szCs w:val="24"/>
        </w:rPr>
      </w:pPr>
    </w:p>
    <w:p w:rsidR="003F19CE" w:rsidRPr="00295E10" w:rsidRDefault="003F19CE" w:rsidP="00CB6165">
      <w:pPr>
        <w:spacing w:after="0" w:line="360" w:lineRule="auto"/>
        <w:rPr>
          <w:rFonts w:ascii="Century Gothic" w:hAnsi="Century Gothic" w:cs="Arial"/>
          <w:b/>
          <w:sz w:val="24"/>
          <w:szCs w:val="24"/>
        </w:rPr>
      </w:pPr>
      <w:r w:rsidRPr="00295E10">
        <w:rPr>
          <w:rFonts w:ascii="Century Gothic" w:hAnsi="Century Gothic" w:cs="Arial"/>
          <w:b/>
          <w:sz w:val="24"/>
          <w:szCs w:val="24"/>
        </w:rPr>
        <w:t>I.- IMPUESTOS Y CONTRIBUCIONES</w:t>
      </w:r>
    </w:p>
    <w:p w:rsidR="00CB6165" w:rsidRDefault="00CB6165" w:rsidP="00CB6165">
      <w:pPr>
        <w:spacing w:after="0" w:line="360" w:lineRule="auto"/>
        <w:rPr>
          <w:rFonts w:ascii="Century Gothic" w:hAnsi="Century Gothic" w:cs="Arial"/>
          <w:b/>
          <w:sz w:val="24"/>
          <w:szCs w:val="24"/>
        </w:rPr>
      </w:pPr>
    </w:p>
    <w:p w:rsidR="003F19CE" w:rsidRPr="00295E10" w:rsidRDefault="00295E10" w:rsidP="00CB6165">
      <w:pPr>
        <w:spacing w:after="0" w:line="36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a) Impuestos</w:t>
      </w:r>
    </w:p>
    <w:p w:rsidR="005B5BAA" w:rsidRDefault="003F19CE" w:rsidP="00E82CE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 xml:space="preserve">1.- Sobre espectáculos públicos, los cuales se causarán conforme a las siguientes tasas: </w:t>
      </w:r>
    </w:p>
    <w:p w:rsidR="00CB6165" w:rsidRPr="000A1BAA" w:rsidRDefault="00CB6165" w:rsidP="00CB6165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445"/>
        <w:gridCol w:w="1358"/>
      </w:tblGrid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0A1BAA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Concepto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b/>
                <w:bCs/>
                <w:sz w:val="24"/>
                <w:szCs w:val="24"/>
              </w:rPr>
              <w:t>Tasa</w:t>
            </w:r>
          </w:p>
        </w:tc>
      </w:tr>
      <w:bookmarkEnd w:id="0"/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>Becerradas, novilladas y jaripeos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</w:t>
            </w:r>
            <w:r w:rsidR="00210EA3"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Box y lucha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>10%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Carreras: de caballos, perros, automóviles, motocicletas y otras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>10%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>Ci</w:t>
            </w:r>
            <w:r>
              <w:rPr>
                <w:rFonts w:ascii="Century Gothic" w:hAnsi="Century Gothic" w:cs="Arial"/>
                <w:sz w:val="24"/>
                <w:szCs w:val="24"/>
              </w:rPr>
              <w:t>nematográficos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="00210EA3"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Corridas de toros y peleas de gallos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>1</w:t>
            </w:r>
            <w:r w:rsidR="008D0C67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Espectáculos teatrales, revistas, variedades, conciertos y conferencias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="00210EA3"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Exhibiciones y concursos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</w:t>
            </w:r>
            <w:r w:rsidR="00210EA3"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Espectáculos deportivos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="00210EA3"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  <w:tr w:rsidR="00210EA3" w:rsidRPr="000A1BAA" w:rsidTr="00D045C6">
        <w:trPr>
          <w:trHeight w:val="358"/>
        </w:trPr>
        <w:tc>
          <w:tcPr>
            <w:tcW w:w="7445" w:type="dxa"/>
            <w:noWrap/>
            <w:hideMark/>
          </w:tcPr>
          <w:p w:rsidR="00210EA3" w:rsidRPr="000A1BAA" w:rsidRDefault="00210EA3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A1BAA">
              <w:rPr>
                <w:rFonts w:ascii="Century Gothic" w:hAnsi="Century Gothic" w:cs="Arial"/>
                <w:sz w:val="24"/>
                <w:szCs w:val="24"/>
              </w:rPr>
              <w:t xml:space="preserve">Los demás espectáculos </w:t>
            </w:r>
          </w:p>
        </w:tc>
        <w:tc>
          <w:tcPr>
            <w:tcW w:w="1358" w:type="dxa"/>
            <w:noWrap/>
            <w:hideMark/>
          </w:tcPr>
          <w:p w:rsidR="00210EA3" w:rsidRPr="000A1BAA" w:rsidRDefault="008D0C67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</w:t>
            </w:r>
            <w:r w:rsidR="00210EA3" w:rsidRPr="000A1BAA">
              <w:rPr>
                <w:rFonts w:ascii="Century Gothic" w:hAnsi="Century Gothic" w:cs="Arial"/>
                <w:sz w:val="24"/>
                <w:szCs w:val="24"/>
              </w:rPr>
              <w:t>%</w:t>
            </w:r>
          </w:p>
        </w:tc>
      </w:tr>
    </w:tbl>
    <w:p w:rsidR="00E0017A" w:rsidRDefault="00E0017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0017A" w:rsidRDefault="00E0017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Requisitos: Se deberá tramitar el permiso municipal para espectáculos públicos de conformidad con la Ley de Protección Civil del Estado de Chihuahua y cumpliendo con las disposiciones contenidas en el </w:t>
      </w:r>
      <w:r w:rsidR="00707879">
        <w:rPr>
          <w:rFonts w:ascii="Century Gothic" w:hAnsi="Century Gothic" w:cs="Arial"/>
          <w:sz w:val="24"/>
          <w:szCs w:val="24"/>
        </w:rPr>
        <w:t>título</w:t>
      </w:r>
      <w:r>
        <w:rPr>
          <w:rFonts w:ascii="Century Gothic" w:hAnsi="Century Gothic" w:cs="Arial"/>
          <w:sz w:val="24"/>
          <w:szCs w:val="24"/>
        </w:rPr>
        <w:t xml:space="preserve"> 3, del libro segundo, </w:t>
      </w:r>
      <w:r w:rsidR="00707879">
        <w:rPr>
          <w:rFonts w:ascii="Century Gothic" w:hAnsi="Century Gothic" w:cs="Arial"/>
          <w:sz w:val="24"/>
          <w:szCs w:val="24"/>
        </w:rPr>
        <w:t>capítulo</w:t>
      </w:r>
      <w:r>
        <w:rPr>
          <w:rFonts w:ascii="Century Gothic" w:hAnsi="Century Gothic" w:cs="Arial"/>
          <w:sz w:val="24"/>
          <w:szCs w:val="24"/>
        </w:rPr>
        <w:t xml:space="preserve"> uno, del Código Municipal para el Estado de Chihuahua, según el tipo de evento; y de acuerdo con las disposiciones fiscales aplicables del mismo Código Municipal citado y la </w:t>
      </w:r>
      <w:r w:rsidR="0066055E">
        <w:rPr>
          <w:rFonts w:ascii="Century Gothic" w:hAnsi="Century Gothic" w:cs="Arial"/>
          <w:sz w:val="24"/>
          <w:szCs w:val="24"/>
        </w:rPr>
        <w:t>aplicación supletoria</w:t>
      </w:r>
      <w:r>
        <w:rPr>
          <w:rFonts w:ascii="Century Gothic" w:hAnsi="Century Gothic" w:cs="Arial"/>
          <w:sz w:val="24"/>
          <w:szCs w:val="24"/>
        </w:rPr>
        <w:t xml:space="preserve"> del Código Fiscal del Estado de Chihuahua.</w:t>
      </w:r>
    </w:p>
    <w:p w:rsidR="00CB6165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0017A" w:rsidRDefault="00E0017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Se asienta que cualquier anuencia que se autorice sobre espectáculos públicos se haga saber a los solicitantes que deberán aportar al Municipio el porcentaje que establece el </w:t>
      </w:r>
      <w:r w:rsidR="00FF613D">
        <w:rPr>
          <w:rFonts w:ascii="Century Gothic" w:hAnsi="Century Gothic" w:cs="Arial"/>
          <w:sz w:val="24"/>
          <w:szCs w:val="24"/>
        </w:rPr>
        <w:t>Artículo</w:t>
      </w:r>
      <w:r>
        <w:rPr>
          <w:rFonts w:ascii="Century Gothic" w:hAnsi="Century Gothic" w:cs="Arial"/>
          <w:sz w:val="24"/>
          <w:szCs w:val="24"/>
        </w:rPr>
        <w:t xml:space="preserve"> 144 del </w:t>
      </w:r>
      <w:r w:rsidR="0066055E">
        <w:rPr>
          <w:rFonts w:ascii="Century Gothic" w:hAnsi="Century Gothic" w:cs="Arial"/>
          <w:sz w:val="24"/>
          <w:szCs w:val="24"/>
        </w:rPr>
        <w:t>Código</w:t>
      </w:r>
      <w:r>
        <w:rPr>
          <w:rFonts w:ascii="Century Gothic" w:hAnsi="Century Gothic" w:cs="Arial"/>
          <w:sz w:val="24"/>
          <w:szCs w:val="24"/>
        </w:rPr>
        <w:t xml:space="preserve"> Municipal y el impuesto que se cause es sobre el boletaje vendido.</w:t>
      </w:r>
    </w:p>
    <w:p w:rsidR="00CB6165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0017A" w:rsidRDefault="00E0017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Quedan exentos del punto anterior los centros educativos del Municipio</w:t>
      </w:r>
      <w:r w:rsidR="0066055E">
        <w:rPr>
          <w:rFonts w:ascii="Century Gothic" w:hAnsi="Century Gothic" w:cs="Arial"/>
          <w:sz w:val="24"/>
          <w:szCs w:val="24"/>
        </w:rPr>
        <w:t xml:space="preserve"> de </w:t>
      </w:r>
      <w:proofErr w:type="spellStart"/>
      <w:r w:rsidR="0066055E">
        <w:rPr>
          <w:rFonts w:ascii="Century Gothic" w:hAnsi="Century Gothic" w:cs="Arial"/>
          <w:sz w:val="24"/>
          <w:szCs w:val="24"/>
        </w:rPr>
        <w:t>Balleza</w:t>
      </w:r>
      <w:proofErr w:type="spellEnd"/>
      <w:r w:rsidR="0066055E">
        <w:rPr>
          <w:rFonts w:ascii="Century Gothic" w:hAnsi="Century Gothic" w:cs="Arial"/>
          <w:sz w:val="24"/>
          <w:szCs w:val="24"/>
        </w:rPr>
        <w:t>.</w:t>
      </w:r>
    </w:p>
    <w:p w:rsidR="00CB6165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 xml:space="preserve">2.- Sobre juegos, rifas o loterías permitidas por la ley; las cuales se causarán conforme a la </w:t>
      </w:r>
      <w:r w:rsidR="0066055E" w:rsidRPr="000A1BAA">
        <w:rPr>
          <w:rFonts w:ascii="Century Gothic" w:hAnsi="Century Gothic" w:cs="Arial"/>
          <w:sz w:val="24"/>
          <w:szCs w:val="24"/>
        </w:rPr>
        <w:t xml:space="preserve">tasa </w:t>
      </w:r>
      <w:r w:rsidR="0066055E">
        <w:rPr>
          <w:rFonts w:ascii="Century Gothic" w:hAnsi="Century Gothic" w:cs="Arial"/>
          <w:sz w:val="24"/>
          <w:szCs w:val="24"/>
        </w:rPr>
        <w:t xml:space="preserve">del 10% </w:t>
      </w:r>
      <w:r w:rsidRPr="000A1BAA">
        <w:rPr>
          <w:rFonts w:ascii="Century Gothic" w:hAnsi="Century Gothic" w:cs="Arial"/>
          <w:sz w:val="24"/>
          <w:szCs w:val="24"/>
        </w:rPr>
        <w:t>prevista en el artículo 144 del Código Municipal.</w:t>
      </w:r>
    </w:p>
    <w:p w:rsidR="00CB6165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66055E" w:rsidRDefault="0066055E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exceptúan de impuestos las rifas, loterías, sorteos y concursos cuyo objetivo sea beneficencia para la asistencia pública.</w:t>
      </w:r>
    </w:p>
    <w:p w:rsidR="00CB6165" w:rsidRPr="000A1BAA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91267A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3.- Predial.</w:t>
      </w:r>
    </w:p>
    <w:p w:rsidR="00CB6165" w:rsidRPr="00C044A1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4.- Sobre traslación de dominio de bienes inmuebles.</w:t>
      </w:r>
    </w:p>
    <w:p w:rsidR="00CB6165" w:rsidRPr="000A1BAA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02918" w:rsidRPr="00561C39" w:rsidRDefault="00210EA3" w:rsidP="00CB616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 xml:space="preserve">5.- </w:t>
      </w:r>
      <w:r w:rsidR="00002918" w:rsidRPr="00561C39">
        <w:rPr>
          <w:rFonts w:ascii="Century Gothic" w:hAnsi="Century Gothic"/>
          <w:sz w:val="24"/>
          <w:szCs w:val="24"/>
        </w:rPr>
        <w:t xml:space="preserve">Tasa Adicional para los </w:t>
      </w:r>
      <w:r w:rsidR="00002918">
        <w:rPr>
          <w:rFonts w:ascii="Century Gothic" w:hAnsi="Century Gothic"/>
          <w:sz w:val="24"/>
          <w:szCs w:val="24"/>
        </w:rPr>
        <w:t>I</w:t>
      </w:r>
      <w:r w:rsidR="00002918" w:rsidRPr="00561C39">
        <w:rPr>
          <w:rFonts w:ascii="Century Gothic" w:hAnsi="Century Gothic"/>
          <w:sz w:val="24"/>
          <w:szCs w:val="24"/>
        </w:rPr>
        <w:t>mpuestos Predial y Sobre Traslación de Domin</w:t>
      </w:r>
      <w:r w:rsidR="00002918">
        <w:rPr>
          <w:rFonts w:ascii="Century Gothic" w:hAnsi="Century Gothic"/>
          <w:sz w:val="24"/>
          <w:szCs w:val="24"/>
        </w:rPr>
        <w:t>i</w:t>
      </w:r>
      <w:r w:rsidR="00002918" w:rsidRPr="00561C39">
        <w:rPr>
          <w:rFonts w:ascii="Century Gothic" w:hAnsi="Century Gothic"/>
          <w:sz w:val="24"/>
          <w:szCs w:val="24"/>
        </w:rPr>
        <w:t xml:space="preserve">o de Bienes Inmuebles, la cual se cobrará con una sobretasa del 4% aplicable al monto que deberá enterar el contribuyente por dichos impuestos. </w:t>
      </w:r>
    </w:p>
    <w:p w:rsidR="00002918" w:rsidRPr="00561C39" w:rsidRDefault="00002918" w:rsidP="00CB6165">
      <w:pPr>
        <w:tabs>
          <w:tab w:val="num" w:pos="1080"/>
        </w:tabs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002918" w:rsidRDefault="00002918" w:rsidP="00CB616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DE1920">
        <w:rPr>
          <w:rFonts w:ascii="Century Gothic" w:hAnsi="Century Gothic"/>
          <w:sz w:val="24"/>
          <w:szCs w:val="24"/>
        </w:rPr>
        <w:t>La tasa adicional se pagará en la misma forma y términos en que deban pagarse los impuestos mencionados y su rendimiento se destinará al sostenimiento de la Universidad Autónoma de Chihuahua y de la Universidad Autónoma de Ciudad Juárez, en partes iguales,</w:t>
      </w:r>
      <w:r>
        <w:rPr>
          <w:rFonts w:ascii="Century Gothic" w:hAnsi="Century Gothic"/>
          <w:sz w:val="24"/>
          <w:szCs w:val="24"/>
        </w:rPr>
        <w:t xml:space="preserve"> siempre y cuando así se establezca en el convenio que, en su caso se celebre el Municipio con estas instituciones educativas. </w:t>
      </w:r>
    </w:p>
    <w:p w:rsidR="00CB6165" w:rsidRDefault="00CB6165" w:rsidP="00CB616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>b) Contribuciones:</w:t>
      </w:r>
    </w:p>
    <w:p w:rsidR="00CB6165" w:rsidRPr="000A1BAA" w:rsidRDefault="00CB6165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1.- Sobre pavimentación de calles y demás áreas públicas.</w:t>
      </w:r>
    </w:p>
    <w:p w:rsidR="00CB6165" w:rsidRPr="000A1BAA" w:rsidRDefault="00CB616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>II.- DERECHOS.</w:t>
      </w:r>
    </w:p>
    <w:p w:rsidR="00CB6165" w:rsidRPr="000A1BAA" w:rsidRDefault="00CB6165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9A66FB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1.- Por alineamiento de predios, asignación de número oficial</w:t>
      </w:r>
      <w:r w:rsidR="00DD73B8">
        <w:rPr>
          <w:rFonts w:ascii="Century Gothic" w:hAnsi="Century Gothic" w:cs="Arial"/>
          <w:sz w:val="24"/>
          <w:szCs w:val="24"/>
        </w:rPr>
        <w:t>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 xml:space="preserve">2.- </w:t>
      </w:r>
      <w:r w:rsidR="00DD73B8">
        <w:rPr>
          <w:rFonts w:ascii="Century Gothic" w:hAnsi="Century Gothic" w:cs="Arial"/>
          <w:sz w:val="24"/>
          <w:szCs w:val="24"/>
        </w:rPr>
        <w:t xml:space="preserve">Licencias de </w:t>
      </w:r>
      <w:r w:rsidR="00FF613D">
        <w:rPr>
          <w:rFonts w:ascii="Century Gothic" w:hAnsi="Century Gothic" w:cs="Arial"/>
          <w:sz w:val="24"/>
          <w:szCs w:val="24"/>
        </w:rPr>
        <w:t>Construcción</w:t>
      </w:r>
      <w:r w:rsidR="00DD73B8">
        <w:rPr>
          <w:rFonts w:ascii="Century Gothic" w:hAnsi="Century Gothic" w:cs="Arial"/>
          <w:sz w:val="24"/>
          <w:szCs w:val="24"/>
        </w:rPr>
        <w:t>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3.- Por servicios generales en los rastros.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4.- Por legalización de firmas, certificación y expedición de documentos municipales.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lastRenderedPageBreak/>
        <w:t>5.- Cementerios municipales.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 xml:space="preserve">6.- Por ocupación de la vía pública </w:t>
      </w:r>
      <w:r w:rsidR="00352B98">
        <w:rPr>
          <w:rFonts w:ascii="Century Gothic" w:hAnsi="Century Gothic" w:cs="Arial"/>
          <w:sz w:val="24"/>
          <w:szCs w:val="24"/>
        </w:rPr>
        <w:t>por la instalación de</w:t>
      </w:r>
      <w:r w:rsidRPr="000A1BAA">
        <w:rPr>
          <w:rFonts w:ascii="Century Gothic" w:hAnsi="Century Gothic" w:cs="Arial"/>
          <w:sz w:val="24"/>
          <w:szCs w:val="24"/>
        </w:rPr>
        <w:t xml:space="preserve"> vendedores ambulantes.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7.</w:t>
      </w:r>
      <w:r w:rsidR="00352B98">
        <w:rPr>
          <w:rFonts w:ascii="Century Gothic" w:hAnsi="Century Gothic" w:cs="Arial"/>
          <w:sz w:val="24"/>
          <w:szCs w:val="24"/>
        </w:rPr>
        <w:t xml:space="preserve">- Por la fijación de anuncios publicaciones y </w:t>
      </w:r>
      <w:r w:rsidRPr="000A1BAA">
        <w:rPr>
          <w:rFonts w:ascii="Century Gothic" w:hAnsi="Century Gothic" w:cs="Arial"/>
          <w:sz w:val="24"/>
          <w:szCs w:val="24"/>
        </w:rPr>
        <w:t>propaganda comercial.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Default="00210EA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8.- Por los servicios públicos siguientes: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10EA3" w:rsidRPr="000A1BAA" w:rsidRDefault="00352B98" w:rsidP="00CB616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Alumbrado Público</w:t>
      </w:r>
    </w:p>
    <w:p w:rsidR="00210EA3" w:rsidRDefault="00210EA3" w:rsidP="00CB616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Aseo, recolección y transporte de basura</w:t>
      </w:r>
    </w:p>
    <w:p w:rsidR="009A66FB" w:rsidRDefault="009A66FB" w:rsidP="009A66FB">
      <w:pPr>
        <w:pStyle w:val="Prrafodelista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A75BD" w:rsidRDefault="00E72961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9.-</w:t>
      </w:r>
      <w:r w:rsidR="000A75BD">
        <w:rPr>
          <w:rFonts w:ascii="Century Gothic" w:hAnsi="Century Gothic" w:cs="Arial"/>
          <w:sz w:val="24"/>
          <w:szCs w:val="24"/>
        </w:rPr>
        <w:t xml:space="preserve">Levantamiento topográfico, actas de fusión, </w:t>
      </w:r>
      <w:r w:rsidR="00526FBA">
        <w:rPr>
          <w:rFonts w:ascii="Century Gothic" w:hAnsi="Century Gothic" w:cs="Arial"/>
          <w:sz w:val="24"/>
          <w:szCs w:val="24"/>
        </w:rPr>
        <w:t>subdivisión</w:t>
      </w:r>
      <w:r w:rsidR="000A75BD">
        <w:rPr>
          <w:rFonts w:ascii="Century Gothic" w:hAnsi="Century Gothic" w:cs="Arial"/>
          <w:sz w:val="24"/>
          <w:szCs w:val="24"/>
        </w:rPr>
        <w:t xml:space="preserve"> y </w:t>
      </w:r>
      <w:proofErr w:type="spellStart"/>
      <w:r w:rsidR="000A75BD">
        <w:rPr>
          <w:rFonts w:ascii="Century Gothic" w:hAnsi="Century Gothic" w:cs="Arial"/>
          <w:sz w:val="24"/>
          <w:szCs w:val="24"/>
        </w:rPr>
        <w:t>relotificación</w:t>
      </w:r>
      <w:proofErr w:type="spellEnd"/>
      <w:r w:rsidR="000A75BD">
        <w:rPr>
          <w:rFonts w:ascii="Century Gothic" w:hAnsi="Century Gothic" w:cs="Arial"/>
          <w:sz w:val="24"/>
          <w:szCs w:val="24"/>
        </w:rPr>
        <w:t xml:space="preserve"> de lotes.</w:t>
      </w:r>
    </w:p>
    <w:p w:rsidR="009A66FB" w:rsidRPr="00E72961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A75BD" w:rsidRDefault="00E72961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10</w:t>
      </w:r>
      <w:r w:rsidR="007F603D" w:rsidRPr="000A1BAA">
        <w:rPr>
          <w:rFonts w:ascii="Century Gothic" w:hAnsi="Century Gothic" w:cs="Arial"/>
          <w:sz w:val="24"/>
          <w:szCs w:val="24"/>
        </w:rPr>
        <w:t xml:space="preserve">.- </w:t>
      </w:r>
      <w:r w:rsidR="00526FBA">
        <w:rPr>
          <w:rFonts w:ascii="Century Gothic" w:hAnsi="Century Gothic" w:cs="Arial"/>
          <w:sz w:val="24"/>
          <w:szCs w:val="24"/>
        </w:rPr>
        <w:t>Certificación</w:t>
      </w:r>
      <w:r w:rsidR="000A75BD">
        <w:rPr>
          <w:rFonts w:ascii="Century Gothic" w:hAnsi="Century Gothic" w:cs="Arial"/>
          <w:sz w:val="24"/>
          <w:szCs w:val="24"/>
        </w:rPr>
        <w:t xml:space="preserve"> de avalúos elaborados por valuadores ajenos al municipio.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0A75B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11.-Por supervisión y autorizaci</w:t>
      </w:r>
      <w:bookmarkStart w:id="1" w:name="_Hlk88829789"/>
      <w:r>
        <w:rPr>
          <w:rFonts w:ascii="Century Gothic" w:hAnsi="Century Gothic" w:cs="Arial"/>
          <w:sz w:val="24"/>
          <w:szCs w:val="24"/>
        </w:rPr>
        <w:t>ó</w:t>
      </w:r>
      <w:bookmarkEnd w:id="1"/>
      <w:r>
        <w:rPr>
          <w:rFonts w:ascii="Century Gothic" w:hAnsi="Century Gothic" w:cs="Arial"/>
          <w:sz w:val="24"/>
          <w:szCs w:val="24"/>
        </w:rPr>
        <w:t>n de obras en fraccionamientos.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A75BD" w:rsidRDefault="000A75B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12.-Inscripci</w:t>
      </w:r>
      <w:r w:rsidR="008552B4">
        <w:rPr>
          <w:rFonts w:ascii="Century Gothic" w:hAnsi="Century Gothic" w:cs="Arial"/>
          <w:sz w:val="24"/>
          <w:szCs w:val="24"/>
        </w:rPr>
        <w:t>ó</w:t>
      </w:r>
      <w:r>
        <w:rPr>
          <w:rFonts w:ascii="Century Gothic" w:hAnsi="Century Gothic" w:cs="Arial"/>
          <w:sz w:val="24"/>
          <w:szCs w:val="24"/>
        </w:rPr>
        <w:t xml:space="preserve">n en el </w:t>
      </w:r>
      <w:r w:rsidR="00526FBA">
        <w:rPr>
          <w:rFonts w:ascii="Century Gothic" w:hAnsi="Century Gothic" w:cs="Arial"/>
          <w:sz w:val="24"/>
          <w:szCs w:val="24"/>
        </w:rPr>
        <w:t>Padrón</w:t>
      </w:r>
      <w:r w:rsidR="00002918">
        <w:rPr>
          <w:rFonts w:ascii="Century Gothic" w:hAnsi="Century Gothic" w:cs="Arial"/>
          <w:sz w:val="24"/>
          <w:szCs w:val="24"/>
        </w:rPr>
        <w:t xml:space="preserve"> </w:t>
      </w:r>
      <w:r w:rsidR="00526FBA">
        <w:rPr>
          <w:rFonts w:ascii="Century Gothic" w:hAnsi="Century Gothic" w:cs="Arial"/>
          <w:sz w:val="24"/>
          <w:szCs w:val="24"/>
        </w:rPr>
        <w:t>Único</w:t>
      </w:r>
      <w:r>
        <w:rPr>
          <w:rFonts w:ascii="Century Gothic" w:hAnsi="Century Gothic" w:cs="Arial"/>
          <w:sz w:val="24"/>
          <w:szCs w:val="24"/>
        </w:rPr>
        <w:t xml:space="preserve"> de </w:t>
      </w:r>
      <w:r w:rsidR="00526FBA">
        <w:rPr>
          <w:rFonts w:ascii="Century Gothic" w:hAnsi="Century Gothic" w:cs="Arial"/>
          <w:sz w:val="24"/>
          <w:szCs w:val="24"/>
        </w:rPr>
        <w:t>Proveedores</w:t>
      </w:r>
      <w:r>
        <w:rPr>
          <w:rFonts w:ascii="Century Gothic" w:hAnsi="Century Gothic" w:cs="Arial"/>
          <w:sz w:val="24"/>
          <w:szCs w:val="24"/>
        </w:rPr>
        <w:t xml:space="preserve"> del Municipio.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A75BD" w:rsidRDefault="000A75B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13.-Los demás que establezca la ley.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Para el cobro de los derechos indicados en la relación precedente, el Municipio se ajustará a la tarifa aprobada pa</w:t>
      </w:r>
      <w:r w:rsidR="00352B98">
        <w:rPr>
          <w:rFonts w:ascii="Century Gothic" w:hAnsi="Century Gothic" w:cs="Arial"/>
          <w:sz w:val="24"/>
          <w:szCs w:val="24"/>
        </w:rPr>
        <w:t xml:space="preserve">ra el ejercicio </w:t>
      </w:r>
      <w:r w:rsidR="00E72961">
        <w:rPr>
          <w:rFonts w:ascii="Century Gothic" w:hAnsi="Century Gothic" w:cs="Arial"/>
          <w:sz w:val="24"/>
          <w:szCs w:val="24"/>
        </w:rPr>
        <w:t xml:space="preserve">fiscal </w:t>
      </w:r>
      <w:r w:rsidR="00E72961" w:rsidRPr="000A1BAA">
        <w:rPr>
          <w:rFonts w:ascii="Century Gothic" w:hAnsi="Century Gothic" w:cs="Arial"/>
          <w:sz w:val="24"/>
          <w:szCs w:val="24"/>
        </w:rPr>
        <w:t>202</w:t>
      </w:r>
      <w:r w:rsidR="000A75BD">
        <w:rPr>
          <w:rFonts w:ascii="Century Gothic" w:hAnsi="Century Gothic" w:cs="Arial"/>
          <w:sz w:val="24"/>
          <w:szCs w:val="24"/>
        </w:rPr>
        <w:t>2</w:t>
      </w:r>
      <w:r w:rsidR="00352B98">
        <w:rPr>
          <w:rFonts w:ascii="Century Gothic" w:hAnsi="Century Gothic" w:cs="Arial"/>
          <w:sz w:val="24"/>
          <w:szCs w:val="24"/>
        </w:rPr>
        <w:t>, y que</w:t>
      </w:r>
      <w:r w:rsidRPr="000A1BAA">
        <w:rPr>
          <w:rFonts w:ascii="Century Gothic" w:hAnsi="Century Gothic" w:cs="Arial"/>
          <w:sz w:val="24"/>
          <w:szCs w:val="24"/>
        </w:rPr>
        <w:t xml:space="preserve"> forma parte como anexo, de la presente Ley.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526FBA" w:rsidRDefault="00526FB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Para obtención de cualquier permiso, autorización, licencia o contrato de carácter municipal, así como para la inscripción y participación en programas de apoyo relacionados con los bienes inmobiliarios, los contribuyentes deberán presentar la </w:t>
      </w:r>
      <w:r w:rsidR="008552B4">
        <w:rPr>
          <w:rFonts w:ascii="Century Gothic" w:hAnsi="Century Gothic" w:cs="Arial"/>
          <w:sz w:val="24"/>
          <w:szCs w:val="24"/>
        </w:rPr>
        <w:t>Cédula</w:t>
      </w:r>
      <w:r>
        <w:rPr>
          <w:rFonts w:ascii="Century Gothic" w:hAnsi="Century Gothic" w:cs="Arial"/>
          <w:sz w:val="24"/>
          <w:szCs w:val="24"/>
        </w:rPr>
        <w:t xml:space="preserve"> Catastral y el pago del Impuesto Predial correspondientes.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>III.- PRODUCTOS.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1.- De la enajenación, arrendamiento o explotación de sus bienes.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2.- Rendimientos financieros.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295E10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3</w:t>
      </w:r>
      <w:r w:rsidR="007F603D" w:rsidRPr="000A1BAA">
        <w:rPr>
          <w:rFonts w:ascii="Century Gothic" w:hAnsi="Century Gothic" w:cs="Arial"/>
          <w:sz w:val="24"/>
          <w:szCs w:val="24"/>
        </w:rPr>
        <w:t>.- De s</w:t>
      </w:r>
      <w:r w:rsidR="00020237">
        <w:rPr>
          <w:rFonts w:ascii="Century Gothic" w:hAnsi="Century Gothic" w:cs="Arial"/>
          <w:sz w:val="24"/>
          <w:szCs w:val="24"/>
        </w:rPr>
        <w:t>us establecimientos y empresas.</w:t>
      </w:r>
    </w:p>
    <w:p w:rsidR="009A66FB" w:rsidRPr="00020237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>IV.- APROVECHAMIENTOS.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1.- Multas.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95E10" w:rsidRDefault="00295E10" w:rsidP="00CB6165">
      <w:pPr>
        <w:pStyle w:val="Prrafodelista"/>
        <w:numPr>
          <w:ilvl w:val="0"/>
          <w:numId w:val="7"/>
        </w:numPr>
        <w:spacing w:after="0" w:line="360" w:lineRule="auto"/>
        <w:ind w:left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En el caso de las multas por faltas o infracciones a los Reglamentos de Tránsito y Bando de Policía y Buen Gobierno, éstas se </w:t>
      </w:r>
      <w:r w:rsidR="00E72961">
        <w:rPr>
          <w:rFonts w:ascii="Century Gothic" w:hAnsi="Century Gothic" w:cs="Arial"/>
          <w:sz w:val="24"/>
          <w:szCs w:val="24"/>
        </w:rPr>
        <w:t>determinarán</w:t>
      </w:r>
      <w:r>
        <w:rPr>
          <w:rFonts w:ascii="Century Gothic" w:hAnsi="Century Gothic" w:cs="Arial"/>
          <w:sz w:val="24"/>
          <w:szCs w:val="24"/>
        </w:rPr>
        <w:t xml:space="preserve"> e impondrán en los términos de los tabuladores contenidos en los citados cuerpos normativos.</w:t>
      </w:r>
    </w:p>
    <w:p w:rsidR="009A66FB" w:rsidRPr="00295E10" w:rsidRDefault="009A66FB" w:rsidP="009A66FB">
      <w:pPr>
        <w:pStyle w:val="Prrafodelista"/>
        <w:spacing w:after="0" w:line="360" w:lineRule="auto"/>
        <w:ind w:left="1134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2.- Recargos y gastos de ejecución.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3.- Cualquier otro ingreso no clasificable como impuesto, contribución especial, derecho, producto o participación.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07102D">
        <w:rPr>
          <w:rFonts w:ascii="Century Gothic" w:hAnsi="Century Gothic" w:cs="Arial"/>
          <w:b/>
          <w:sz w:val="24"/>
          <w:szCs w:val="24"/>
        </w:rPr>
        <w:t>V.- PARTICIPACIONES.</w:t>
      </w:r>
    </w:p>
    <w:p w:rsidR="009A66FB" w:rsidRPr="0007102D" w:rsidRDefault="009A66FB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7102D">
        <w:rPr>
          <w:rFonts w:ascii="Century Gothic" w:hAnsi="Century Gothic" w:cs="Arial"/>
          <w:sz w:val="24"/>
          <w:szCs w:val="24"/>
        </w:rPr>
        <w:t xml:space="preserve">Las que corresponden al Municipio, de conformidad con las leyes federales y locales que las establezcan y resulten de aplicar los procedimientos de distribución </w:t>
      </w:r>
      <w:r w:rsidR="00700A93" w:rsidRPr="0007102D">
        <w:rPr>
          <w:rFonts w:ascii="Century Gothic" w:hAnsi="Century Gothic" w:cs="Arial"/>
          <w:sz w:val="24"/>
          <w:szCs w:val="24"/>
        </w:rPr>
        <w:t xml:space="preserve">a que se refiere el Capítulo I “De las Participaciones de los Estados, Municipios y Distrito Federal en Ingresos Federales”, de la  Ley de </w:t>
      </w:r>
      <w:r w:rsidR="00772532" w:rsidRPr="0007102D">
        <w:rPr>
          <w:rFonts w:ascii="Century Gothic" w:hAnsi="Century Gothic" w:cs="Arial"/>
          <w:sz w:val="24"/>
          <w:szCs w:val="24"/>
        </w:rPr>
        <w:t>Coordinación</w:t>
      </w:r>
      <w:r w:rsidR="00700A93" w:rsidRPr="0007102D">
        <w:rPr>
          <w:rFonts w:ascii="Century Gothic" w:hAnsi="Century Gothic" w:cs="Arial"/>
          <w:sz w:val="24"/>
          <w:szCs w:val="24"/>
        </w:rPr>
        <w:t xml:space="preserve"> Fiscal y el Título Cuarto “Del Sistema Estatal de Participaciones y Fondos de Aportaciones, Capítulo I, </w:t>
      </w:r>
      <w:r w:rsidR="00772532" w:rsidRPr="0007102D">
        <w:rPr>
          <w:rFonts w:ascii="Century Gothic" w:hAnsi="Century Gothic" w:cs="Arial"/>
          <w:sz w:val="24"/>
          <w:szCs w:val="24"/>
        </w:rPr>
        <w:t>“Del Sistema Estatal de Participaciones”, de la Ley de Coordinación Fiscal del Estado de Chihuahua y sus Municipios, siendo los coeficientes de distribución sobre el producto total para el ejercicio 202</w:t>
      </w:r>
      <w:r w:rsidR="00682A9E" w:rsidRPr="0007102D">
        <w:rPr>
          <w:rFonts w:ascii="Century Gothic" w:hAnsi="Century Gothic" w:cs="Arial"/>
          <w:sz w:val="24"/>
          <w:szCs w:val="24"/>
        </w:rPr>
        <w:t>2</w:t>
      </w:r>
      <w:r w:rsidR="00772532" w:rsidRPr="0007102D">
        <w:rPr>
          <w:rFonts w:ascii="Century Gothic" w:hAnsi="Century Gothic" w:cs="Arial"/>
          <w:sz w:val="24"/>
          <w:szCs w:val="24"/>
        </w:rPr>
        <w:t>, los siguientes:</w:t>
      </w:r>
    </w:p>
    <w:p w:rsidR="00057F37" w:rsidRPr="0007102D" w:rsidRDefault="00057F37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911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029"/>
      </w:tblGrid>
      <w:tr w:rsidR="007F603D" w:rsidRPr="00002918" w:rsidTr="00C83093">
        <w:tc>
          <w:tcPr>
            <w:tcW w:w="7088" w:type="dxa"/>
          </w:tcPr>
          <w:p w:rsidR="007F603D" w:rsidRPr="00002918" w:rsidRDefault="00682A9E" w:rsidP="00CB616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002918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Balleza</w:t>
            </w:r>
            <w:proofErr w:type="spellEnd"/>
          </w:p>
        </w:tc>
        <w:tc>
          <w:tcPr>
            <w:tcW w:w="2029" w:type="dxa"/>
          </w:tcPr>
          <w:p w:rsidR="00AB6AD1" w:rsidRPr="00002918" w:rsidRDefault="00772532" w:rsidP="00CB6165">
            <w:pPr>
              <w:spacing w:line="360" w:lineRule="auto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02918">
              <w:rPr>
                <w:rFonts w:ascii="Century Gothic" w:hAnsi="Century Gothic" w:cs="Arial"/>
                <w:b/>
                <w:sz w:val="24"/>
                <w:szCs w:val="24"/>
              </w:rPr>
              <w:t>Coeficiente de distribución</w:t>
            </w:r>
          </w:p>
        </w:tc>
      </w:tr>
      <w:tr w:rsidR="007F603D" w:rsidRPr="0007102D" w:rsidTr="00C83093">
        <w:tc>
          <w:tcPr>
            <w:tcW w:w="7088" w:type="dxa"/>
          </w:tcPr>
          <w:p w:rsidR="007F603D" w:rsidRPr="0007102D" w:rsidRDefault="00772532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7102D">
              <w:rPr>
                <w:rFonts w:ascii="Century Gothic" w:hAnsi="Century Gothic" w:cs="Arial"/>
                <w:sz w:val="24"/>
                <w:szCs w:val="24"/>
              </w:rPr>
              <w:t xml:space="preserve">Fondo de </w:t>
            </w:r>
            <w:r w:rsidR="00B460DF" w:rsidRPr="0007102D">
              <w:rPr>
                <w:rFonts w:ascii="Century Gothic" w:hAnsi="Century Gothic" w:cs="Arial"/>
                <w:sz w:val="24"/>
                <w:szCs w:val="24"/>
              </w:rPr>
              <w:t>General de Participaciones (</w:t>
            </w:r>
            <w:proofErr w:type="spellStart"/>
            <w:r w:rsidR="00B460DF" w:rsidRPr="0007102D">
              <w:rPr>
                <w:rFonts w:ascii="Century Gothic" w:hAnsi="Century Gothic" w:cs="Arial"/>
                <w:sz w:val="24"/>
                <w:szCs w:val="24"/>
              </w:rPr>
              <w:t>FGP</w:t>
            </w:r>
            <w:proofErr w:type="spellEnd"/>
            <w:r w:rsidR="00B460DF" w:rsidRPr="0007102D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7F603D" w:rsidRPr="0007102D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07102D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="00AB6AD1" w:rsidRPr="0007102D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07102D">
              <w:rPr>
                <w:rFonts w:ascii="Century Gothic" w:hAnsi="Century Gothic" w:cs="Arial"/>
                <w:sz w:val="24"/>
                <w:szCs w:val="24"/>
              </w:rPr>
              <w:t>579526</w:t>
            </w:r>
          </w:p>
        </w:tc>
      </w:tr>
      <w:tr w:rsidR="00B460DF" w:rsidRPr="0007102D" w:rsidTr="00C83093">
        <w:tc>
          <w:tcPr>
            <w:tcW w:w="7088" w:type="dxa"/>
          </w:tcPr>
          <w:p w:rsidR="00B460DF" w:rsidRPr="0007102D" w:rsidRDefault="00B460DF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7102D">
              <w:rPr>
                <w:rFonts w:ascii="Century Gothic" w:hAnsi="Century Gothic" w:cs="Arial"/>
                <w:sz w:val="24"/>
                <w:szCs w:val="24"/>
              </w:rPr>
              <w:t>Fondo de Fomento Municipal (</w:t>
            </w:r>
            <w:proofErr w:type="spellStart"/>
            <w:r w:rsidRPr="0007102D">
              <w:rPr>
                <w:rFonts w:ascii="Century Gothic" w:hAnsi="Century Gothic" w:cs="Arial"/>
                <w:sz w:val="24"/>
                <w:szCs w:val="24"/>
              </w:rPr>
              <w:t>FFM</w:t>
            </w:r>
            <w:proofErr w:type="spellEnd"/>
            <w:r w:rsidRPr="0007102D">
              <w:rPr>
                <w:rFonts w:ascii="Century Gothic" w:hAnsi="Century Gothic" w:cs="Arial"/>
                <w:sz w:val="24"/>
                <w:szCs w:val="24"/>
              </w:rPr>
              <w:t>) 70%</w:t>
            </w:r>
          </w:p>
        </w:tc>
        <w:tc>
          <w:tcPr>
            <w:tcW w:w="2029" w:type="dxa"/>
          </w:tcPr>
          <w:p w:rsidR="00B460DF" w:rsidRPr="0007102D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07102D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="00B460DF" w:rsidRPr="0007102D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07102D">
              <w:rPr>
                <w:rFonts w:ascii="Century Gothic" w:hAnsi="Century Gothic" w:cs="Arial"/>
                <w:sz w:val="24"/>
                <w:szCs w:val="24"/>
              </w:rPr>
              <w:t>579526</w:t>
            </w:r>
          </w:p>
        </w:tc>
      </w:tr>
      <w:tr w:rsidR="00B460DF" w:rsidRPr="0007102D" w:rsidTr="00C83093">
        <w:tc>
          <w:tcPr>
            <w:tcW w:w="7088" w:type="dxa"/>
          </w:tcPr>
          <w:p w:rsidR="00B460DF" w:rsidRPr="0007102D" w:rsidRDefault="00B460DF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07102D">
              <w:rPr>
                <w:rFonts w:ascii="Century Gothic" w:hAnsi="Century Gothic" w:cs="Arial"/>
                <w:sz w:val="24"/>
                <w:szCs w:val="24"/>
              </w:rPr>
              <w:t>Fondo de Fomento Municipal (</w:t>
            </w:r>
            <w:proofErr w:type="spellStart"/>
            <w:r w:rsidRPr="0007102D">
              <w:rPr>
                <w:rFonts w:ascii="Century Gothic" w:hAnsi="Century Gothic" w:cs="Arial"/>
                <w:sz w:val="24"/>
                <w:szCs w:val="24"/>
              </w:rPr>
              <w:t>FFM</w:t>
            </w:r>
            <w:proofErr w:type="spellEnd"/>
            <w:r w:rsidRPr="0007102D">
              <w:rPr>
                <w:rFonts w:ascii="Century Gothic" w:hAnsi="Century Gothic" w:cs="Arial"/>
                <w:sz w:val="24"/>
                <w:szCs w:val="24"/>
              </w:rPr>
              <w:t>) 30%</w:t>
            </w:r>
          </w:p>
        </w:tc>
        <w:tc>
          <w:tcPr>
            <w:tcW w:w="2029" w:type="dxa"/>
          </w:tcPr>
          <w:p w:rsidR="00B460DF" w:rsidRPr="0007102D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07102D">
              <w:rPr>
                <w:rFonts w:ascii="Century Gothic" w:hAnsi="Century Gothic" w:cs="Arial"/>
                <w:sz w:val="24"/>
                <w:szCs w:val="24"/>
              </w:rPr>
              <w:t>0.474225</w:t>
            </w:r>
          </w:p>
        </w:tc>
      </w:tr>
      <w:tr w:rsidR="00B460DF" w:rsidRPr="00C01113" w:rsidTr="00C83093">
        <w:tc>
          <w:tcPr>
            <w:tcW w:w="7088" w:type="dxa"/>
          </w:tcPr>
          <w:p w:rsidR="00B460DF" w:rsidRPr="00C01113" w:rsidRDefault="00B460DF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Impuesto Estatal sobre </w:t>
            </w:r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Producción</w:t>
            </w: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 y Servicios </w:t>
            </w:r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en materia de cervezas, bebidas alcohólicas y tabacos labrados (</w:t>
            </w:r>
            <w:proofErr w:type="spellStart"/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IEPS</w:t>
            </w:r>
            <w:proofErr w:type="spellEnd"/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E735FA" w:rsidRPr="00C01113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</w:p>
          <w:p w:rsidR="00B460DF" w:rsidRPr="00C01113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0.579526</w:t>
            </w:r>
          </w:p>
          <w:p w:rsidR="00E735FA" w:rsidRPr="00C01113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72532" w:rsidRPr="00C01113" w:rsidTr="00C83093">
        <w:tc>
          <w:tcPr>
            <w:tcW w:w="7088" w:type="dxa"/>
          </w:tcPr>
          <w:p w:rsidR="00772532" w:rsidRPr="00C01113" w:rsidRDefault="00B460DF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Fondo de Fiscalización y </w:t>
            </w:r>
            <w:r w:rsidR="004A3595" w:rsidRPr="00C01113">
              <w:rPr>
                <w:rFonts w:ascii="Century Gothic" w:hAnsi="Century Gothic" w:cs="Arial"/>
                <w:sz w:val="24"/>
                <w:szCs w:val="24"/>
              </w:rPr>
              <w:t>Recaudación (</w:t>
            </w:r>
            <w:proofErr w:type="spellStart"/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FOFIR</w:t>
            </w:r>
            <w:proofErr w:type="spellEnd"/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772532" w:rsidRPr="00C01113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="00B460DF" w:rsidRPr="00C01113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C01113">
              <w:rPr>
                <w:rFonts w:ascii="Century Gothic" w:hAnsi="Century Gothic" w:cs="Arial"/>
                <w:sz w:val="24"/>
                <w:szCs w:val="24"/>
              </w:rPr>
              <w:t>579526</w:t>
            </w:r>
          </w:p>
        </w:tc>
      </w:tr>
      <w:tr w:rsidR="00B460DF" w:rsidRPr="00C01113" w:rsidTr="00C83093">
        <w:tc>
          <w:tcPr>
            <w:tcW w:w="7088" w:type="dxa"/>
          </w:tcPr>
          <w:p w:rsidR="00B460DF" w:rsidRPr="00C01113" w:rsidRDefault="00B460DF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Impuesto sobre Automóviles Nuevos</w:t>
            </w:r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(</w:t>
            </w:r>
            <w:proofErr w:type="spellStart"/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ISAN</w:t>
            </w:r>
            <w:proofErr w:type="spellEnd"/>
            <w:r w:rsidR="00E735FA" w:rsidRPr="00C01113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B460DF" w:rsidRPr="00C01113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0.579526</w:t>
            </w:r>
          </w:p>
        </w:tc>
      </w:tr>
      <w:tr w:rsidR="00B460DF" w:rsidRPr="00C01113" w:rsidTr="00C83093">
        <w:tc>
          <w:tcPr>
            <w:tcW w:w="7088" w:type="dxa"/>
          </w:tcPr>
          <w:p w:rsidR="00B460DF" w:rsidRPr="00C01113" w:rsidRDefault="00E735FA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Impuestos Sobre </w:t>
            </w:r>
            <w:r w:rsidR="00B460DF" w:rsidRPr="00C01113">
              <w:rPr>
                <w:rFonts w:ascii="Century Gothic" w:hAnsi="Century Gothic" w:cs="Arial"/>
                <w:sz w:val="24"/>
                <w:szCs w:val="24"/>
              </w:rPr>
              <w:t>Tenencia</w:t>
            </w: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 y Uso de </w:t>
            </w:r>
            <w:r w:rsidR="00FF613D" w:rsidRPr="00C01113">
              <w:rPr>
                <w:rFonts w:ascii="Century Gothic" w:hAnsi="Century Gothic" w:cs="Arial"/>
                <w:sz w:val="24"/>
                <w:szCs w:val="24"/>
              </w:rPr>
              <w:t>Vehículos</w:t>
            </w:r>
          </w:p>
        </w:tc>
        <w:tc>
          <w:tcPr>
            <w:tcW w:w="2029" w:type="dxa"/>
          </w:tcPr>
          <w:p w:rsidR="00B460DF" w:rsidRPr="00C01113" w:rsidRDefault="00E735FA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="00B460DF" w:rsidRPr="00C01113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C01113">
              <w:rPr>
                <w:rFonts w:ascii="Century Gothic" w:hAnsi="Century Gothic" w:cs="Arial"/>
                <w:sz w:val="24"/>
                <w:szCs w:val="24"/>
              </w:rPr>
              <w:t>579526</w:t>
            </w:r>
          </w:p>
        </w:tc>
      </w:tr>
      <w:tr w:rsidR="00772532" w:rsidRPr="00C01113" w:rsidTr="00C83093">
        <w:tc>
          <w:tcPr>
            <w:tcW w:w="7088" w:type="dxa"/>
          </w:tcPr>
          <w:p w:rsidR="00772532" w:rsidRPr="00C01113" w:rsidRDefault="00772532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Participaciones de Cuotas de Gasolina y </w:t>
            </w:r>
            <w:proofErr w:type="spellStart"/>
            <w:r w:rsidR="00C534B4" w:rsidRPr="00C01113">
              <w:rPr>
                <w:rFonts w:ascii="Century Gothic" w:hAnsi="Century Gothic" w:cs="Arial"/>
                <w:sz w:val="24"/>
                <w:szCs w:val="24"/>
              </w:rPr>
              <w:t>Diesel</w:t>
            </w:r>
            <w:proofErr w:type="spellEnd"/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 (</w:t>
            </w:r>
            <w:proofErr w:type="spellStart"/>
            <w:r w:rsidRPr="00C01113">
              <w:rPr>
                <w:rFonts w:ascii="Century Gothic" w:hAnsi="Century Gothic" w:cs="Arial"/>
                <w:sz w:val="24"/>
                <w:szCs w:val="24"/>
              </w:rPr>
              <w:t>PCG</w:t>
            </w:r>
            <w:proofErr w:type="spellEnd"/>
            <w:r w:rsidRPr="00C01113">
              <w:rPr>
                <w:rFonts w:ascii="Century Gothic" w:hAnsi="Century Gothic" w:cs="Arial"/>
                <w:sz w:val="24"/>
                <w:szCs w:val="24"/>
              </w:rPr>
              <w:t>) 70%</w:t>
            </w:r>
          </w:p>
        </w:tc>
        <w:tc>
          <w:tcPr>
            <w:tcW w:w="2029" w:type="dxa"/>
          </w:tcPr>
          <w:p w:rsidR="00772532" w:rsidRPr="00C01113" w:rsidRDefault="00DD2026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="00AB6AD1" w:rsidRPr="00C01113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C01113">
              <w:rPr>
                <w:rFonts w:ascii="Century Gothic" w:hAnsi="Century Gothic" w:cs="Arial"/>
                <w:sz w:val="24"/>
                <w:szCs w:val="24"/>
              </w:rPr>
              <w:t>439353</w:t>
            </w:r>
          </w:p>
        </w:tc>
      </w:tr>
      <w:tr w:rsidR="00772532" w:rsidRPr="00C01113" w:rsidTr="00C83093">
        <w:tc>
          <w:tcPr>
            <w:tcW w:w="7088" w:type="dxa"/>
          </w:tcPr>
          <w:p w:rsidR="00772532" w:rsidRPr="00C01113" w:rsidRDefault="00772532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Participaciones de Cuotas de Gasolina y </w:t>
            </w:r>
            <w:proofErr w:type="spellStart"/>
            <w:r w:rsidR="00C534B4" w:rsidRPr="00C01113">
              <w:rPr>
                <w:rFonts w:ascii="Century Gothic" w:hAnsi="Century Gothic" w:cs="Arial"/>
                <w:sz w:val="24"/>
                <w:szCs w:val="24"/>
              </w:rPr>
              <w:t>Diesel</w:t>
            </w:r>
            <w:proofErr w:type="spellEnd"/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 (</w:t>
            </w:r>
            <w:proofErr w:type="spellStart"/>
            <w:r w:rsidRPr="00C01113">
              <w:rPr>
                <w:rFonts w:ascii="Century Gothic" w:hAnsi="Century Gothic" w:cs="Arial"/>
                <w:sz w:val="24"/>
                <w:szCs w:val="24"/>
              </w:rPr>
              <w:t>PCG</w:t>
            </w:r>
            <w:proofErr w:type="spellEnd"/>
            <w:r w:rsidRPr="00C01113">
              <w:rPr>
                <w:rFonts w:ascii="Century Gothic" w:hAnsi="Century Gothic" w:cs="Arial"/>
                <w:sz w:val="24"/>
                <w:szCs w:val="24"/>
              </w:rPr>
              <w:t>) 30%</w:t>
            </w:r>
          </w:p>
        </w:tc>
        <w:tc>
          <w:tcPr>
            <w:tcW w:w="2029" w:type="dxa"/>
          </w:tcPr>
          <w:p w:rsidR="00772532" w:rsidRPr="00C01113" w:rsidRDefault="00DD2026" w:rsidP="00CB6165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="00B460DF" w:rsidRPr="00C01113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C01113">
              <w:rPr>
                <w:rFonts w:ascii="Century Gothic" w:hAnsi="Century Gothic" w:cs="Arial"/>
                <w:sz w:val="24"/>
                <w:szCs w:val="24"/>
              </w:rPr>
              <w:t>439353</w:t>
            </w:r>
          </w:p>
        </w:tc>
      </w:tr>
      <w:tr w:rsidR="00B460DF" w:rsidRPr="00C01113" w:rsidTr="00C83093">
        <w:tc>
          <w:tcPr>
            <w:tcW w:w="7088" w:type="dxa"/>
          </w:tcPr>
          <w:p w:rsidR="00B460DF" w:rsidRPr="00C01113" w:rsidRDefault="00DD2026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C01113">
              <w:rPr>
                <w:rFonts w:ascii="Century Gothic" w:hAnsi="Century Gothic" w:cs="Arial"/>
                <w:sz w:val="24"/>
                <w:szCs w:val="24"/>
              </w:rPr>
              <w:t>ISR</w:t>
            </w:r>
            <w:proofErr w:type="spellEnd"/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 Bienes Inmuebles                                                                                </w:t>
            </w:r>
          </w:p>
        </w:tc>
        <w:tc>
          <w:tcPr>
            <w:tcW w:w="2029" w:type="dxa"/>
          </w:tcPr>
          <w:p w:rsidR="00B460DF" w:rsidRPr="00C01113" w:rsidRDefault="00DD2026" w:rsidP="00CB6165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sz w:val="24"/>
                <w:szCs w:val="24"/>
              </w:rPr>
              <w:t xml:space="preserve">            0.579526</w:t>
            </w:r>
          </w:p>
        </w:tc>
      </w:tr>
    </w:tbl>
    <w:p w:rsidR="00C534B4" w:rsidRPr="00C534B4" w:rsidRDefault="00C534B4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F603D" w:rsidRDefault="00295E10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C01113">
        <w:rPr>
          <w:rFonts w:ascii="Century Gothic" w:hAnsi="Century Gothic" w:cs="Arial"/>
          <w:b/>
          <w:sz w:val="24"/>
          <w:szCs w:val="24"/>
        </w:rPr>
        <w:t xml:space="preserve">VI.- </w:t>
      </w:r>
      <w:r w:rsidR="00AB6AD1" w:rsidRPr="00C01113">
        <w:rPr>
          <w:rFonts w:ascii="Century Gothic" w:hAnsi="Century Gothic" w:cs="Arial"/>
          <w:b/>
          <w:sz w:val="24"/>
          <w:szCs w:val="24"/>
        </w:rPr>
        <w:t>APORTACIONES</w:t>
      </w:r>
    </w:p>
    <w:p w:rsidR="009A66FB" w:rsidRPr="00C01113" w:rsidRDefault="009A66FB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AB6AD1" w:rsidRDefault="00AB6AD1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 xml:space="preserve">Son aportaciones los recursos que la Federación o los Estados transfieren a las Haciendas Públicas de los Municipios, los cuales serán distribuidos conforme a los previsto en el Capítulo V “De los Fondos de Aportaciones Federales”, de la Ley de Coordinación Fiscal y en el Título Cuarto “Del Sistema Estatal de Participaciones y Fondos de Aportaciones, Capítulo II, ”De los Fondos de Aportaciones”, de la Ley de Coordinación Fiscal del </w:t>
      </w:r>
      <w:r w:rsidRPr="00C01113">
        <w:rPr>
          <w:rFonts w:ascii="Century Gothic" w:hAnsi="Century Gothic" w:cs="Arial"/>
          <w:sz w:val="24"/>
          <w:szCs w:val="24"/>
        </w:rPr>
        <w:lastRenderedPageBreak/>
        <w:t>Estado de Chihuahua y sus Municipios, condicionando su gasto a la consecución y cumplimiento de los objetivos que para cada tipo de aportación se establece</w:t>
      </w:r>
      <w:r w:rsidR="00DA2A82" w:rsidRPr="00C01113">
        <w:rPr>
          <w:rFonts w:ascii="Century Gothic" w:hAnsi="Century Gothic" w:cs="Arial"/>
          <w:sz w:val="24"/>
          <w:szCs w:val="24"/>
        </w:rPr>
        <w:t>n</w:t>
      </w:r>
      <w:r w:rsidRPr="00C01113">
        <w:rPr>
          <w:rFonts w:ascii="Century Gothic" w:hAnsi="Century Gothic" w:cs="Arial"/>
          <w:sz w:val="24"/>
          <w:szCs w:val="24"/>
        </w:rPr>
        <w:t xml:space="preserve"> en las leyes mencionadas, para los fondos siguientes:</w:t>
      </w:r>
    </w:p>
    <w:p w:rsidR="009A66FB" w:rsidRPr="00C01113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B6AD1" w:rsidRDefault="00AB6AD1" w:rsidP="00CB616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 xml:space="preserve">Fondo de Aportaciones para la Infraestructura Social Municipal y de las Demarcaciones Territoriales del Distrito </w:t>
      </w:r>
      <w:r w:rsidR="004A3595" w:rsidRPr="00C01113">
        <w:rPr>
          <w:rFonts w:ascii="Century Gothic" w:hAnsi="Century Gothic" w:cs="Arial"/>
          <w:sz w:val="24"/>
          <w:szCs w:val="24"/>
        </w:rPr>
        <w:t>Federal. (</w:t>
      </w:r>
      <w:proofErr w:type="spellStart"/>
      <w:r w:rsidR="00DB4C2F" w:rsidRPr="00C01113">
        <w:rPr>
          <w:rFonts w:ascii="Century Gothic" w:hAnsi="Century Gothic" w:cs="Arial"/>
          <w:sz w:val="24"/>
          <w:szCs w:val="24"/>
        </w:rPr>
        <w:t>FISM</w:t>
      </w:r>
      <w:proofErr w:type="spellEnd"/>
      <w:r w:rsidR="00DB4C2F" w:rsidRPr="00C01113">
        <w:rPr>
          <w:rFonts w:ascii="Century Gothic" w:hAnsi="Century Gothic" w:cs="Arial"/>
          <w:sz w:val="24"/>
          <w:szCs w:val="24"/>
        </w:rPr>
        <w:t>)</w:t>
      </w:r>
    </w:p>
    <w:p w:rsidR="009A66FB" w:rsidRPr="00C01113" w:rsidRDefault="009A66FB" w:rsidP="009A66FB">
      <w:pPr>
        <w:pStyle w:val="Prrafodelista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B4C2F" w:rsidRPr="00C01113" w:rsidRDefault="00DB4C2F" w:rsidP="00CB6165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01113">
        <w:rPr>
          <w:rFonts w:ascii="Century Gothic" w:hAnsi="Century Gothic" w:cs="Arial"/>
          <w:b/>
          <w:bCs/>
          <w:sz w:val="24"/>
          <w:szCs w:val="24"/>
        </w:rPr>
        <w:t>Coeficiente de distribución</w:t>
      </w:r>
    </w:p>
    <w:p w:rsidR="00DB4C2F" w:rsidRDefault="00DB4C2F" w:rsidP="00CB6165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>3.435302</w:t>
      </w:r>
    </w:p>
    <w:p w:rsidR="009A66FB" w:rsidRPr="00C01113" w:rsidRDefault="009A66FB" w:rsidP="00CB6165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AB6AD1" w:rsidRDefault="00AB6AD1" w:rsidP="00CB616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>Fondo de Aportaciones para el Fortalecimiento de los Municipios y las Demarcaciones Territoriales del Distrito Federal.</w:t>
      </w:r>
      <w:r w:rsidR="00DB4C2F" w:rsidRPr="00C01113">
        <w:rPr>
          <w:rFonts w:ascii="Century Gothic" w:hAnsi="Century Gothic" w:cs="Arial"/>
          <w:sz w:val="24"/>
          <w:szCs w:val="24"/>
        </w:rPr>
        <w:t xml:space="preserve"> (</w:t>
      </w:r>
      <w:proofErr w:type="spellStart"/>
      <w:r w:rsidR="00DB4C2F" w:rsidRPr="00C01113">
        <w:rPr>
          <w:rFonts w:ascii="Century Gothic" w:hAnsi="Century Gothic" w:cs="Arial"/>
          <w:sz w:val="24"/>
          <w:szCs w:val="24"/>
        </w:rPr>
        <w:t>FORTAMUN</w:t>
      </w:r>
      <w:proofErr w:type="spellEnd"/>
      <w:r w:rsidR="00DB4C2F" w:rsidRPr="00C01113">
        <w:rPr>
          <w:rFonts w:ascii="Century Gothic" w:hAnsi="Century Gothic" w:cs="Arial"/>
          <w:sz w:val="24"/>
          <w:szCs w:val="24"/>
        </w:rPr>
        <w:t>)</w:t>
      </w:r>
    </w:p>
    <w:p w:rsidR="000E6A98" w:rsidRPr="00C01113" w:rsidRDefault="000E6A98" w:rsidP="00CB6165">
      <w:pPr>
        <w:pStyle w:val="Prrafodelista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B4C2F" w:rsidRPr="00C01113" w:rsidRDefault="00DB4C2F" w:rsidP="00CB6165">
      <w:pPr>
        <w:pStyle w:val="Prrafodelista"/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01113">
        <w:rPr>
          <w:rFonts w:ascii="Century Gothic" w:hAnsi="Century Gothic" w:cs="Arial"/>
          <w:b/>
          <w:bCs/>
          <w:sz w:val="24"/>
          <w:szCs w:val="24"/>
        </w:rPr>
        <w:t>Coeficiente de distribución</w:t>
      </w:r>
    </w:p>
    <w:p w:rsidR="00DB4C2F" w:rsidRDefault="00D40948" w:rsidP="00CB6165">
      <w:pPr>
        <w:pStyle w:val="Prrafodelista"/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>0.439353</w:t>
      </w:r>
    </w:p>
    <w:p w:rsidR="000E6A98" w:rsidRPr="000E6A98" w:rsidRDefault="000E6A98" w:rsidP="00CB6165">
      <w:pPr>
        <w:pStyle w:val="Prrafodelista"/>
        <w:spacing w:after="0" w:line="360" w:lineRule="auto"/>
        <w:jc w:val="center"/>
        <w:rPr>
          <w:rFonts w:ascii="Century Gothic" w:hAnsi="Century Gothic" w:cs="Arial"/>
          <w:sz w:val="20"/>
          <w:szCs w:val="24"/>
        </w:rPr>
      </w:pPr>
    </w:p>
    <w:p w:rsidR="00AB6AD1" w:rsidRPr="00C01113" w:rsidRDefault="00AB6AD1" w:rsidP="00CB616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>Fondo para el Desarrollo Socioeconómico Municipal.</w:t>
      </w:r>
      <w:r w:rsidR="00DB4C2F" w:rsidRPr="00C01113">
        <w:rPr>
          <w:rFonts w:ascii="Century Gothic" w:hAnsi="Century Gothic" w:cs="Arial"/>
          <w:sz w:val="24"/>
          <w:szCs w:val="24"/>
        </w:rPr>
        <w:t xml:space="preserve"> (</w:t>
      </w:r>
      <w:proofErr w:type="spellStart"/>
      <w:r w:rsidR="00DB4C2F" w:rsidRPr="00C01113">
        <w:rPr>
          <w:rFonts w:ascii="Century Gothic" w:hAnsi="Century Gothic" w:cs="Arial"/>
          <w:sz w:val="24"/>
          <w:szCs w:val="24"/>
        </w:rPr>
        <w:t>FODESEM</w:t>
      </w:r>
      <w:proofErr w:type="spellEnd"/>
      <w:r w:rsidR="008B0DA6" w:rsidRPr="00C01113">
        <w:rPr>
          <w:rFonts w:ascii="Century Gothic" w:hAnsi="Century Gothic" w:cs="Arial"/>
          <w:sz w:val="24"/>
          <w:szCs w:val="24"/>
        </w:rPr>
        <w:t>)</w:t>
      </w:r>
    </w:p>
    <w:p w:rsidR="000E6A98" w:rsidRPr="000E6A98" w:rsidRDefault="000E6A98" w:rsidP="00CB6165">
      <w:pPr>
        <w:pStyle w:val="Prrafodelista"/>
        <w:spacing w:after="0" w:line="360" w:lineRule="auto"/>
        <w:jc w:val="center"/>
        <w:rPr>
          <w:rFonts w:ascii="Century Gothic" w:hAnsi="Century Gothic" w:cs="Arial"/>
          <w:b/>
          <w:bCs/>
          <w:sz w:val="18"/>
          <w:szCs w:val="24"/>
        </w:rPr>
      </w:pPr>
    </w:p>
    <w:p w:rsidR="00DB4C2F" w:rsidRPr="00C01113" w:rsidRDefault="00DB4C2F" w:rsidP="00CB6165">
      <w:pPr>
        <w:pStyle w:val="Prrafodelista"/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01113">
        <w:rPr>
          <w:rFonts w:ascii="Century Gothic" w:hAnsi="Century Gothic" w:cs="Arial"/>
          <w:b/>
          <w:bCs/>
          <w:sz w:val="24"/>
          <w:szCs w:val="24"/>
        </w:rPr>
        <w:t>Coeficiente de distribución</w:t>
      </w:r>
    </w:p>
    <w:p w:rsidR="00DB4C2F" w:rsidRPr="00D40948" w:rsidRDefault="00C01113" w:rsidP="00CB6165">
      <w:pPr>
        <w:pStyle w:val="Prrafodelista"/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C01113">
        <w:rPr>
          <w:rFonts w:ascii="Century Gothic" w:hAnsi="Century Gothic" w:cs="Arial"/>
          <w:sz w:val="24"/>
          <w:szCs w:val="24"/>
        </w:rPr>
        <w:t>0.988747</w:t>
      </w:r>
    </w:p>
    <w:p w:rsidR="00DB4C2F" w:rsidRDefault="00DB4C2F" w:rsidP="00CB6165">
      <w:pPr>
        <w:pStyle w:val="Prrafodelista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B6AD1" w:rsidRDefault="00AB6AD1" w:rsidP="00CB616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Otras aportaciones federales.</w:t>
      </w:r>
    </w:p>
    <w:p w:rsidR="00C83093" w:rsidRDefault="00C83093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AB6AD1" w:rsidRDefault="00AB6AD1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AB6AD1">
        <w:rPr>
          <w:rFonts w:ascii="Century Gothic" w:hAnsi="Century Gothic" w:cs="Arial"/>
          <w:b/>
          <w:sz w:val="24"/>
          <w:szCs w:val="24"/>
        </w:rPr>
        <w:t>VII.- CONVENIOS, APOYOS Y TRANSFERENCIAS</w:t>
      </w:r>
    </w:p>
    <w:p w:rsidR="00AB6AD1" w:rsidRDefault="00177326" w:rsidP="00CB6165">
      <w:pPr>
        <w:spacing w:after="0" w:line="360" w:lineRule="auto"/>
        <w:ind w:left="1135"/>
        <w:jc w:val="both"/>
        <w:rPr>
          <w:rFonts w:ascii="Century Gothic" w:hAnsi="Century Gothic" w:cs="Arial"/>
          <w:sz w:val="24"/>
          <w:szCs w:val="24"/>
        </w:rPr>
      </w:pPr>
      <w:r w:rsidRPr="00177326">
        <w:rPr>
          <w:rFonts w:ascii="Century Gothic" w:hAnsi="Century Gothic" w:cs="Arial"/>
          <w:sz w:val="24"/>
          <w:szCs w:val="24"/>
        </w:rPr>
        <w:t>a</w:t>
      </w:r>
      <w:r w:rsidR="00E72961" w:rsidRPr="00177326">
        <w:rPr>
          <w:rFonts w:ascii="Century Gothic" w:hAnsi="Century Gothic" w:cs="Arial"/>
          <w:sz w:val="24"/>
          <w:szCs w:val="24"/>
        </w:rPr>
        <w:t>). -</w:t>
      </w:r>
      <w:r w:rsidRPr="00177326">
        <w:rPr>
          <w:rFonts w:ascii="Century Gothic" w:hAnsi="Century Gothic" w:cs="Arial"/>
          <w:sz w:val="24"/>
          <w:szCs w:val="24"/>
        </w:rPr>
        <w:t xml:space="preserve"> Convenios</w:t>
      </w:r>
    </w:p>
    <w:p w:rsidR="00177326" w:rsidRDefault="00177326" w:rsidP="00CB6165">
      <w:pPr>
        <w:spacing w:after="0" w:line="360" w:lineRule="auto"/>
        <w:ind w:left="1135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</w:t>
      </w:r>
      <w:r w:rsidR="00E72961">
        <w:rPr>
          <w:rFonts w:ascii="Century Gothic" w:hAnsi="Century Gothic" w:cs="Arial"/>
          <w:sz w:val="24"/>
          <w:szCs w:val="24"/>
        </w:rPr>
        <w:t>). -</w:t>
      </w:r>
      <w:r>
        <w:rPr>
          <w:rFonts w:ascii="Century Gothic" w:hAnsi="Century Gothic" w:cs="Arial"/>
          <w:sz w:val="24"/>
          <w:szCs w:val="24"/>
        </w:rPr>
        <w:t xml:space="preserve"> Subsidios</w:t>
      </w:r>
    </w:p>
    <w:p w:rsidR="00177326" w:rsidRPr="00177326" w:rsidRDefault="00E72961" w:rsidP="00CB6165">
      <w:pPr>
        <w:spacing w:after="0" w:line="360" w:lineRule="auto"/>
        <w:ind w:left="1135"/>
        <w:jc w:val="both"/>
        <w:rPr>
          <w:rFonts w:ascii="Century Gothic" w:hAnsi="Century Gothic" w:cs="Arial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c)</w:t>
      </w:r>
      <w:proofErr w:type="gramEnd"/>
      <w:r>
        <w:rPr>
          <w:rFonts w:ascii="Century Gothic" w:hAnsi="Century Gothic" w:cs="Arial"/>
          <w:sz w:val="24"/>
          <w:szCs w:val="24"/>
        </w:rPr>
        <w:t>. -</w:t>
      </w:r>
      <w:r w:rsidR="00177326" w:rsidRPr="00177326">
        <w:rPr>
          <w:rFonts w:ascii="Century Gothic" w:hAnsi="Century Gothic" w:cs="Arial"/>
          <w:sz w:val="24"/>
          <w:szCs w:val="24"/>
        </w:rPr>
        <w:t xml:space="preserve"> Otros apoyos y transferencias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AB6AD1" w:rsidRPr="00177326" w:rsidRDefault="00177326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177326">
        <w:rPr>
          <w:rFonts w:ascii="Century Gothic" w:hAnsi="Century Gothic" w:cs="Arial"/>
          <w:b/>
          <w:sz w:val="24"/>
          <w:szCs w:val="24"/>
        </w:rPr>
        <w:t>VIII.- EXTRAORDINARIOS</w:t>
      </w: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1.- Empréstitos.</w:t>
      </w:r>
    </w:p>
    <w:p w:rsidR="005A4582" w:rsidRPr="000A1BAA" w:rsidRDefault="005A4582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2.- Derivados de bonos y obligaciones.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 xml:space="preserve">ARTÍCULO </w:t>
      </w:r>
      <w:r w:rsidR="00D045C6">
        <w:rPr>
          <w:rFonts w:ascii="Century Gothic" w:hAnsi="Century Gothic" w:cs="Arial"/>
          <w:b/>
          <w:sz w:val="24"/>
          <w:szCs w:val="24"/>
        </w:rPr>
        <w:t>SEGUNDO.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-</w:t>
      </w:r>
      <w:r w:rsidRPr="000A1BAA">
        <w:rPr>
          <w:rFonts w:ascii="Century Gothic" w:hAnsi="Century Gothic" w:cs="Arial"/>
          <w:sz w:val="24"/>
          <w:szCs w:val="24"/>
        </w:rPr>
        <w:t xml:space="preserve"> Forma parte de esta Ley, el anexo correspondiente al municipio, en el que se estiman sus ingre</w:t>
      </w:r>
      <w:r w:rsidR="003E328C" w:rsidRPr="000A1BAA">
        <w:rPr>
          <w:rFonts w:ascii="Century Gothic" w:hAnsi="Century Gothic" w:cs="Arial"/>
          <w:sz w:val="24"/>
          <w:szCs w:val="24"/>
        </w:rPr>
        <w:t>sos durante el ejercicio de 20</w:t>
      </w:r>
      <w:r w:rsidR="00177326">
        <w:rPr>
          <w:rFonts w:ascii="Century Gothic" w:hAnsi="Century Gothic" w:cs="Arial"/>
          <w:sz w:val="24"/>
          <w:szCs w:val="24"/>
        </w:rPr>
        <w:t>2</w:t>
      </w:r>
      <w:r w:rsidR="002D7507">
        <w:rPr>
          <w:rFonts w:ascii="Century Gothic" w:hAnsi="Century Gothic" w:cs="Arial"/>
          <w:sz w:val="24"/>
          <w:szCs w:val="24"/>
        </w:rPr>
        <w:t>2</w:t>
      </w:r>
      <w:r w:rsidRPr="000A1BAA">
        <w:rPr>
          <w:rFonts w:ascii="Century Gothic" w:hAnsi="Century Gothic" w:cs="Arial"/>
          <w:sz w:val="24"/>
          <w:szCs w:val="24"/>
        </w:rPr>
        <w:t>, para los efectos y en los términos de los artículos 115, fracción IV, inciso c), último párrafo de la Constitución Política de los Estados Unidos Mexicanos; 132 de la Constitución Política del Estado de Chihuahua; y 28, fracción XII del C</w:t>
      </w:r>
      <w:r w:rsidR="00352B98">
        <w:rPr>
          <w:rFonts w:ascii="Century Gothic" w:hAnsi="Century Gothic" w:cs="Arial"/>
          <w:sz w:val="24"/>
          <w:szCs w:val="24"/>
        </w:rPr>
        <w:t>ódigo Municipal para el Estado.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 xml:space="preserve">ARTÍCULO </w:t>
      </w:r>
      <w:r w:rsidR="00D045C6">
        <w:rPr>
          <w:rFonts w:ascii="Century Gothic" w:hAnsi="Century Gothic" w:cs="Arial"/>
          <w:b/>
          <w:sz w:val="24"/>
          <w:szCs w:val="24"/>
        </w:rPr>
        <w:t>TERCERO.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-</w:t>
      </w:r>
      <w:r w:rsidR="00D045C6">
        <w:rPr>
          <w:rFonts w:ascii="Century Gothic" w:hAnsi="Century Gothic" w:cs="Arial"/>
          <w:b/>
          <w:sz w:val="24"/>
          <w:szCs w:val="24"/>
        </w:rPr>
        <w:t xml:space="preserve"> </w:t>
      </w:r>
      <w:r w:rsidRPr="000A1BAA">
        <w:rPr>
          <w:rFonts w:ascii="Century Gothic" w:hAnsi="Century Gothic" w:cs="Arial"/>
          <w:sz w:val="24"/>
          <w:szCs w:val="24"/>
        </w:rPr>
        <w:t xml:space="preserve">En tanto el Estado de Chihuahua se encuentre adherido al Sistema Nacional de Coordinación Fiscal, en los términos de los Convenios de Adhesión y Colaboración Administrativa, así como sus anexos, el Municipio no podrá gravar </w:t>
      </w:r>
      <w:r w:rsidR="00D40948">
        <w:rPr>
          <w:rFonts w:ascii="Century Gothic" w:hAnsi="Century Gothic" w:cs="Arial"/>
          <w:sz w:val="24"/>
          <w:szCs w:val="24"/>
        </w:rPr>
        <w:t>ninguna fuente de ingresos que los contravengan. As</w:t>
      </w:r>
      <w:r w:rsidR="00C01113">
        <w:rPr>
          <w:rFonts w:ascii="Century Gothic" w:hAnsi="Century Gothic" w:cs="Arial"/>
          <w:sz w:val="24"/>
          <w:szCs w:val="24"/>
        </w:rPr>
        <w:t>í</w:t>
      </w:r>
      <w:r w:rsidR="00D40948">
        <w:rPr>
          <w:rFonts w:ascii="Century Gothic" w:hAnsi="Century Gothic" w:cs="Arial"/>
          <w:sz w:val="24"/>
          <w:szCs w:val="24"/>
        </w:rPr>
        <w:t xml:space="preserve">, no podrá gravar con contribución alguna a la producción </w:t>
      </w:r>
      <w:r w:rsidR="00352B98">
        <w:rPr>
          <w:rFonts w:ascii="Century Gothic" w:hAnsi="Century Gothic" w:cs="Arial"/>
          <w:sz w:val="24"/>
          <w:szCs w:val="24"/>
        </w:rPr>
        <w:t xml:space="preserve">distribución, </w:t>
      </w:r>
      <w:r w:rsidRPr="000A1BAA">
        <w:rPr>
          <w:rFonts w:ascii="Century Gothic" w:hAnsi="Century Gothic" w:cs="Arial"/>
          <w:sz w:val="24"/>
          <w:szCs w:val="24"/>
        </w:rPr>
        <w:t xml:space="preserve">enajenación o consumo de cerveza, salvo </w:t>
      </w:r>
      <w:r w:rsidRPr="000A1BAA">
        <w:rPr>
          <w:rFonts w:ascii="Century Gothic" w:hAnsi="Century Gothic" w:cs="Arial"/>
          <w:sz w:val="24"/>
          <w:szCs w:val="24"/>
        </w:rPr>
        <w:lastRenderedPageBreak/>
        <w:t xml:space="preserve">modificaciones a la normatividad que lo permitan. Por lo que respecta a los derechos, quedan en suspenso todos aquellos a que se refiere el artículo 10-A de la Ley de Coordinación Fiscal Federal, durante el lapso </w:t>
      </w:r>
      <w:r w:rsidR="00352B98">
        <w:rPr>
          <w:rFonts w:ascii="Century Gothic" w:hAnsi="Century Gothic" w:cs="Arial"/>
          <w:sz w:val="24"/>
          <w:szCs w:val="24"/>
        </w:rPr>
        <w:t>que permanezca el estado de Chihuahua coordinado en esta materia.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FF0776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 xml:space="preserve">ARTÍCULO 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CUA</w:t>
      </w:r>
      <w:r w:rsidR="00D045C6">
        <w:rPr>
          <w:rFonts w:ascii="Century Gothic" w:hAnsi="Century Gothic" w:cs="Arial"/>
          <w:b/>
          <w:sz w:val="24"/>
          <w:szCs w:val="24"/>
        </w:rPr>
        <w:t>RTO.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-</w:t>
      </w:r>
      <w:r w:rsidRPr="000A1BAA">
        <w:rPr>
          <w:rFonts w:ascii="Century Gothic" w:hAnsi="Century Gothic" w:cs="Arial"/>
          <w:sz w:val="24"/>
          <w:szCs w:val="24"/>
        </w:rPr>
        <w:t xml:space="preserve"> Los contribuyentes o responsables solidarios, que no paguen los créditos fiscales que les sean exigibles, deberán cubrir recargos por concepto de mora, a razón de un 2.5% por mes o fracción, hasta por cinco años a partir de la fecha de exigibilidad del crédito adeudado</w:t>
      </w:r>
      <w:r w:rsidR="00FF0776">
        <w:rPr>
          <w:rFonts w:ascii="Century Gothic" w:hAnsi="Century Gothic" w:cs="Arial"/>
          <w:sz w:val="24"/>
          <w:szCs w:val="24"/>
        </w:rPr>
        <w:t>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F603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>Cuando se concedan prórrogas para el pago de créditos fiscales, se causará un interés del 2% mensual, sobre el monto total de dichos créditos</w:t>
      </w:r>
      <w:r w:rsidR="00FF0776">
        <w:rPr>
          <w:rFonts w:ascii="Century Gothic" w:hAnsi="Century Gothic" w:cs="Arial"/>
          <w:sz w:val="24"/>
          <w:szCs w:val="24"/>
        </w:rPr>
        <w:t>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0290D" w:rsidRDefault="007F603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 xml:space="preserve">ARTÍCULO </w:t>
      </w:r>
      <w:r w:rsidR="00D045C6">
        <w:rPr>
          <w:rFonts w:ascii="Century Gothic" w:hAnsi="Century Gothic" w:cs="Arial"/>
          <w:b/>
          <w:sz w:val="24"/>
          <w:szCs w:val="24"/>
        </w:rPr>
        <w:t>QUINTO.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-</w:t>
      </w:r>
      <w:r w:rsidR="00D045C6">
        <w:rPr>
          <w:rFonts w:ascii="Century Gothic" w:hAnsi="Century Gothic" w:cs="Arial"/>
          <w:b/>
          <w:sz w:val="24"/>
          <w:szCs w:val="24"/>
        </w:rPr>
        <w:t xml:space="preserve"> </w:t>
      </w:r>
      <w:r w:rsidRPr="000A1BAA">
        <w:rPr>
          <w:rFonts w:ascii="Century Gothic" w:hAnsi="Century Gothic" w:cs="Arial"/>
          <w:sz w:val="24"/>
          <w:szCs w:val="24"/>
        </w:rPr>
        <w:t xml:space="preserve">Se reducirá, con efectos generales, el importe por concepto de Impuesto Predial </w:t>
      </w:r>
      <w:r w:rsidR="005A4582">
        <w:rPr>
          <w:rFonts w:ascii="Century Gothic" w:hAnsi="Century Gothic" w:cs="Arial"/>
          <w:sz w:val="24"/>
          <w:szCs w:val="24"/>
        </w:rPr>
        <w:t>en los casos de pago anticipado de todo el año, si este se realiza de la siguiente manera: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5A4582" w:rsidTr="005A4582">
        <w:tc>
          <w:tcPr>
            <w:tcW w:w="1276" w:type="dxa"/>
          </w:tcPr>
          <w:p w:rsidR="005A4582" w:rsidRPr="00C01113" w:rsidRDefault="005A4582" w:rsidP="00CB616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b/>
                <w:sz w:val="24"/>
                <w:szCs w:val="24"/>
              </w:rPr>
              <w:t>Mes</w:t>
            </w:r>
          </w:p>
        </w:tc>
        <w:tc>
          <w:tcPr>
            <w:tcW w:w="3402" w:type="dxa"/>
          </w:tcPr>
          <w:p w:rsidR="005A4582" w:rsidRPr="00C01113" w:rsidRDefault="005A4582" w:rsidP="00CB616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1113">
              <w:rPr>
                <w:rFonts w:ascii="Century Gothic" w:hAnsi="Century Gothic" w:cs="Arial"/>
                <w:b/>
                <w:sz w:val="24"/>
                <w:szCs w:val="24"/>
              </w:rPr>
              <w:t>%</w:t>
            </w:r>
            <w:r w:rsidR="00C01113" w:rsidRPr="00C0111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C01113">
              <w:rPr>
                <w:rFonts w:ascii="Century Gothic" w:hAnsi="Century Gothic" w:cs="Arial"/>
                <w:b/>
                <w:sz w:val="24"/>
                <w:szCs w:val="24"/>
              </w:rPr>
              <w:t>Descuento Anticipado</w:t>
            </w:r>
          </w:p>
        </w:tc>
      </w:tr>
      <w:tr w:rsidR="005A4582" w:rsidTr="005A4582">
        <w:tc>
          <w:tcPr>
            <w:tcW w:w="1276" w:type="dxa"/>
          </w:tcPr>
          <w:p w:rsidR="005A4582" w:rsidRDefault="005A4582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Enero</w:t>
            </w:r>
          </w:p>
        </w:tc>
        <w:tc>
          <w:tcPr>
            <w:tcW w:w="3402" w:type="dxa"/>
          </w:tcPr>
          <w:p w:rsidR="005A4582" w:rsidRPr="00177326" w:rsidRDefault="00177326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77326">
              <w:rPr>
                <w:rFonts w:ascii="Century Gothic" w:hAnsi="Century Gothic" w:cs="Arial"/>
                <w:sz w:val="24"/>
                <w:szCs w:val="24"/>
              </w:rPr>
              <w:t>20</w:t>
            </w:r>
          </w:p>
        </w:tc>
      </w:tr>
      <w:tr w:rsidR="005A4582" w:rsidTr="005A4582">
        <w:tc>
          <w:tcPr>
            <w:tcW w:w="1276" w:type="dxa"/>
          </w:tcPr>
          <w:p w:rsidR="005A4582" w:rsidRDefault="005A4582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Febrero</w:t>
            </w:r>
          </w:p>
        </w:tc>
        <w:tc>
          <w:tcPr>
            <w:tcW w:w="3402" w:type="dxa"/>
          </w:tcPr>
          <w:p w:rsidR="005A4582" w:rsidRPr="00177326" w:rsidRDefault="00177326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77326">
              <w:rPr>
                <w:rFonts w:ascii="Century Gothic" w:hAnsi="Century Gothic" w:cs="Arial"/>
                <w:sz w:val="24"/>
                <w:szCs w:val="24"/>
              </w:rPr>
              <w:t>15</w:t>
            </w:r>
          </w:p>
        </w:tc>
      </w:tr>
      <w:tr w:rsidR="00177326" w:rsidTr="005A4582">
        <w:tc>
          <w:tcPr>
            <w:tcW w:w="1276" w:type="dxa"/>
          </w:tcPr>
          <w:p w:rsidR="00177326" w:rsidRDefault="00177326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Marzo  </w:t>
            </w:r>
          </w:p>
        </w:tc>
        <w:tc>
          <w:tcPr>
            <w:tcW w:w="3402" w:type="dxa"/>
          </w:tcPr>
          <w:p w:rsidR="00177326" w:rsidRPr="00177326" w:rsidRDefault="00177326" w:rsidP="00CB616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77326">
              <w:rPr>
                <w:rFonts w:ascii="Century Gothic" w:hAnsi="Century Gothic" w:cs="Arial"/>
                <w:sz w:val="24"/>
                <w:szCs w:val="24"/>
              </w:rPr>
              <w:t>10</w:t>
            </w:r>
          </w:p>
        </w:tc>
      </w:tr>
    </w:tbl>
    <w:p w:rsidR="005A4582" w:rsidRDefault="005A4582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FF0776" w:rsidRDefault="00FF0776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Así mismo, en relación con el </w:t>
      </w:r>
      <w:r w:rsidR="00D021AE">
        <w:rPr>
          <w:rFonts w:ascii="Century Gothic" w:hAnsi="Century Gothic" w:cs="Arial"/>
          <w:sz w:val="24"/>
          <w:szCs w:val="24"/>
        </w:rPr>
        <w:t>rezago,</w:t>
      </w:r>
      <w:r>
        <w:rPr>
          <w:rFonts w:ascii="Century Gothic" w:hAnsi="Century Gothic" w:cs="Arial"/>
          <w:sz w:val="24"/>
          <w:szCs w:val="24"/>
        </w:rPr>
        <w:t xml:space="preserve"> se reducirá en 25% con efectos generales en los casos de pago total del rezago acumulado, si este se realiza entre los meses de enero y febrero.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FF0776" w:rsidRDefault="00FF0776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Previo acuerdo del Ayuntamiento, </w:t>
      </w:r>
      <w:r w:rsidR="00D021AE">
        <w:rPr>
          <w:rFonts w:ascii="Century Gothic" w:hAnsi="Century Gothic" w:cs="Arial"/>
          <w:sz w:val="24"/>
          <w:szCs w:val="24"/>
        </w:rPr>
        <w:t>tratándose</w:t>
      </w:r>
      <w:r>
        <w:rPr>
          <w:rFonts w:ascii="Century Gothic" w:hAnsi="Century Gothic" w:cs="Arial"/>
          <w:sz w:val="24"/>
          <w:szCs w:val="24"/>
        </w:rPr>
        <w:t xml:space="preserve"> de personas mayores de 65  años, pensionados, jubilados, madres solteras, discapacitados, viudas y hombres que </w:t>
      </w:r>
      <w:r w:rsidR="00D021AE">
        <w:rPr>
          <w:rFonts w:ascii="Century Gothic" w:hAnsi="Century Gothic" w:cs="Arial"/>
          <w:sz w:val="24"/>
          <w:szCs w:val="24"/>
        </w:rPr>
        <w:t>estén</w:t>
      </w:r>
      <w:r>
        <w:rPr>
          <w:rFonts w:ascii="Century Gothic" w:hAnsi="Century Gothic" w:cs="Arial"/>
          <w:sz w:val="24"/>
          <w:szCs w:val="24"/>
        </w:rPr>
        <w:t xml:space="preserve"> cuidando de sus hijos cuando acrediten por medios idóneos tener dicha calida</w:t>
      </w:r>
      <w:r w:rsidR="00D021AE">
        <w:rPr>
          <w:rFonts w:ascii="Century Gothic" w:hAnsi="Century Gothic" w:cs="Arial"/>
          <w:sz w:val="24"/>
          <w:szCs w:val="24"/>
        </w:rPr>
        <w:t>d, esos gozaran de una reducción del 50%, por concepto de Impuesto Predial, con efectos generales, en los casos de pagos anticipados de todo el año, o bien, dentro del periodo que comprende el bimestre, en los casos en que sean propietarios de un solo inmueble, este se destine a vivienda, sea habitado por dichos contribuyentes y la propiedad no exceda de un valor catastral de cincuenta mil pesos.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21AE" w:rsidRDefault="00C55A52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Así</w:t>
      </w:r>
      <w:r w:rsidR="00D021AE">
        <w:rPr>
          <w:rFonts w:ascii="Century Gothic" w:hAnsi="Century Gothic" w:cs="Arial"/>
          <w:sz w:val="24"/>
          <w:szCs w:val="24"/>
        </w:rPr>
        <w:t xml:space="preserve"> mismo, se </w:t>
      </w:r>
      <w:r>
        <w:rPr>
          <w:rFonts w:ascii="Century Gothic" w:hAnsi="Century Gothic" w:cs="Arial"/>
          <w:sz w:val="24"/>
          <w:szCs w:val="24"/>
        </w:rPr>
        <w:t>otorgará</w:t>
      </w:r>
      <w:r w:rsidR="00D021AE">
        <w:rPr>
          <w:rFonts w:ascii="Century Gothic" w:hAnsi="Century Gothic" w:cs="Arial"/>
          <w:sz w:val="24"/>
          <w:szCs w:val="24"/>
        </w:rPr>
        <w:t xml:space="preserve"> un descuento del 10% adicional a los contribuyentes cuando estos acrediten estar cursando dentro del sistema de </w:t>
      </w:r>
      <w:r w:rsidR="00774C1B">
        <w:rPr>
          <w:rFonts w:ascii="Century Gothic" w:hAnsi="Century Gothic" w:cs="Arial"/>
          <w:sz w:val="24"/>
          <w:szCs w:val="24"/>
        </w:rPr>
        <w:t>Educación</w:t>
      </w:r>
      <w:r w:rsidR="00D021AE">
        <w:rPr>
          <w:rFonts w:ascii="Century Gothic" w:hAnsi="Century Gothic" w:cs="Arial"/>
          <w:sz w:val="24"/>
          <w:szCs w:val="24"/>
        </w:rPr>
        <w:t xml:space="preserve"> para los Adultos, la primaria o secundaria y se encuentren además en los siguientes supuestos: sean propietarios de un solo inmueble, este se destine a vivienda, sea habitado por dichos contribuyentes y la propiedad no exceda de un valor catastral de cincuenta mil pesos.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21AE" w:rsidRDefault="00D021AE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Se </w:t>
      </w:r>
      <w:r w:rsidR="003B31B5">
        <w:rPr>
          <w:rFonts w:ascii="Century Gothic" w:hAnsi="Century Gothic" w:cs="Arial"/>
          <w:sz w:val="24"/>
          <w:szCs w:val="24"/>
        </w:rPr>
        <w:t>otorgará</w:t>
      </w:r>
      <w:r>
        <w:rPr>
          <w:rFonts w:ascii="Century Gothic" w:hAnsi="Century Gothic" w:cs="Arial"/>
          <w:sz w:val="24"/>
          <w:szCs w:val="24"/>
        </w:rPr>
        <w:t xml:space="preserve"> un incentivo en el pago del Impuesto Predial, durante el ejercicio fiscal 2022 a favor de las empresas que generen empleos dentro del municipio. El </w:t>
      </w:r>
      <w:r w:rsidR="006E7249">
        <w:rPr>
          <w:rFonts w:ascii="Century Gothic" w:hAnsi="Century Gothic" w:cs="Arial"/>
          <w:sz w:val="24"/>
          <w:szCs w:val="24"/>
        </w:rPr>
        <w:t>estímulo</w:t>
      </w:r>
      <w:r>
        <w:rPr>
          <w:rFonts w:ascii="Century Gothic" w:hAnsi="Century Gothic" w:cs="Arial"/>
          <w:sz w:val="24"/>
          <w:szCs w:val="24"/>
        </w:rPr>
        <w:t xml:space="preserve"> fiscal se </w:t>
      </w:r>
      <w:r w:rsidR="003B31B5">
        <w:rPr>
          <w:rFonts w:ascii="Century Gothic" w:hAnsi="Century Gothic" w:cs="Arial"/>
          <w:sz w:val="24"/>
          <w:szCs w:val="24"/>
        </w:rPr>
        <w:t>otorgará</w:t>
      </w:r>
      <w:r>
        <w:rPr>
          <w:rFonts w:ascii="Century Gothic" w:hAnsi="Century Gothic" w:cs="Arial"/>
          <w:sz w:val="24"/>
          <w:szCs w:val="24"/>
        </w:rPr>
        <w:t xml:space="preserve"> mediante un descuento en el monto del impuesto de un 20% a las que generen 10 empleos en adelante.</w:t>
      </w:r>
    </w:p>
    <w:p w:rsidR="00D021AE" w:rsidRDefault="00D021AE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Los </w:t>
      </w:r>
      <w:r w:rsidR="003B31B5">
        <w:rPr>
          <w:rFonts w:ascii="Century Gothic" w:hAnsi="Century Gothic" w:cs="Arial"/>
          <w:sz w:val="24"/>
          <w:szCs w:val="24"/>
        </w:rPr>
        <w:t>estímulos</w:t>
      </w:r>
      <w:r>
        <w:rPr>
          <w:rFonts w:ascii="Century Gothic" w:hAnsi="Century Gothic" w:cs="Arial"/>
          <w:sz w:val="24"/>
          <w:szCs w:val="24"/>
        </w:rPr>
        <w:t xml:space="preserve"> e incentivos a que se refiere el presente </w:t>
      </w:r>
      <w:r w:rsidR="00FF613D">
        <w:rPr>
          <w:rFonts w:ascii="Century Gothic" w:hAnsi="Century Gothic" w:cs="Arial"/>
          <w:sz w:val="24"/>
          <w:szCs w:val="24"/>
        </w:rPr>
        <w:t>artículo</w:t>
      </w:r>
      <w:r>
        <w:rPr>
          <w:rFonts w:ascii="Century Gothic" w:hAnsi="Century Gothic" w:cs="Arial"/>
          <w:sz w:val="24"/>
          <w:szCs w:val="24"/>
        </w:rPr>
        <w:t xml:space="preserve"> no serán acumulables.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0290D" w:rsidRDefault="0000290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 xml:space="preserve">ARTÍCULO </w:t>
      </w:r>
      <w:r w:rsidR="00D045C6">
        <w:rPr>
          <w:rFonts w:ascii="Century Gothic" w:hAnsi="Century Gothic" w:cs="Arial"/>
          <w:b/>
          <w:sz w:val="24"/>
          <w:szCs w:val="24"/>
        </w:rPr>
        <w:t>SEXTO.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-</w:t>
      </w:r>
      <w:r w:rsidR="00D045C6">
        <w:rPr>
          <w:rFonts w:ascii="Century Gothic" w:hAnsi="Century Gothic" w:cs="Arial"/>
          <w:b/>
          <w:sz w:val="24"/>
          <w:szCs w:val="24"/>
        </w:rPr>
        <w:t xml:space="preserve"> </w:t>
      </w:r>
      <w:r w:rsidR="00175B79">
        <w:rPr>
          <w:rFonts w:ascii="Century Gothic" w:hAnsi="Century Gothic" w:cs="Arial"/>
          <w:sz w:val="24"/>
          <w:szCs w:val="24"/>
        </w:rPr>
        <w:t xml:space="preserve">Se </w:t>
      </w:r>
      <w:r w:rsidR="00F737DF">
        <w:rPr>
          <w:rFonts w:ascii="Century Gothic" w:hAnsi="Century Gothic" w:cs="Arial"/>
          <w:sz w:val="24"/>
          <w:szCs w:val="24"/>
        </w:rPr>
        <w:t>otorgará</w:t>
      </w:r>
      <w:r w:rsidR="002D7507">
        <w:rPr>
          <w:rFonts w:ascii="Century Gothic" w:hAnsi="Century Gothic" w:cs="Arial"/>
          <w:sz w:val="24"/>
          <w:szCs w:val="24"/>
        </w:rPr>
        <w:t xml:space="preserve"> durante el año 2022</w:t>
      </w:r>
      <w:r w:rsidR="00175B79">
        <w:rPr>
          <w:rFonts w:ascii="Century Gothic" w:hAnsi="Century Gothic" w:cs="Arial"/>
          <w:sz w:val="24"/>
          <w:szCs w:val="24"/>
        </w:rPr>
        <w:t xml:space="preserve"> un </w:t>
      </w:r>
      <w:r w:rsidR="00FF613D">
        <w:rPr>
          <w:rFonts w:ascii="Century Gothic" w:hAnsi="Century Gothic" w:cs="Arial"/>
          <w:sz w:val="24"/>
          <w:szCs w:val="24"/>
        </w:rPr>
        <w:t>estímulo</w:t>
      </w:r>
      <w:r w:rsidR="00175B79">
        <w:rPr>
          <w:rFonts w:ascii="Century Gothic" w:hAnsi="Century Gothic" w:cs="Arial"/>
          <w:sz w:val="24"/>
          <w:szCs w:val="24"/>
        </w:rPr>
        <w:t xml:space="preserve"> fiscal consistente en tomar como base gravable del Impuesto Sobre </w:t>
      </w:r>
      <w:r w:rsidR="00F737DF">
        <w:rPr>
          <w:rFonts w:ascii="Century Gothic" w:hAnsi="Century Gothic" w:cs="Arial"/>
          <w:sz w:val="24"/>
          <w:szCs w:val="24"/>
        </w:rPr>
        <w:t>Traslación</w:t>
      </w:r>
      <w:r w:rsidR="00175B79">
        <w:rPr>
          <w:rFonts w:ascii="Century Gothic" w:hAnsi="Century Gothic" w:cs="Arial"/>
          <w:sz w:val="24"/>
          <w:szCs w:val="24"/>
        </w:rPr>
        <w:t xml:space="preserve"> de Dominio de Bienes Inmuebles aquella que correspond</w:t>
      </w:r>
      <w:r w:rsidR="00057F37">
        <w:rPr>
          <w:rFonts w:ascii="Century Gothic" w:hAnsi="Century Gothic" w:cs="Arial"/>
          <w:sz w:val="24"/>
          <w:szCs w:val="24"/>
        </w:rPr>
        <w:t xml:space="preserve">a </w:t>
      </w:r>
      <w:r w:rsidR="00175B79">
        <w:rPr>
          <w:rFonts w:ascii="Century Gothic" w:hAnsi="Century Gothic" w:cs="Arial"/>
          <w:sz w:val="24"/>
          <w:szCs w:val="24"/>
        </w:rPr>
        <w:t>a: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B5B0F" w:rsidRDefault="002B5B0F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</w:t>
      </w:r>
      <w:r w:rsidR="00F737DF">
        <w:rPr>
          <w:rFonts w:ascii="Century Gothic" w:hAnsi="Century Gothic" w:cs="Arial"/>
          <w:sz w:val="24"/>
          <w:szCs w:val="24"/>
        </w:rPr>
        <w:t>). -</w:t>
      </w:r>
      <w:r>
        <w:rPr>
          <w:rFonts w:ascii="Century Gothic" w:hAnsi="Century Gothic" w:cs="Arial"/>
          <w:sz w:val="24"/>
          <w:szCs w:val="24"/>
        </w:rPr>
        <w:t xml:space="preserve"> El 50% del valor físico del inmueble determinado por medio del </w:t>
      </w:r>
      <w:r w:rsidR="00F737DF">
        <w:rPr>
          <w:rFonts w:ascii="Century Gothic" w:hAnsi="Century Gothic" w:cs="Arial"/>
          <w:sz w:val="24"/>
          <w:szCs w:val="24"/>
        </w:rPr>
        <w:t>avalúo</w:t>
      </w:r>
      <w:r>
        <w:rPr>
          <w:rFonts w:ascii="Century Gothic" w:hAnsi="Century Gothic" w:cs="Arial"/>
          <w:sz w:val="24"/>
          <w:szCs w:val="24"/>
        </w:rPr>
        <w:t xml:space="preserve"> o dictamen </w:t>
      </w:r>
      <w:r w:rsidR="00774C1B">
        <w:rPr>
          <w:rFonts w:ascii="Century Gothic" w:hAnsi="Century Gothic" w:cs="Arial"/>
          <w:sz w:val="24"/>
          <w:szCs w:val="24"/>
        </w:rPr>
        <w:t xml:space="preserve">del valor que practique la </w:t>
      </w:r>
      <w:r w:rsidR="008F53D3">
        <w:rPr>
          <w:rFonts w:ascii="Century Gothic" w:hAnsi="Century Gothic" w:cs="Arial"/>
          <w:sz w:val="24"/>
          <w:szCs w:val="24"/>
        </w:rPr>
        <w:t>Tesorería</w:t>
      </w:r>
      <w:r w:rsidR="00774C1B">
        <w:rPr>
          <w:rFonts w:ascii="Century Gothic" w:hAnsi="Century Gothic" w:cs="Arial"/>
          <w:sz w:val="24"/>
          <w:szCs w:val="24"/>
        </w:rPr>
        <w:t xml:space="preserve"> Municipal o el </w:t>
      </w:r>
      <w:r w:rsidR="008F53D3">
        <w:rPr>
          <w:rFonts w:ascii="Century Gothic" w:hAnsi="Century Gothic" w:cs="Arial"/>
          <w:sz w:val="24"/>
          <w:szCs w:val="24"/>
        </w:rPr>
        <w:t>avalúo</w:t>
      </w:r>
      <w:r w:rsidR="00774C1B">
        <w:rPr>
          <w:rFonts w:ascii="Century Gothic" w:hAnsi="Century Gothic" w:cs="Arial"/>
          <w:sz w:val="24"/>
          <w:szCs w:val="24"/>
        </w:rPr>
        <w:t xml:space="preserve"> bancario en su caso, consignados en la declaración correspondiente, respecto de aquellas operaciones que deriven de los siguientes actos jurídicos: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774C1B" w:rsidRDefault="00774C1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1.</w:t>
      </w:r>
      <w:r w:rsidR="00FF613D">
        <w:rPr>
          <w:rFonts w:ascii="Century Gothic" w:hAnsi="Century Gothic" w:cs="Arial"/>
          <w:sz w:val="24"/>
          <w:szCs w:val="24"/>
        </w:rPr>
        <w:t xml:space="preserve">- </w:t>
      </w:r>
      <w:r>
        <w:rPr>
          <w:rFonts w:ascii="Century Gothic" w:hAnsi="Century Gothic" w:cs="Arial"/>
          <w:sz w:val="24"/>
          <w:szCs w:val="24"/>
        </w:rPr>
        <w:t xml:space="preserve">Por </w:t>
      </w:r>
      <w:r w:rsidR="00C55A52">
        <w:rPr>
          <w:rFonts w:ascii="Century Gothic" w:hAnsi="Century Gothic" w:cs="Arial"/>
          <w:sz w:val="24"/>
          <w:szCs w:val="24"/>
        </w:rPr>
        <w:t>donación, cuando el donatario o adquiriente sea el propio cónyuge; o bien, guarde un parentesco civil o consanguíneo en línea recta ascendente o descendente con el donante, circunstancia que a juicio de la autoridad fiscal deberá acreditar plenamente mediante la exhibición del acta del estado civil correspondiente.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C55A52" w:rsidRDefault="00C55A52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2.</w:t>
      </w:r>
      <w:r w:rsidR="00FF613D">
        <w:rPr>
          <w:rFonts w:ascii="Century Gothic" w:hAnsi="Century Gothic" w:cs="Arial"/>
          <w:sz w:val="24"/>
          <w:szCs w:val="24"/>
        </w:rPr>
        <w:t>- Tratándose</w:t>
      </w:r>
      <w:r>
        <w:rPr>
          <w:rFonts w:ascii="Century Gothic" w:hAnsi="Century Gothic" w:cs="Arial"/>
          <w:sz w:val="24"/>
          <w:szCs w:val="24"/>
        </w:rPr>
        <w:t xml:space="preserve"> de convenios judiciales derivados de juicios de divorcio en proporción al porcentaje de la propiedad excedente obtenida, mientras el </w:t>
      </w:r>
      <w:r w:rsidR="008F53D3">
        <w:rPr>
          <w:rFonts w:ascii="Century Gothic" w:hAnsi="Century Gothic" w:cs="Arial"/>
          <w:sz w:val="24"/>
          <w:szCs w:val="24"/>
        </w:rPr>
        <w:t>cónyuge</w:t>
      </w:r>
      <w:r>
        <w:rPr>
          <w:rFonts w:ascii="Century Gothic" w:hAnsi="Century Gothic" w:cs="Arial"/>
          <w:sz w:val="24"/>
          <w:szCs w:val="24"/>
        </w:rPr>
        <w:t xml:space="preserve"> adquiriente sea la mujer, y forme parte de la liquidación de la sociedad conyugal, en los mismos términos de la figura anterior</w:t>
      </w:r>
      <w:r w:rsidR="008F53D3">
        <w:rPr>
          <w:rFonts w:ascii="Century Gothic" w:hAnsi="Century Gothic" w:cs="Arial"/>
          <w:sz w:val="24"/>
          <w:szCs w:val="24"/>
        </w:rPr>
        <w:t xml:space="preserve">, conforme a la fracción XI, del </w:t>
      </w:r>
      <w:r w:rsidR="00FF613D">
        <w:rPr>
          <w:rFonts w:ascii="Century Gothic" w:hAnsi="Century Gothic" w:cs="Arial"/>
          <w:sz w:val="24"/>
          <w:szCs w:val="24"/>
        </w:rPr>
        <w:t>artículo</w:t>
      </w:r>
      <w:r w:rsidR="008F53D3">
        <w:rPr>
          <w:rFonts w:ascii="Century Gothic" w:hAnsi="Century Gothic" w:cs="Arial"/>
          <w:sz w:val="24"/>
          <w:szCs w:val="24"/>
        </w:rPr>
        <w:t xml:space="preserve"> 157 del Código Municipal para el Estado de Chihuahua.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4C3D6D" w:rsidRDefault="004C3D6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3.</w:t>
      </w:r>
      <w:r w:rsidR="00FF613D">
        <w:rPr>
          <w:rFonts w:ascii="Century Gothic" w:hAnsi="Century Gothic" w:cs="Arial"/>
          <w:sz w:val="24"/>
          <w:szCs w:val="24"/>
        </w:rPr>
        <w:t xml:space="preserve">- </w:t>
      </w:r>
      <w:r>
        <w:rPr>
          <w:rFonts w:ascii="Century Gothic" w:hAnsi="Century Gothic" w:cs="Arial"/>
          <w:sz w:val="24"/>
          <w:szCs w:val="24"/>
        </w:rPr>
        <w:t xml:space="preserve">La trasmisión de la propiedad que derive de las herencias, de conformidad con la fracción I, del </w:t>
      </w:r>
      <w:r w:rsidR="00FF613D">
        <w:rPr>
          <w:rFonts w:ascii="Century Gothic" w:hAnsi="Century Gothic" w:cs="Arial"/>
          <w:sz w:val="24"/>
          <w:szCs w:val="24"/>
        </w:rPr>
        <w:t>artículo</w:t>
      </w:r>
      <w:r>
        <w:rPr>
          <w:rFonts w:ascii="Century Gothic" w:hAnsi="Century Gothic" w:cs="Arial"/>
          <w:sz w:val="24"/>
          <w:szCs w:val="24"/>
        </w:rPr>
        <w:t xml:space="preserve"> 157, del Código Municipal para el Estado de Chihuahua, si la sucesión de los bienes se hace a favor del cónyuge que sobrevive o si existe una relación de parentesco civil o consanguíneo en línea recta ascendente o descendente entre el autor de la sucesión y las personas declaradas herederas. En el caso de que exista parentesco por adopción, dicha circunstancia deberá acreditarse fehacientemente. </w:t>
      </w:r>
    </w:p>
    <w:p w:rsidR="009A66FB" w:rsidRPr="000A1BAA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5206BC" w:rsidRDefault="0000290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A1BAA">
        <w:rPr>
          <w:rFonts w:ascii="Century Gothic" w:hAnsi="Century Gothic" w:cs="Arial"/>
          <w:b/>
          <w:sz w:val="24"/>
          <w:szCs w:val="24"/>
        </w:rPr>
        <w:t xml:space="preserve">ARTÍCULO </w:t>
      </w:r>
      <w:r w:rsidR="00D045C6">
        <w:rPr>
          <w:rFonts w:ascii="Century Gothic" w:hAnsi="Century Gothic" w:cs="Arial"/>
          <w:b/>
          <w:sz w:val="24"/>
          <w:szCs w:val="24"/>
        </w:rPr>
        <w:t>SÉPTIMO.</w:t>
      </w:r>
      <w:r w:rsidR="00E72961" w:rsidRPr="000A1BAA">
        <w:rPr>
          <w:rFonts w:ascii="Century Gothic" w:hAnsi="Century Gothic" w:cs="Arial"/>
          <w:b/>
          <w:sz w:val="24"/>
          <w:szCs w:val="24"/>
        </w:rPr>
        <w:t>-</w:t>
      </w:r>
      <w:r w:rsidR="00D045C6">
        <w:rPr>
          <w:rFonts w:ascii="Century Gothic" w:hAnsi="Century Gothic" w:cs="Arial"/>
          <w:sz w:val="24"/>
          <w:szCs w:val="24"/>
        </w:rPr>
        <w:t xml:space="preserve"> </w:t>
      </w:r>
      <w:r w:rsidR="003F69FA">
        <w:rPr>
          <w:rFonts w:ascii="Century Gothic" w:hAnsi="Century Gothic" w:cs="Arial"/>
          <w:sz w:val="24"/>
          <w:szCs w:val="24"/>
        </w:rPr>
        <w:t xml:space="preserve">En los términos </w:t>
      </w:r>
      <w:r w:rsidRPr="000A1BAA">
        <w:rPr>
          <w:rFonts w:ascii="Century Gothic" w:hAnsi="Century Gothic" w:cs="Arial"/>
          <w:sz w:val="24"/>
          <w:szCs w:val="24"/>
        </w:rPr>
        <w:t xml:space="preserve">del Código Fiscal del Estado, </w:t>
      </w:r>
      <w:r w:rsidR="003F69FA">
        <w:rPr>
          <w:rFonts w:ascii="Century Gothic" w:hAnsi="Century Gothic" w:cs="Arial"/>
          <w:sz w:val="24"/>
          <w:szCs w:val="24"/>
        </w:rPr>
        <w:t>tratándose de rezagos, o sea ingresos que se perciban en años anteriores en que el crédito se hay</w:t>
      </w:r>
      <w:r w:rsidR="00177326">
        <w:rPr>
          <w:rFonts w:ascii="Century Gothic" w:hAnsi="Century Gothic" w:cs="Arial"/>
          <w:sz w:val="24"/>
          <w:szCs w:val="24"/>
        </w:rPr>
        <w:t>a generado</w:t>
      </w:r>
      <w:r w:rsidR="003F69FA">
        <w:rPr>
          <w:rFonts w:ascii="Century Gothic" w:hAnsi="Century Gothic" w:cs="Arial"/>
          <w:sz w:val="24"/>
          <w:szCs w:val="24"/>
        </w:rPr>
        <w:t>, previo acuerdo del Ayuntamiento, el presidente municipal, por conducto del tesorero, podrá condonarlos o reducirlos cuando lo consideren justo y equitativo.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3F69FA" w:rsidRDefault="003F69F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El acuerdo en que se autorice esta medida deberá precisar su aplicación y alcance, así como la región o regiones en cuyo beneficio se dicte y deber ser publicado en el Diario Oficial del Estado.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3F69FA" w:rsidRDefault="003A6E2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ARTÍ</w:t>
      </w:r>
      <w:r w:rsidR="003F69FA" w:rsidRPr="003F69FA">
        <w:rPr>
          <w:rFonts w:ascii="Century Gothic" w:hAnsi="Century Gothic" w:cs="Arial"/>
          <w:b/>
          <w:sz w:val="24"/>
          <w:szCs w:val="24"/>
        </w:rPr>
        <w:t xml:space="preserve">CULO </w:t>
      </w:r>
      <w:r w:rsidR="00D045C6">
        <w:rPr>
          <w:rFonts w:ascii="Century Gothic" w:hAnsi="Century Gothic" w:cs="Arial"/>
          <w:b/>
          <w:sz w:val="24"/>
          <w:szCs w:val="24"/>
        </w:rPr>
        <w:t>OCTAVO.</w:t>
      </w:r>
      <w:r w:rsidR="00E72961" w:rsidRPr="003F69FA">
        <w:rPr>
          <w:rFonts w:ascii="Century Gothic" w:hAnsi="Century Gothic" w:cs="Arial"/>
          <w:b/>
          <w:sz w:val="24"/>
          <w:szCs w:val="24"/>
        </w:rPr>
        <w:t>-</w:t>
      </w:r>
      <w:r w:rsidR="00D045C6">
        <w:rPr>
          <w:rFonts w:ascii="Century Gothic" w:hAnsi="Century Gothic" w:cs="Arial"/>
          <w:b/>
          <w:sz w:val="24"/>
          <w:szCs w:val="24"/>
        </w:rPr>
        <w:t xml:space="preserve"> </w:t>
      </w:r>
      <w:r w:rsidR="003F69FA">
        <w:rPr>
          <w:rFonts w:ascii="Century Gothic" w:hAnsi="Century Gothic" w:cs="Arial"/>
          <w:sz w:val="24"/>
          <w:szCs w:val="24"/>
        </w:rPr>
        <w:t xml:space="preserve">En los términos </w:t>
      </w:r>
      <w:r w:rsidR="003F69FA" w:rsidRPr="000A1BAA">
        <w:rPr>
          <w:rFonts w:ascii="Century Gothic" w:hAnsi="Century Gothic" w:cs="Arial"/>
          <w:sz w:val="24"/>
          <w:szCs w:val="24"/>
        </w:rPr>
        <w:t xml:space="preserve">del Código Fiscal del Estado, </w:t>
      </w:r>
      <w:r w:rsidR="003F69FA">
        <w:rPr>
          <w:rFonts w:ascii="Century Gothic" w:hAnsi="Century Gothic" w:cs="Arial"/>
          <w:sz w:val="24"/>
          <w:szCs w:val="24"/>
        </w:rPr>
        <w:t>se autoriza al presidente municipal, para que, por conducto del tesorero, pueda condonar o reducir los recargos por conducto de mora.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3F69FA" w:rsidRDefault="003F69FA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Así mismo, de conformidad con el </w:t>
      </w:r>
      <w:r w:rsidR="00177326">
        <w:rPr>
          <w:rFonts w:ascii="Century Gothic" w:hAnsi="Century Gothic" w:cs="Arial"/>
          <w:sz w:val="24"/>
          <w:szCs w:val="24"/>
        </w:rPr>
        <w:t>mismo</w:t>
      </w:r>
      <w:r>
        <w:rPr>
          <w:rFonts w:ascii="Century Gothic" w:hAnsi="Century Gothic" w:cs="Arial"/>
          <w:sz w:val="24"/>
          <w:szCs w:val="24"/>
        </w:rPr>
        <w:t xml:space="preserve"> Código Fiscal del Estado</w:t>
      </w:r>
      <w:r w:rsidR="008B263C">
        <w:rPr>
          <w:rFonts w:ascii="Century Gothic" w:hAnsi="Century Gothic" w:cs="Arial"/>
          <w:sz w:val="24"/>
          <w:szCs w:val="24"/>
        </w:rPr>
        <w:t>, podrá condonar las multas por infracciones a las disposiciones fiscales; así como por razones plenamente justificadas, los derechos por servicios que preste el Municipio.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8B263C" w:rsidRPr="003F69FA" w:rsidRDefault="008B263C" w:rsidP="00CB6165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Las condonaciones anteriormente mencionadas solo podrán realizarse de manera particular en cada caso que le sea planteado a tesorería y nunca con efectos generales</w:t>
      </w:r>
      <w:r w:rsidR="00B07AB5">
        <w:rPr>
          <w:rFonts w:ascii="Century Gothic" w:hAnsi="Century Gothic" w:cs="Arial"/>
          <w:sz w:val="24"/>
          <w:szCs w:val="24"/>
        </w:rPr>
        <w:t>, salvo los casos en que la Tesorería elabore y ejecute programas tendientes a incrementar los ingresos del Municipio.</w:t>
      </w:r>
    </w:p>
    <w:p w:rsidR="00D045C6" w:rsidRPr="008E5924" w:rsidRDefault="00D045C6" w:rsidP="00CB6165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0290D" w:rsidRPr="00EA7F62" w:rsidRDefault="004B2D96" w:rsidP="00CB6165">
      <w:pPr>
        <w:spacing w:after="0" w:line="360" w:lineRule="auto"/>
        <w:jc w:val="center"/>
        <w:rPr>
          <w:rFonts w:ascii="Century Gothic" w:hAnsi="Century Gothic" w:cs="Arial"/>
          <w:b/>
          <w:sz w:val="28"/>
          <w:szCs w:val="24"/>
          <w:lang w:val="en-US"/>
        </w:rPr>
      </w:pPr>
      <w:r w:rsidRPr="00EA7F62">
        <w:rPr>
          <w:rFonts w:ascii="Century Gothic" w:hAnsi="Century Gothic" w:cs="Arial"/>
          <w:b/>
          <w:sz w:val="28"/>
          <w:szCs w:val="24"/>
          <w:lang w:val="en-US"/>
        </w:rPr>
        <w:t>T R A N S I T O R I O S</w:t>
      </w:r>
    </w:p>
    <w:p w:rsidR="009A66FB" w:rsidRPr="004B2D96" w:rsidRDefault="009A66FB" w:rsidP="00CB6165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lang w:val="en-US"/>
        </w:rPr>
      </w:pPr>
    </w:p>
    <w:p w:rsidR="0000290D" w:rsidRDefault="0000290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A7F62">
        <w:rPr>
          <w:rFonts w:ascii="Century Gothic" w:hAnsi="Century Gothic" w:cs="Arial"/>
          <w:b/>
          <w:sz w:val="28"/>
          <w:szCs w:val="24"/>
        </w:rPr>
        <w:t xml:space="preserve">ARTÍCULO </w:t>
      </w:r>
      <w:r w:rsidR="00D045C6" w:rsidRPr="00EA7F62">
        <w:rPr>
          <w:rFonts w:ascii="Century Gothic" w:hAnsi="Century Gothic" w:cs="Arial"/>
          <w:b/>
          <w:sz w:val="28"/>
          <w:szCs w:val="24"/>
        </w:rPr>
        <w:t xml:space="preserve">PRIMERO.- </w:t>
      </w:r>
      <w:r w:rsidR="00B07AB5">
        <w:rPr>
          <w:rFonts w:ascii="Century Gothic" w:hAnsi="Century Gothic" w:cs="Arial"/>
          <w:sz w:val="24"/>
          <w:szCs w:val="24"/>
        </w:rPr>
        <w:t xml:space="preserve">La presente Ley de Ingresos entrara en vigor el </w:t>
      </w:r>
      <w:r w:rsidR="001F0F91">
        <w:rPr>
          <w:rFonts w:ascii="Century Gothic" w:hAnsi="Century Gothic" w:cs="Arial"/>
          <w:sz w:val="24"/>
          <w:szCs w:val="24"/>
        </w:rPr>
        <w:t>día</w:t>
      </w:r>
      <w:r w:rsidR="00B07AB5">
        <w:rPr>
          <w:rFonts w:ascii="Century Gothic" w:hAnsi="Century Gothic" w:cs="Arial"/>
          <w:sz w:val="24"/>
          <w:szCs w:val="24"/>
        </w:rPr>
        <w:t xml:space="preserve"> primero de enero del año dos mil veintidós.</w:t>
      </w:r>
    </w:p>
    <w:p w:rsidR="009A66FB" w:rsidRPr="004B2D96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0290D" w:rsidRDefault="0000290D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A7F62">
        <w:rPr>
          <w:rFonts w:ascii="Century Gothic" w:hAnsi="Century Gothic" w:cs="Arial"/>
          <w:b/>
          <w:sz w:val="28"/>
          <w:szCs w:val="24"/>
        </w:rPr>
        <w:t xml:space="preserve">ARTÍCULO </w:t>
      </w:r>
      <w:r w:rsidR="00D045C6" w:rsidRPr="00EA7F62">
        <w:rPr>
          <w:rFonts w:ascii="Century Gothic" w:hAnsi="Century Gothic" w:cs="Arial"/>
          <w:b/>
          <w:sz w:val="28"/>
          <w:szCs w:val="24"/>
        </w:rPr>
        <w:t xml:space="preserve">SEGUNDO.- </w:t>
      </w:r>
      <w:r w:rsidR="001F0F91">
        <w:rPr>
          <w:rFonts w:ascii="Century Gothic" w:hAnsi="Century Gothic" w:cs="Arial"/>
          <w:sz w:val="24"/>
          <w:szCs w:val="24"/>
        </w:rPr>
        <w:t xml:space="preserve">Se autoriza el Ayuntamiento del Municipio de </w:t>
      </w:r>
      <w:proofErr w:type="spellStart"/>
      <w:r w:rsidR="001F0F91">
        <w:rPr>
          <w:rFonts w:ascii="Century Gothic" w:hAnsi="Century Gothic" w:cs="Arial"/>
          <w:sz w:val="24"/>
          <w:szCs w:val="24"/>
        </w:rPr>
        <w:t>Balleza</w:t>
      </w:r>
      <w:proofErr w:type="spellEnd"/>
      <w:r w:rsidR="001F0F91">
        <w:rPr>
          <w:rFonts w:ascii="Century Gothic" w:hAnsi="Century Gothic" w:cs="Arial"/>
          <w:sz w:val="24"/>
          <w:szCs w:val="24"/>
        </w:rPr>
        <w:t xml:space="preserve"> para que, en su caso, </w:t>
      </w:r>
      <w:r w:rsidR="00FF613D">
        <w:rPr>
          <w:rFonts w:ascii="Century Gothic" w:hAnsi="Century Gothic" w:cs="Arial"/>
          <w:sz w:val="24"/>
          <w:szCs w:val="24"/>
        </w:rPr>
        <w:t>amplíe</w:t>
      </w:r>
      <w:r w:rsidR="001F0F91">
        <w:rPr>
          <w:rFonts w:ascii="Century Gothic" w:hAnsi="Century Gothic" w:cs="Arial"/>
          <w:sz w:val="24"/>
          <w:szCs w:val="24"/>
        </w:rPr>
        <w:t xml:space="preserve"> su presupuesto de egresos en la misma proporción que resulte de los ingresos estimados, obligándose a cumplir con las disposiciones que le sean aplicables.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73598" w:rsidRDefault="003A6E2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A7F62">
        <w:rPr>
          <w:rFonts w:ascii="Century Gothic" w:hAnsi="Century Gothic" w:cs="Arial"/>
          <w:b/>
          <w:bCs/>
          <w:sz w:val="28"/>
          <w:szCs w:val="24"/>
        </w:rPr>
        <w:t>ARTÍ</w:t>
      </w:r>
      <w:r w:rsidR="00D045C6" w:rsidRPr="00EA7F62">
        <w:rPr>
          <w:rFonts w:ascii="Century Gothic" w:hAnsi="Century Gothic" w:cs="Arial"/>
          <w:b/>
          <w:bCs/>
          <w:sz w:val="28"/>
          <w:szCs w:val="24"/>
        </w:rPr>
        <w:t>CULO TERCERO.</w:t>
      </w:r>
      <w:r w:rsidR="001F0F91" w:rsidRPr="00EA7F62">
        <w:rPr>
          <w:rFonts w:ascii="Century Gothic" w:hAnsi="Century Gothic" w:cs="Arial"/>
          <w:b/>
          <w:bCs/>
          <w:sz w:val="28"/>
          <w:szCs w:val="24"/>
        </w:rPr>
        <w:t>-</w:t>
      </w:r>
      <w:r w:rsidR="00D045C6" w:rsidRPr="00EA7F62">
        <w:rPr>
          <w:rFonts w:ascii="Century Gothic" w:hAnsi="Century Gothic" w:cs="Arial"/>
          <w:b/>
          <w:bCs/>
          <w:sz w:val="28"/>
          <w:szCs w:val="24"/>
        </w:rPr>
        <w:t xml:space="preserve"> </w:t>
      </w:r>
      <w:r w:rsidR="001F0F91" w:rsidRPr="001F0F91">
        <w:rPr>
          <w:rFonts w:ascii="Century Gothic" w:hAnsi="Century Gothic" w:cs="Arial"/>
          <w:sz w:val="24"/>
          <w:szCs w:val="24"/>
        </w:rPr>
        <w:t xml:space="preserve">El </w:t>
      </w:r>
      <w:r w:rsidR="00D73598">
        <w:rPr>
          <w:rFonts w:ascii="Century Gothic" w:hAnsi="Century Gothic" w:cs="Arial"/>
          <w:sz w:val="24"/>
          <w:szCs w:val="24"/>
        </w:rPr>
        <w:t>A</w:t>
      </w:r>
      <w:r w:rsidR="001F0F91" w:rsidRPr="001F0F91">
        <w:rPr>
          <w:rFonts w:ascii="Century Gothic" w:hAnsi="Century Gothic" w:cs="Arial"/>
          <w:sz w:val="24"/>
          <w:szCs w:val="24"/>
        </w:rPr>
        <w:t xml:space="preserve">yuntamiento del Municipio de </w:t>
      </w:r>
      <w:proofErr w:type="spellStart"/>
      <w:r w:rsidR="001F0F91" w:rsidRPr="001F0F91">
        <w:rPr>
          <w:rFonts w:ascii="Century Gothic" w:hAnsi="Century Gothic" w:cs="Arial"/>
          <w:sz w:val="24"/>
          <w:szCs w:val="24"/>
        </w:rPr>
        <w:t>Balleza</w:t>
      </w:r>
      <w:proofErr w:type="spellEnd"/>
      <w:r w:rsidR="001F0F91">
        <w:rPr>
          <w:rFonts w:ascii="Century Gothic" w:hAnsi="Century Gothic" w:cs="Arial"/>
          <w:sz w:val="24"/>
          <w:szCs w:val="24"/>
        </w:rPr>
        <w:t xml:space="preserve">, deberá atender a la brevedad, lo dispuesto por la </w:t>
      </w:r>
      <w:r w:rsidR="00D73598">
        <w:rPr>
          <w:rFonts w:ascii="Century Gothic" w:hAnsi="Century Gothic" w:cs="Arial"/>
          <w:sz w:val="24"/>
          <w:szCs w:val="24"/>
        </w:rPr>
        <w:t>L</w:t>
      </w:r>
      <w:r w:rsidR="001F0F91">
        <w:rPr>
          <w:rFonts w:ascii="Century Gothic" w:hAnsi="Century Gothic" w:cs="Arial"/>
          <w:sz w:val="24"/>
          <w:szCs w:val="24"/>
        </w:rPr>
        <w:t>ey de</w:t>
      </w:r>
      <w:r w:rsidR="00D73598">
        <w:rPr>
          <w:rFonts w:ascii="Century Gothic" w:hAnsi="Century Gothic" w:cs="Arial"/>
          <w:sz w:val="24"/>
          <w:szCs w:val="24"/>
        </w:rPr>
        <w:t xml:space="preserve"> Disciplina Financiera de las Entidades Federativas y los Municipios, en relación con lo dispuesto por el </w:t>
      </w:r>
      <w:r w:rsidR="00FF613D">
        <w:rPr>
          <w:rFonts w:ascii="Century Gothic" w:hAnsi="Century Gothic" w:cs="Arial"/>
          <w:sz w:val="24"/>
          <w:szCs w:val="24"/>
        </w:rPr>
        <w:t>Capítulo</w:t>
      </w:r>
      <w:r w:rsidR="00D73598">
        <w:rPr>
          <w:rFonts w:ascii="Century Gothic" w:hAnsi="Century Gothic" w:cs="Arial"/>
          <w:sz w:val="24"/>
          <w:szCs w:val="24"/>
        </w:rPr>
        <w:t xml:space="preserve"> II “Del Balance Presupuestario Sostenible y la Responsabilidad Hacendaria de los Municipios”, con las salvedades previstas en el transitorio Decimo Primero y los que apliquen de acuerdo al </w:t>
      </w:r>
      <w:r w:rsidR="00FF613D">
        <w:rPr>
          <w:rFonts w:ascii="Century Gothic" w:hAnsi="Century Gothic" w:cs="Arial"/>
          <w:sz w:val="24"/>
          <w:szCs w:val="24"/>
        </w:rPr>
        <w:t>artículo</w:t>
      </w:r>
      <w:r w:rsidR="00D73598">
        <w:rPr>
          <w:rFonts w:ascii="Century Gothic" w:hAnsi="Century Gothic" w:cs="Arial"/>
          <w:sz w:val="24"/>
          <w:szCs w:val="24"/>
        </w:rPr>
        <w:t xml:space="preserve"> 21 de dicha Ley.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1F0F91" w:rsidRDefault="003A6E25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A7F62">
        <w:rPr>
          <w:rFonts w:ascii="Century Gothic" w:hAnsi="Century Gothic" w:cs="Arial"/>
          <w:b/>
          <w:bCs/>
          <w:sz w:val="28"/>
          <w:szCs w:val="24"/>
        </w:rPr>
        <w:t>ARTÍ</w:t>
      </w:r>
      <w:r w:rsidR="00D045C6" w:rsidRPr="00EA7F62">
        <w:rPr>
          <w:rFonts w:ascii="Century Gothic" w:hAnsi="Century Gothic" w:cs="Arial"/>
          <w:b/>
          <w:bCs/>
          <w:sz w:val="28"/>
          <w:szCs w:val="24"/>
        </w:rPr>
        <w:t xml:space="preserve">CULO CUARTO.- </w:t>
      </w:r>
      <w:r w:rsidR="00D73598" w:rsidRPr="00893CCC">
        <w:rPr>
          <w:rFonts w:ascii="Century Gothic" w:hAnsi="Century Gothic" w:cs="Arial"/>
          <w:sz w:val="24"/>
          <w:szCs w:val="24"/>
        </w:rPr>
        <w:t xml:space="preserve">Los Municipios que cuenten con disponibilidades de recursos estatales destinados a un fin </w:t>
      </w:r>
      <w:r w:rsidR="00FF613D" w:rsidRPr="00893CCC">
        <w:rPr>
          <w:rFonts w:ascii="Century Gothic" w:hAnsi="Century Gothic" w:cs="Arial"/>
          <w:sz w:val="24"/>
          <w:szCs w:val="24"/>
        </w:rPr>
        <w:t>específico</w:t>
      </w:r>
      <w:r w:rsidR="00D73598" w:rsidRPr="00893CCC">
        <w:rPr>
          <w:rFonts w:ascii="Century Gothic" w:hAnsi="Century Gothic" w:cs="Arial"/>
          <w:sz w:val="24"/>
          <w:szCs w:val="24"/>
        </w:rPr>
        <w:t xml:space="preserve"> previstos en el </w:t>
      </w:r>
      <w:r w:rsidR="00FF613D" w:rsidRPr="00893CCC">
        <w:rPr>
          <w:rFonts w:ascii="Century Gothic" w:hAnsi="Century Gothic" w:cs="Arial"/>
          <w:sz w:val="24"/>
          <w:szCs w:val="24"/>
        </w:rPr>
        <w:t>artículo</w:t>
      </w:r>
      <w:r w:rsidR="00893CCC" w:rsidRPr="00893CCC">
        <w:rPr>
          <w:rFonts w:ascii="Century Gothic" w:hAnsi="Century Gothic" w:cs="Arial"/>
          <w:sz w:val="24"/>
          <w:szCs w:val="24"/>
        </w:rPr>
        <w:t xml:space="preserve"> 38 de la Ley de Coordinación Fiscal del Estado de Chihuahua y sus Municipios, correspondientes al ejercicio fiscal 202</w:t>
      </w:r>
      <w:r w:rsidR="00C812D8">
        <w:rPr>
          <w:rFonts w:ascii="Century Gothic" w:hAnsi="Century Gothic" w:cs="Arial"/>
          <w:sz w:val="24"/>
          <w:szCs w:val="24"/>
        </w:rPr>
        <w:t>2</w:t>
      </w:r>
      <w:r w:rsidR="00893CCC" w:rsidRPr="00893CCC">
        <w:rPr>
          <w:rFonts w:ascii="Century Gothic" w:hAnsi="Century Gothic" w:cs="Arial"/>
          <w:sz w:val="24"/>
          <w:szCs w:val="24"/>
        </w:rPr>
        <w:t xml:space="preserve">, que no hayan sido devengados y pagados en términos de las disposiciones jurídicas aplicables, deberán reintegrarlos a la Secretaria de Hacienda del Estado, incluyendo los rendimientos financieros </w:t>
      </w:r>
      <w:r w:rsidR="00893CCC">
        <w:rPr>
          <w:rFonts w:ascii="Century Gothic" w:hAnsi="Century Gothic" w:cs="Arial"/>
          <w:sz w:val="24"/>
          <w:szCs w:val="24"/>
        </w:rPr>
        <w:t xml:space="preserve">generados, a </w:t>
      </w:r>
      <w:r w:rsidR="00FF613D">
        <w:rPr>
          <w:rFonts w:ascii="Century Gothic" w:hAnsi="Century Gothic" w:cs="Arial"/>
          <w:sz w:val="24"/>
          <w:szCs w:val="24"/>
        </w:rPr>
        <w:t>más</w:t>
      </w:r>
      <w:r w:rsidR="00893CCC">
        <w:rPr>
          <w:rFonts w:ascii="Century Gothic" w:hAnsi="Century Gothic" w:cs="Arial"/>
          <w:sz w:val="24"/>
          <w:szCs w:val="24"/>
        </w:rPr>
        <w:t xml:space="preserve"> tardar</w:t>
      </w:r>
      <w:r w:rsidR="00057F37">
        <w:rPr>
          <w:rFonts w:ascii="Century Gothic" w:hAnsi="Century Gothic" w:cs="Arial"/>
          <w:sz w:val="24"/>
          <w:szCs w:val="24"/>
        </w:rPr>
        <w:t xml:space="preserve"> </w:t>
      </w:r>
      <w:r w:rsidR="00C812D8" w:rsidRPr="00C812D8">
        <w:rPr>
          <w:rFonts w:ascii="Century Gothic" w:hAnsi="Century Gothic" w:cs="Arial"/>
          <w:sz w:val="24"/>
          <w:szCs w:val="24"/>
        </w:rPr>
        <w:t>el 15 de enero de 2023.</w:t>
      </w:r>
    </w:p>
    <w:p w:rsidR="009A66FB" w:rsidRDefault="009A66FB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E6953" w:rsidRDefault="002E6953" w:rsidP="00CB6165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Sin perjuicio de lo anterior, las transferencias estatales etiquetadas en términos del párrafo anterior que, al 31 de diciembre del ejercicio fiscal 2022 se hayan comprometido y aquellas devengadas pero que no hayan sido pagadas, deberán cubrir los pagos respectivos a </w:t>
      </w:r>
      <w:r w:rsidR="00FF613D">
        <w:rPr>
          <w:rFonts w:ascii="Century Gothic" w:hAnsi="Century Gothic" w:cs="Arial"/>
          <w:sz w:val="24"/>
          <w:szCs w:val="24"/>
        </w:rPr>
        <w:t>más</w:t>
      </w:r>
      <w:r>
        <w:rPr>
          <w:rFonts w:ascii="Century Gothic" w:hAnsi="Century Gothic" w:cs="Arial"/>
          <w:sz w:val="24"/>
          <w:szCs w:val="24"/>
        </w:rPr>
        <w:t xml:space="preserve"> tardar durante el primer trimestre de 2023; una vez cumplido el plazo referido, los recursos remanentes deberán reintegrarse a la Secreta</w:t>
      </w:r>
      <w:r w:rsidR="008552B4">
        <w:rPr>
          <w:rFonts w:ascii="Century Gothic" w:hAnsi="Century Gothic" w:cs="Arial"/>
          <w:sz w:val="24"/>
          <w:szCs w:val="24"/>
        </w:rPr>
        <w:t>r</w:t>
      </w:r>
      <w:r w:rsidR="008552B4" w:rsidRPr="00893CCC">
        <w:rPr>
          <w:rFonts w:ascii="Century Gothic" w:hAnsi="Century Gothic" w:cs="Arial"/>
          <w:sz w:val="24"/>
          <w:szCs w:val="24"/>
        </w:rPr>
        <w:t>í</w:t>
      </w:r>
      <w:r>
        <w:rPr>
          <w:rFonts w:ascii="Century Gothic" w:hAnsi="Century Gothic" w:cs="Arial"/>
          <w:sz w:val="24"/>
          <w:szCs w:val="24"/>
        </w:rPr>
        <w:t xml:space="preserve">a de Hacienda del Estado, incluyendo los rendimientos financieros generados, a </w:t>
      </w:r>
      <w:r w:rsidR="00FF613D">
        <w:rPr>
          <w:rFonts w:ascii="Century Gothic" w:hAnsi="Century Gothic" w:cs="Arial"/>
          <w:sz w:val="24"/>
          <w:szCs w:val="24"/>
        </w:rPr>
        <w:t>más</w:t>
      </w:r>
      <w:r>
        <w:rPr>
          <w:rFonts w:ascii="Century Gothic" w:hAnsi="Century Gothic" w:cs="Arial"/>
          <w:sz w:val="24"/>
          <w:szCs w:val="24"/>
        </w:rPr>
        <w:t xml:space="preserve"> tardar dentro de 15 </w:t>
      </w:r>
      <w:r w:rsidR="001633C2">
        <w:rPr>
          <w:rFonts w:ascii="Century Gothic" w:hAnsi="Century Gothic" w:cs="Arial"/>
          <w:sz w:val="24"/>
          <w:szCs w:val="24"/>
        </w:rPr>
        <w:t>días</w:t>
      </w:r>
      <w:r>
        <w:rPr>
          <w:rFonts w:ascii="Century Gothic" w:hAnsi="Century Gothic" w:cs="Arial"/>
          <w:sz w:val="24"/>
          <w:szCs w:val="24"/>
        </w:rPr>
        <w:t xml:space="preserve"> naturales siguientes.</w:t>
      </w:r>
    </w:p>
    <w:p w:rsidR="00057F37" w:rsidRDefault="00057F37" w:rsidP="00CB6165">
      <w:pPr>
        <w:spacing w:after="0"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057F37" w:rsidRPr="00095700" w:rsidRDefault="00057F37" w:rsidP="00CB616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095700">
        <w:rPr>
          <w:rFonts w:ascii="Century Gothic" w:hAnsi="Century Gothic"/>
          <w:b/>
          <w:sz w:val="28"/>
          <w:szCs w:val="28"/>
        </w:rPr>
        <w:t>D A D O</w:t>
      </w:r>
      <w:r w:rsidRPr="00095700">
        <w:rPr>
          <w:rFonts w:ascii="Century Gothic" w:hAnsi="Century Gothic"/>
          <w:b/>
          <w:sz w:val="24"/>
          <w:szCs w:val="24"/>
        </w:rPr>
        <w:t xml:space="preserve"> </w:t>
      </w:r>
      <w:r w:rsidRPr="00095700">
        <w:rPr>
          <w:rFonts w:ascii="Century Gothic" w:hAnsi="Century Gothic"/>
          <w:sz w:val="24"/>
          <w:szCs w:val="24"/>
        </w:rPr>
        <w:t xml:space="preserve">en el Salón de Sesiones del Poder Legislativo, en la Ciudad de Chihuahua, </w:t>
      </w:r>
      <w:proofErr w:type="spellStart"/>
      <w:r w:rsidRPr="00095700">
        <w:rPr>
          <w:rFonts w:ascii="Century Gothic" w:hAnsi="Century Gothic"/>
          <w:sz w:val="24"/>
          <w:szCs w:val="24"/>
        </w:rPr>
        <w:t>Chih</w:t>
      </w:r>
      <w:proofErr w:type="spellEnd"/>
      <w:r w:rsidRPr="00095700">
        <w:rPr>
          <w:rFonts w:ascii="Century Gothic" w:hAnsi="Century Gothic"/>
          <w:sz w:val="24"/>
          <w:szCs w:val="24"/>
        </w:rPr>
        <w:t>., a los quince días del mes de diciembre del año dos mil veint</w:t>
      </w:r>
      <w:r>
        <w:rPr>
          <w:rFonts w:ascii="Century Gothic" w:hAnsi="Century Gothic"/>
          <w:sz w:val="24"/>
          <w:szCs w:val="24"/>
        </w:rPr>
        <w:t>iuno</w:t>
      </w:r>
      <w:r w:rsidRPr="00095700">
        <w:rPr>
          <w:rFonts w:ascii="Century Gothic" w:hAnsi="Century Gothic"/>
          <w:sz w:val="24"/>
          <w:szCs w:val="24"/>
        </w:rPr>
        <w:t>.</w:t>
      </w:r>
    </w:p>
    <w:p w:rsidR="00057F37" w:rsidRDefault="00057F37" w:rsidP="00D05BFA">
      <w:pPr>
        <w:spacing w:line="360" w:lineRule="auto"/>
        <w:ind w:left="708" w:hanging="708"/>
        <w:jc w:val="both"/>
        <w:rPr>
          <w:rFonts w:ascii="Century Gothic" w:hAnsi="Century Gothic" w:cs="Arial"/>
          <w:sz w:val="24"/>
          <w:szCs w:val="24"/>
        </w:rPr>
      </w:pPr>
    </w:p>
    <w:p w:rsidR="00D045C6" w:rsidRDefault="00D045C6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45C6" w:rsidRDefault="00D045C6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45C6" w:rsidRDefault="00D045C6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45C6" w:rsidRDefault="00D045C6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45C6" w:rsidRDefault="00D045C6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045C6" w:rsidRDefault="00D045C6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C4EEC" w:rsidRDefault="00DC4EEC" w:rsidP="00057F37">
      <w:pPr>
        <w:pStyle w:val="Ttulo3"/>
        <w:spacing w:line="360" w:lineRule="auto"/>
        <w:ind w:left="284" w:right="284"/>
        <w:jc w:val="center"/>
        <w:rPr>
          <w:rFonts w:ascii="Century Gothic" w:hAnsi="Century Gothic"/>
        </w:rPr>
      </w:pPr>
    </w:p>
    <w:p w:rsidR="00057F37" w:rsidRPr="007B4CCE" w:rsidRDefault="00057F37" w:rsidP="00057F37">
      <w:pPr>
        <w:pStyle w:val="Ttulo3"/>
        <w:spacing w:line="360" w:lineRule="auto"/>
        <w:ind w:left="284" w:right="284"/>
        <w:jc w:val="center"/>
        <w:rPr>
          <w:rFonts w:ascii="Century Gothic" w:hAnsi="Century Gothic"/>
        </w:rPr>
      </w:pPr>
      <w:r w:rsidRPr="007B4CCE">
        <w:rPr>
          <w:rFonts w:ascii="Century Gothic" w:hAnsi="Century Gothic"/>
        </w:rPr>
        <w:t>PRESIDENT</w:t>
      </w:r>
      <w:r>
        <w:rPr>
          <w:rFonts w:ascii="Century Gothic" w:hAnsi="Century Gothic"/>
        </w:rPr>
        <w:t>A</w:t>
      </w:r>
    </w:p>
    <w:p w:rsidR="00057F37" w:rsidRPr="003B5472" w:rsidRDefault="00057F37" w:rsidP="00057F37">
      <w:pPr>
        <w:rPr>
          <w:rFonts w:ascii="Century Gothic" w:hAnsi="Century Gothic"/>
          <w:b/>
        </w:rPr>
      </w:pPr>
    </w:p>
    <w:p w:rsidR="00057F37" w:rsidRDefault="00057F37" w:rsidP="00057F37">
      <w:pPr>
        <w:rPr>
          <w:rFonts w:ascii="Century Gothic" w:hAnsi="Century Gothic"/>
          <w:b/>
        </w:rPr>
      </w:pPr>
    </w:p>
    <w:p w:rsidR="00057F37" w:rsidRPr="003B5472" w:rsidRDefault="00057F37" w:rsidP="00057F37">
      <w:pPr>
        <w:rPr>
          <w:rFonts w:ascii="Century Gothic" w:hAnsi="Century Gothic"/>
          <w:b/>
          <w:sz w:val="24"/>
          <w:szCs w:val="24"/>
        </w:rPr>
      </w:pPr>
    </w:p>
    <w:p w:rsidR="00057F37" w:rsidRPr="007B4CCE" w:rsidRDefault="00057F37" w:rsidP="00057F37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7B4CCE">
        <w:rPr>
          <w:rFonts w:ascii="Century Gothic" w:hAnsi="Century Gothic"/>
          <w:b/>
          <w:sz w:val="26"/>
          <w:szCs w:val="26"/>
        </w:rPr>
        <w:t>DIP</w:t>
      </w:r>
      <w:proofErr w:type="spellEnd"/>
      <w:r w:rsidRPr="007B4CCE">
        <w:rPr>
          <w:rFonts w:ascii="Century Gothic" w:hAnsi="Century Gothic"/>
          <w:b/>
          <w:sz w:val="26"/>
          <w:szCs w:val="26"/>
        </w:rPr>
        <w:t xml:space="preserve">. </w:t>
      </w:r>
      <w:r>
        <w:rPr>
          <w:rFonts w:ascii="Century Gothic" w:hAnsi="Century Gothic"/>
          <w:b/>
          <w:sz w:val="26"/>
          <w:szCs w:val="26"/>
        </w:rPr>
        <w:t xml:space="preserve">GEORGINA ALEJANDRA </w:t>
      </w:r>
      <w:proofErr w:type="spellStart"/>
      <w:r>
        <w:rPr>
          <w:rFonts w:ascii="Century Gothic" w:hAnsi="Century Gothic"/>
          <w:b/>
          <w:sz w:val="26"/>
          <w:szCs w:val="26"/>
        </w:rPr>
        <w:t>BUJANDA</w:t>
      </w:r>
      <w:proofErr w:type="spellEnd"/>
      <w:r>
        <w:rPr>
          <w:rFonts w:ascii="Century Gothic" w:hAnsi="Century Gothic"/>
          <w:b/>
          <w:sz w:val="26"/>
          <w:szCs w:val="26"/>
        </w:rPr>
        <w:t xml:space="preserve"> RÍOS</w:t>
      </w:r>
    </w:p>
    <w:p w:rsidR="00057F37" w:rsidRPr="003B5472" w:rsidRDefault="00057F37" w:rsidP="00057F37">
      <w:pPr>
        <w:rPr>
          <w:rFonts w:ascii="Century Gothic" w:hAnsi="Century Gothic"/>
          <w:b/>
          <w:sz w:val="24"/>
          <w:szCs w:val="24"/>
        </w:rPr>
      </w:pPr>
    </w:p>
    <w:p w:rsidR="00057F37" w:rsidRPr="003B5472" w:rsidRDefault="00057F37" w:rsidP="00057F37">
      <w:pPr>
        <w:rPr>
          <w:rFonts w:ascii="Century Gothic" w:hAnsi="Century Gothic"/>
          <w:b/>
          <w:sz w:val="24"/>
          <w:szCs w:val="24"/>
        </w:rPr>
      </w:pPr>
    </w:p>
    <w:p w:rsidR="00057F37" w:rsidRPr="003B5472" w:rsidRDefault="00057F37" w:rsidP="00057F3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7F37" w:rsidRPr="002A09A0" w:rsidTr="00C83093">
        <w:trPr>
          <w:jc w:val="center"/>
        </w:trPr>
        <w:tc>
          <w:tcPr>
            <w:tcW w:w="4610" w:type="dxa"/>
          </w:tcPr>
          <w:p w:rsidR="00057F37" w:rsidRPr="002A09A0" w:rsidRDefault="00057F37" w:rsidP="00C8309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Pr="002A09A0" w:rsidRDefault="00057F37" w:rsidP="00C8309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7F37" w:rsidRPr="002A09A0" w:rsidRDefault="00057F37" w:rsidP="00C8309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Pr="005C31F0" w:rsidRDefault="00057F37" w:rsidP="00C8309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7F37" w:rsidRPr="00835A33" w:rsidRDefault="00057F37" w:rsidP="00C8309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YESENIA GUADALUPE REYES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CALZADÍAS</w:t>
            </w:r>
            <w:proofErr w:type="spellEnd"/>
          </w:p>
        </w:tc>
      </w:tr>
    </w:tbl>
    <w:p w:rsidR="00057F37" w:rsidRDefault="00057F37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C4EEC" w:rsidRDefault="00DC4EEC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C01113" w:rsidRDefault="00C01113" w:rsidP="00295E10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0290D" w:rsidRPr="00DC4EEC" w:rsidRDefault="00177326" w:rsidP="00177326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DC4EEC">
        <w:rPr>
          <w:rFonts w:ascii="Century Gothic" w:hAnsi="Century Gothic" w:cs="Arial"/>
          <w:b/>
          <w:sz w:val="28"/>
          <w:szCs w:val="28"/>
        </w:rPr>
        <w:lastRenderedPageBreak/>
        <w:t>T A R I F A</w:t>
      </w:r>
    </w:p>
    <w:p w:rsidR="00210EA3" w:rsidRPr="000A1BAA" w:rsidRDefault="0000290D" w:rsidP="00295E10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0A1BAA">
        <w:rPr>
          <w:rFonts w:ascii="Century Gothic" w:hAnsi="Century Gothic" w:cs="Arial"/>
          <w:sz w:val="24"/>
          <w:szCs w:val="24"/>
        </w:rPr>
        <w:t xml:space="preserve">De acuerdo a lo dispuesto por el artículo 169 del Código Municipal para el Estado de Chihuahua, previo estudio del proyecto de la Ley de Ingresos presentado por </w:t>
      </w:r>
      <w:r w:rsidR="008B263C">
        <w:rPr>
          <w:rFonts w:ascii="Century Gothic" w:hAnsi="Century Gothic" w:cs="Arial"/>
          <w:sz w:val="24"/>
          <w:szCs w:val="24"/>
        </w:rPr>
        <w:t xml:space="preserve">el H. Ayuntamiento de </w:t>
      </w:r>
      <w:proofErr w:type="spellStart"/>
      <w:r w:rsidR="001633C2">
        <w:rPr>
          <w:rFonts w:ascii="Century Gothic" w:hAnsi="Century Gothic" w:cs="Arial"/>
          <w:sz w:val="24"/>
          <w:szCs w:val="24"/>
        </w:rPr>
        <w:t>Balleza</w:t>
      </w:r>
      <w:proofErr w:type="spellEnd"/>
      <w:r w:rsidRPr="000A1BAA">
        <w:rPr>
          <w:rFonts w:ascii="Century Gothic" w:hAnsi="Century Gothic" w:cs="Arial"/>
          <w:sz w:val="24"/>
          <w:szCs w:val="24"/>
        </w:rPr>
        <w:t>, y conforme al artículo 10-A de la Ley de Coordinación Fiscal Federal, y los artículos 2 y 4 de la Ley de Coordinación en Materia de Derechos con la Federación, se expide la presente Tarifa que, salvo en los casos que se señale de otra forma, se expresa en pesos, y que regirá durante el ejercicio fiscal de 20</w:t>
      </w:r>
      <w:r w:rsidR="00177326">
        <w:rPr>
          <w:rFonts w:ascii="Century Gothic" w:hAnsi="Century Gothic" w:cs="Arial"/>
          <w:sz w:val="24"/>
          <w:szCs w:val="24"/>
        </w:rPr>
        <w:t>2</w:t>
      </w:r>
      <w:r w:rsidR="001633C2">
        <w:rPr>
          <w:rFonts w:ascii="Century Gothic" w:hAnsi="Century Gothic" w:cs="Arial"/>
          <w:sz w:val="24"/>
          <w:szCs w:val="24"/>
        </w:rPr>
        <w:t>2</w:t>
      </w:r>
      <w:r w:rsidRPr="000A1BAA">
        <w:rPr>
          <w:rFonts w:ascii="Century Gothic" w:hAnsi="Century Gothic" w:cs="Arial"/>
          <w:sz w:val="24"/>
          <w:szCs w:val="24"/>
        </w:rPr>
        <w:t xml:space="preserve">, para el cobro de derechos que deberá percibir la Hacienda Pública Municipal de </w:t>
      </w:r>
      <w:proofErr w:type="spellStart"/>
      <w:r w:rsidR="001633C2">
        <w:rPr>
          <w:rFonts w:ascii="Century Gothic" w:hAnsi="Century Gothic" w:cs="Arial"/>
          <w:b/>
          <w:sz w:val="24"/>
          <w:szCs w:val="24"/>
        </w:rPr>
        <w:t>Balleza</w:t>
      </w:r>
      <w:proofErr w:type="spellEnd"/>
      <w:r w:rsidRPr="000A1BAA">
        <w:rPr>
          <w:rFonts w:ascii="Century Gothic" w:hAnsi="Century Gothic" w:cs="Arial"/>
          <w:b/>
          <w:sz w:val="24"/>
          <w:szCs w:val="24"/>
        </w:rPr>
        <w:t>.</w:t>
      </w:r>
    </w:p>
    <w:tbl>
      <w:tblPr>
        <w:tblW w:w="8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1513"/>
      </w:tblGrid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0A1BA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 xml:space="preserve">II.- DERECHOS 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A1BA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II.1</w:t>
            </w:r>
            <w:proofErr w:type="spellEnd"/>
            <w:r w:rsidRPr="000A1BA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 xml:space="preserve">.- Alineamiento de Predios y asignación de número oficial: 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1.- Alineamiento de predio 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0A1BAA" w:rsidRDefault="001633C2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a) Habitacional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BF20B9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="003E328C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</w:t>
            </w:r>
            <w:r w:rsidR="001633C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</w:t>
            </w:r>
            <w:r w:rsidR="003E328C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1633C2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</w:tcPr>
          <w:p w:rsidR="001633C2" w:rsidRDefault="002F77B2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b) Comercial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1633C2" w:rsidRDefault="002F77B2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$100.00</w:t>
            </w:r>
          </w:p>
        </w:tc>
      </w:tr>
      <w:tr w:rsidR="002F77B2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</w:tcPr>
          <w:p w:rsidR="002F77B2" w:rsidRPr="00711A05" w:rsidRDefault="002F77B2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</w:t>
            </w:r>
            <w:r w:rsidR="009E1DDC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Asignacion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FF613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oficial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2F77B2" w:rsidRPr="000A1BAA" w:rsidRDefault="002F77B2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F77B2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</w:tcPr>
          <w:p w:rsidR="002F77B2" w:rsidRDefault="002F77B2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a) Habitacional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2F77B2" w:rsidRPr="000A1BAA" w:rsidRDefault="002F77B2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2F77B2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</w:tcPr>
          <w:p w:rsidR="002F77B2" w:rsidRDefault="002F77B2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b) Comercial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2F77B2" w:rsidRPr="000A1BAA" w:rsidRDefault="002F77B2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</w:p>
        </w:tc>
      </w:tr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2F77B2" w:rsidRDefault="002F77B2" w:rsidP="00295E10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F77B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II.2</w:t>
            </w:r>
            <w:proofErr w:type="spellEnd"/>
            <w:r w:rsidRPr="002F77B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. Licencias</w:t>
            </w:r>
            <w:r w:rsidR="00711A05" w:rsidRPr="002F77B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 Construcción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AF05BD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0A1BAA" w:rsidRDefault="00711A05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</w:t>
            </w:r>
            <w:r w:rsidR="002F77B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). -</w:t>
            </w:r>
            <w:r w:rsidR="00AF05BD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Vivienda de hasta 130 metros cuadrados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BF20B9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="002F77B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250</w:t>
            </w:r>
            <w:r w:rsidR="003E328C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AF05BD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AF05BD" w:rsidRPr="000A1BAA" w:rsidRDefault="00711A05" w:rsidP="00295E10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b).-</w:t>
            </w:r>
            <w:r w:rsidR="00AF05BD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Vivienda de más de 130 metros cuadrados 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F05BD" w:rsidRPr="000A1BAA" w:rsidRDefault="00BF20B9" w:rsidP="00295E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="002F77B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400</w:t>
            </w:r>
            <w:r w:rsidR="003E328C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D81971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CB4219" w:rsidRDefault="007C3C77" w:rsidP="00AE1EBE">
            <w:pPr>
              <w:spacing w:after="0" w:line="312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lastRenderedPageBreak/>
              <w:t>c</w:t>
            </w:r>
            <w:r w:rsidRPr="00CB421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)</w:t>
            </w:r>
            <w:proofErr w:type="gramEnd"/>
            <w:r w:rsidRPr="00CB421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 -</w:t>
            </w:r>
            <w:r w:rsidR="00D81971" w:rsidRPr="00CB421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Apertura de zanjas en cualquier parte del área </w:t>
            </w:r>
            <w:r w:rsidR="009A3BBD" w:rsidRPr="00CB421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municipal</w:t>
            </w:r>
            <w:r w:rsidR="009A3BB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 La reparación será por cuenta del interesado, quien deberá garantizar la calidad de los trabajos o pagar su costo en el momento de expedir la autorización correspondiente: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0A1BAA" w:rsidRDefault="00D81971" w:rsidP="00AE1EBE">
            <w:pPr>
              <w:spacing w:after="0" w:line="312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81971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CB4219" w:rsidRDefault="009A3BBD" w:rsidP="00D81971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c.1.Asfalto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m2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0A1BAA" w:rsidRDefault="000B4B0F" w:rsidP="00D81971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  <w:r w:rsidR="00D81971"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81971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0A1BAA" w:rsidRDefault="009A3BBD" w:rsidP="00D81971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c.2.Concreto</w:t>
            </w:r>
            <w:proofErr w:type="spellEnd"/>
            <w:r w:rsidR="00022C6F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Hidráulico </w:t>
            </w:r>
            <w:proofErr w:type="spellStart"/>
            <w:r w:rsidR="00022C6F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m2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0A1BAA" w:rsidRDefault="00D81971" w:rsidP="00D81971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 </w:t>
            </w:r>
            <w:r w:rsid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="000B4B0F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250.00</w:t>
            </w:r>
          </w:p>
        </w:tc>
      </w:tr>
      <w:tr w:rsidR="00022C6F" w:rsidRPr="000A1BAA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</w:tcPr>
          <w:p w:rsidR="00022C6F" w:rsidRPr="000B4B0F" w:rsidRDefault="00022C6F" w:rsidP="00AE1EBE">
            <w:pPr>
              <w:pStyle w:val="Prrafodelista"/>
              <w:numPr>
                <w:ilvl w:val="0"/>
                <w:numId w:val="14"/>
              </w:numPr>
              <w:spacing w:after="0" w:line="312" w:lineRule="auto"/>
              <w:ind w:left="87" w:firstLine="0"/>
              <w:contextualSpacing w:val="0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0B4B0F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Apertura de banquetas o pavimento para la colocación de postes. La reparación será por cuenta del interesado, quien deberá garantizar la calidad de los trabajos o pagar su costo en el momento de expedir la autorización correspondiente.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022C6F" w:rsidRPr="000A1BAA" w:rsidRDefault="000B4B0F" w:rsidP="00AE1EBE">
            <w:pPr>
              <w:spacing w:after="0" w:line="312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Reparación </w:t>
            </w:r>
          </w:p>
        </w:tc>
      </w:tr>
      <w:tr w:rsidR="00022C6F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</w:tcPr>
          <w:p w:rsidR="00022C6F" w:rsidRPr="00FB77DD" w:rsidRDefault="000B4B0F" w:rsidP="000B4B0F">
            <w:pPr>
              <w:pStyle w:val="Prrafodelista"/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e) Por Permiso de Uso de Suelo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022C6F" w:rsidRPr="00FB77DD" w:rsidRDefault="000B4B0F" w:rsidP="00D81971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$5.00</w:t>
            </w: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D81971" w:rsidP="00D81971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B77DD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II.3</w:t>
            </w:r>
            <w:proofErr w:type="spellEnd"/>
            <w:r w:rsidRPr="00FB77DD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.- Servicios Generales en los Rastros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D81971" w:rsidP="00D81971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0B4B0F" w:rsidP="00057F37">
            <w:pPr>
              <w:spacing w:after="0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1.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Derecho por degüello por cabeza (porcinos, caprinos, ovejas)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2072BF" w:rsidP="00057F37">
            <w:pPr>
              <w:spacing w:after="0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$5.00</w:t>
            </w: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F24309" w:rsidP="00D81971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Derecho por degüello por cabeza(bovino)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F24309" w:rsidP="004B2D9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$25.00</w:t>
            </w:r>
          </w:p>
        </w:tc>
      </w:tr>
      <w:tr w:rsidR="003C695B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3C695B" w:rsidRPr="00FB77DD" w:rsidRDefault="00F24309" w:rsidP="003C695B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3. Derecho por degüello por cabeza(terneras)</w:t>
            </w:r>
          </w:p>
        </w:tc>
        <w:tc>
          <w:tcPr>
            <w:tcW w:w="1513" w:type="dxa"/>
            <w:shd w:val="clear" w:color="auto" w:fill="auto"/>
            <w:noWrap/>
          </w:tcPr>
          <w:p w:rsidR="003C695B" w:rsidRPr="00FB77DD" w:rsidRDefault="00F24309" w:rsidP="004B2D96">
            <w:pPr>
              <w:jc w:val="center"/>
              <w:rPr>
                <w:rFonts w:ascii="Century Gothic" w:hAnsi="Century Gothic"/>
              </w:rPr>
            </w:pPr>
            <w:r w:rsidRPr="00FB77DD">
              <w:rPr>
                <w:rFonts w:ascii="Century Gothic" w:hAnsi="Century Gothic"/>
              </w:rPr>
              <w:t>$25.00</w:t>
            </w:r>
          </w:p>
        </w:tc>
      </w:tr>
      <w:tr w:rsidR="003C695B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3C695B" w:rsidRPr="00FB77DD" w:rsidRDefault="00F24309" w:rsidP="003C695B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4.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Derec</w:t>
            </w:r>
            <w:r w:rsidR="009E1DDC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h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 por degüello por cabeza(avestruces)</w:t>
            </w:r>
          </w:p>
        </w:tc>
        <w:tc>
          <w:tcPr>
            <w:tcW w:w="1513" w:type="dxa"/>
            <w:shd w:val="clear" w:color="auto" w:fill="auto"/>
            <w:noWrap/>
          </w:tcPr>
          <w:p w:rsidR="003C695B" w:rsidRPr="00FB77DD" w:rsidRDefault="00F24309" w:rsidP="004B2D96">
            <w:pPr>
              <w:jc w:val="center"/>
              <w:rPr>
                <w:rFonts w:ascii="Century Gothic" w:hAnsi="Century Gothic"/>
              </w:rPr>
            </w:pPr>
            <w:r w:rsidRPr="00FB77DD">
              <w:rPr>
                <w:rFonts w:ascii="Century Gothic" w:hAnsi="Century Gothic"/>
              </w:rPr>
              <w:t>$200.00</w:t>
            </w: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057F37" w:rsidP="00057F37">
            <w:pPr>
              <w:spacing w:after="0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81971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Inspección, sello y resello de carne de ganado sacrificado 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por cabeza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710B4D" w:rsidP="00057F37">
            <w:pPr>
              <w:spacing w:after="0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057F37" w:rsidP="00057F37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6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Revisi</w:t>
            </w:r>
            <w:r w:rsidR="00BF207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ó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 y</w:t>
            </w:r>
            <w:r w:rsid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Legalización de</w:t>
            </w:r>
            <w:r w:rsidR="00D81971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facturas, marcas, fierros y señales para la expedición de pases de ganado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vacuno destinado a </w:t>
            </w:r>
            <w:r w:rsidR="002B5485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sacrificio por</w:t>
            </w:r>
            <w:r w:rsidR="00D81971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cabeza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710B4D" w:rsidP="00D81971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Exento</w:t>
            </w: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057F37" w:rsidP="00D81971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lastRenderedPageBreak/>
              <w:t>7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 Revisión y Legalización de facturas, marcas, fierros y señales para la expedición de pases de ganado vacuno destinado a repasto, por cabeza dentro del municipio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710B4D" w:rsidP="003C695B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Exento</w:t>
            </w:r>
          </w:p>
        </w:tc>
      </w:tr>
      <w:tr w:rsidR="00D81971" w:rsidRPr="00FB77DD" w:rsidTr="00D045C6">
        <w:trPr>
          <w:trHeight w:val="298"/>
        </w:trPr>
        <w:tc>
          <w:tcPr>
            <w:tcW w:w="7427" w:type="dxa"/>
            <w:shd w:val="clear" w:color="auto" w:fill="auto"/>
            <w:noWrap/>
            <w:vAlign w:val="bottom"/>
            <w:hideMark/>
          </w:tcPr>
          <w:p w:rsidR="00D81971" w:rsidRPr="00FB77DD" w:rsidRDefault="00057F37" w:rsidP="00057F37">
            <w:pPr>
              <w:spacing w:before="240"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8</w:t>
            </w:r>
            <w:r w:rsidR="002D7507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 Expedición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de pase para movilización de Ganado </w:t>
            </w:r>
            <w:r w:rsidR="00BC510F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menor (</w:t>
            </w:r>
            <w:r w:rsidR="00710B4D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Porcino, Caprino y Ovejas) a repasto, dentro del municipio.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D81971" w:rsidRPr="00FB77DD" w:rsidRDefault="00BC510F" w:rsidP="00057F37">
            <w:pPr>
              <w:spacing w:before="240"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Exento</w:t>
            </w:r>
          </w:p>
        </w:tc>
      </w:tr>
    </w:tbl>
    <w:tbl>
      <w:tblPr>
        <w:tblpPr w:leftFromText="141" w:rightFromText="141" w:vertAnchor="text" w:horzAnchor="margin" w:tblpX="70" w:tblpY="428"/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3754"/>
        <w:gridCol w:w="1470"/>
      </w:tblGrid>
      <w:tr w:rsidR="00BC510F" w:rsidRPr="00FB77DD" w:rsidTr="00D045C6">
        <w:trPr>
          <w:trHeight w:val="300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0F" w:rsidRPr="00FB77DD" w:rsidRDefault="00057F37" w:rsidP="00D045C6">
            <w:pPr>
              <w:spacing w:before="240" w:after="0" w:line="360" w:lineRule="auto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9</w:t>
            </w:r>
            <w:r w:rsidR="002D7507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 Expedición</w:t>
            </w:r>
            <w:r w:rsidR="00BC510F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de pase para movilización de Ganado menor (Porcino, Caprino y Ovejas) a repasto, dentro del municipio.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0F" w:rsidRPr="00FB77DD" w:rsidRDefault="00BC510F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Exento</w:t>
            </w:r>
          </w:p>
        </w:tc>
      </w:tr>
      <w:tr w:rsidR="00E12B0B" w:rsidRPr="00FB77DD" w:rsidTr="00D045C6">
        <w:trPr>
          <w:trHeight w:val="300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B0B" w:rsidRPr="00FB77DD" w:rsidRDefault="00BC510F" w:rsidP="00D045C6">
            <w:pPr>
              <w:spacing w:before="240"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E1DDC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Expedición de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pase para traslado de carne seca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B0B" w:rsidRPr="00FB77DD" w:rsidRDefault="00BC510F" w:rsidP="00D045C6">
            <w:pPr>
              <w:spacing w:before="240"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$20.00</w:t>
            </w:r>
          </w:p>
        </w:tc>
      </w:tr>
      <w:tr w:rsidR="00E12B0B" w:rsidRPr="00F14E82" w:rsidTr="00D045C6">
        <w:trPr>
          <w:trHeight w:val="300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B0B" w:rsidRPr="00FB77DD" w:rsidRDefault="00BC510F" w:rsidP="00D045C6">
            <w:pPr>
              <w:spacing w:before="240"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</w:t>
            </w:r>
            <w:r w:rsidR="009E1DDC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ó</w:t>
            </w: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 de pase para movilización de pieles (cuero) por pieza</w:t>
            </w:r>
            <w:r w:rsidR="009E1DDC"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B0B" w:rsidRPr="00FB77DD" w:rsidRDefault="00BC510F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B77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$5.00</w:t>
            </w:r>
          </w:p>
        </w:tc>
      </w:tr>
      <w:tr w:rsidR="00EF39CF" w:rsidRPr="00F14E82" w:rsidTr="00D045C6">
        <w:trPr>
          <w:trHeight w:val="300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6F" w:rsidRPr="00F14E82" w:rsidRDefault="00EF39CF" w:rsidP="00D045C6">
            <w:pPr>
              <w:spacing w:after="0" w:line="360" w:lineRule="auto"/>
              <w:ind w:right="260"/>
              <w:jc w:val="both"/>
              <w:rPr>
                <w:rFonts w:ascii="Century Gothic" w:eastAsia="Calibri" w:hAnsi="Century Gothic" w:cs="Arial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</w:t>
            </w: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 w:rsidR="00057F3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14E82" w:rsidRPr="00F14E82">
              <w:rPr>
                <w:rFonts w:ascii="Century Gothic" w:eastAsia="Calibri" w:hAnsi="Century Gothic" w:cs="Arial"/>
                <w:sz w:val="24"/>
                <w:szCs w:val="24"/>
              </w:rPr>
              <w:t>De conformidad con el artículo 83</w:t>
            </w:r>
            <w:r w:rsidR="00F14E82" w:rsidRPr="00F14E82">
              <w:rPr>
                <w:rFonts w:ascii="Century Gothic" w:eastAsia="Calibri" w:hAnsi="Century Gothic" w:cs="Arial"/>
                <w:bCs/>
                <w:sz w:val="24"/>
                <w:szCs w:val="24"/>
              </w:rPr>
              <w:t xml:space="preserve"> de la </w:t>
            </w:r>
            <w:r w:rsidR="00F14E82" w:rsidRPr="00F14E82">
              <w:rPr>
                <w:rFonts w:ascii="Century Gothic" w:eastAsia="Calibri" w:hAnsi="Century Gothic" w:cs="Arial"/>
                <w:bCs/>
                <w:snapToGrid w:val="0"/>
                <w:sz w:val="24"/>
                <w:szCs w:val="24"/>
              </w:rPr>
              <w:t>Ley de Ganadería del Estado de Chihuahua,</w:t>
            </w:r>
            <w:r w:rsidR="00057F37">
              <w:rPr>
                <w:rFonts w:ascii="Century Gothic" w:eastAsia="Calibri" w:hAnsi="Century Gothic" w:cs="Arial"/>
                <w:bCs/>
                <w:snapToGrid w:val="0"/>
                <w:sz w:val="24"/>
                <w:szCs w:val="24"/>
              </w:rPr>
              <w:t xml:space="preserve"> </w:t>
            </w:r>
            <w:r w:rsidR="00F14E82" w:rsidRPr="00F14E82">
              <w:rPr>
                <w:rFonts w:ascii="Century Gothic" w:eastAsia="Calibri" w:hAnsi="Century Gothic" w:cs="Arial"/>
                <w:sz w:val="24"/>
                <w:szCs w:val="24"/>
              </w:rPr>
              <w:t>el pase de ganado tendrá la misma tarifa en todo el territorio estatal, sin perjuicio de que la autoridad expedidora exente del pago, y será la siguiente: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9CF" w:rsidRPr="00F14E82" w:rsidRDefault="00EF39CF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  <w:p w:rsidR="00D045C6" w:rsidRPr="00F14E82" w:rsidRDefault="00D045C6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NUMERO DE CABEZAS</w:t>
            </w:r>
          </w:p>
          <w:p w:rsidR="00D045C6" w:rsidRPr="00F14E82" w:rsidRDefault="00D045C6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IMPORTE POR PASE</w:t>
            </w:r>
          </w:p>
        </w:tc>
      </w:tr>
      <w:tr w:rsidR="009A23D8" w:rsidRPr="00F14E82" w:rsidTr="00D045C6">
        <w:trPr>
          <w:trHeight w:val="300"/>
        </w:trPr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GANADO MAYOR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Pastoreo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1ª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11ª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51ª100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Movilización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 a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Sacrificio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 al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Exportación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 a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2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2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before="240"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GANADO MENOR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before="240"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Cría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1 </w:t>
            </w:r>
            <w:proofErr w:type="spellStart"/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a10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Movilización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 a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   $100.00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Sacrificio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 a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</w:p>
        </w:tc>
      </w:tr>
      <w:tr w:rsidR="00F14E82" w:rsidRPr="00057F37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E82" w:rsidRPr="00057F37" w:rsidRDefault="00F14E82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E82" w:rsidRPr="00057F37" w:rsidRDefault="00F14E82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24"/>
                <w:lang w:eastAsia="es-MX"/>
              </w:rPr>
            </w:pP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Exportación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 a 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11 a 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$80.00</w:t>
            </w:r>
          </w:p>
        </w:tc>
      </w:tr>
      <w:tr w:rsidR="009A23D8" w:rsidRPr="00F14E82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51 a 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$120.00</w:t>
            </w:r>
          </w:p>
        </w:tc>
      </w:tr>
      <w:tr w:rsidR="009A23D8" w:rsidRPr="000A1BAA" w:rsidTr="00D045C6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3D8" w:rsidRPr="00F14E82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101 en adelante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F14E82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14E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$200.00</w:t>
            </w:r>
          </w:p>
        </w:tc>
      </w:tr>
      <w:tr w:rsidR="000C5C9E" w:rsidRPr="000A1BAA" w:rsidTr="00D045C6">
        <w:trPr>
          <w:trHeight w:val="303"/>
        </w:trPr>
        <w:tc>
          <w:tcPr>
            <w:tcW w:w="8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C9E" w:rsidRPr="000A1BAA" w:rsidRDefault="00AF590B" w:rsidP="00D045C6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>13</w:t>
            </w:r>
            <w:r w:rsidR="000C5C9E" w:rsidRPr="000C5C9E"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>.- Servicios no especificados; las cuotas para los demás servicios que se presten en los rastros, no especificados en la presente fracción, serán fijados por el H. Ayuntamiento, tomando en consideración su costo.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A74A13" w:rsidRDefault="009A23D8" w:rsidP="00D045C6">
            <w:pPr>
              <w:spacing w:before="240"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4A13">
              <w:rPr>
                <w:rFonts w:ascii="Century Gothic" w:hAnsi="Century Gothic" w:cs="Arial"/>
                <w:b/>
                <w:sz w:val="24"/>
                <w:szCs w:val="24"/>
              </w:rPr>
              <w:t>II.4</w:t>
            </w:r>
            <w:proofErr w:type="spellEnd"/>
            <w:r w:rsidRPr="00A74A13">
              <w:rPr>
                <w:rFonts w:ascii="Century Gothic" w:hAnsi="Century Gothic" w:cs="Arial"/>
                <w:b/>
                <w:sz w:val="24"/>
                <w:szCs w:val="24"/>
              </w:rPr>
              <w:t>.- Legalización de firmas, certificación y expedición de documentos municipales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0A1BAA" w:rsidRDefault="009A23D8" w:rsidP="00D045C6">
            <w:pPr>
              <w:spacing w:before="240"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0A1BAA" w:rsidRDefault="009A23D8" w:rsidP="00D045C6">
            <w:pPr>
              <w:spacing w:before="240"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lastRenderedPageBreak/>
              <w:t>1. - Tesorería y Catastro: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0A1BAA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0A1BAA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a) Certificación de documentos catastrales (avalúos)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80.00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b) Certificación de valores catastrales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60.00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5B3E05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c)</w:t>
            </w:r>
            <w:r w:rsidR="0001610F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5B3E05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Expedición de constancia de no Adeudo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5B3E05" w:rsidRDefault="009A23D8" w:rsidP="00D045C6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ind w:left="284" w:hanging="284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5B3E05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Expedición de carta de posesión y clave catastral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Default="0001610F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e) </w:t>
            </w:r>
            <w:r w:rsidR="009A23D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Expedición de Certificados de pruebas de estabilidad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01610F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f) </w:t>
            </w:r>
            <w:r w:rsidR="009A23D8"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Expedición de Constancias de factibilidad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g) Licencia de uso de suelo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h) Expedición de imágenes </w:t>
            </w:r>
            <w:r w:rsidR="00AF590B"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Aér</w:t>
            </w:r>
            <w:r w:rsidR="00AF590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</w:t>
            </w:r>
            <w:r w:rsidR="00AF590B"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</w:t>
            </w: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fotogramétricas o satelitales por hectárea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$168.73</w:t>
            </w:r>
          </w:p>
        </w:tc>
      </w:tr>
      <w:tr w:rsidR="009A23D8" w:rsidRPr="000A1BAA" w:rsidTr="00D045C6">
        <w:trPr>
          <w:trHeight w:val="546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pStyle w:val="Prrafodelista"/>
              <w:numPr>
                <w:ilvl w:val="0"/>
                <w:numId w:val="16"/>
              </w:numPr>
              <w:spacing w:after="0" w:line="360" w:lineRule="auto"/>
              <w:ind w:left="284" w:hanging="283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Expedición de Cartografía Urbana y Rústica por hectárea.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$168.73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j) Expedición de planos catastrales, por predio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$168.73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k) Expedición de copia de planos catastrales históricos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l) Expedición de cédula de valuación catastral por predio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$168.73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m) Expedición de copia del recibo predial por predio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                                  2. – Secretaría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0A1BAA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0A1BA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1..-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Legalización de Firmas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Exento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2.- Carta Poder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3.- Constancia de Productor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4.- Constancias de Residencia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5.-Constancias diversas, diferentes a las cuatro anteriores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lastRenderedPageBreak/>
              <w:t>6.-Costo de información en CD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7.-Elaboració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contratos c/u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100.00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8.-Copia simple de documento al público por hoja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9.-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C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opia certificada de documentos al p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ú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blico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1 a 20 hojas (por hoja)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21 a 50 hojas (por hoja)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51 hojas en adelante (por hoja)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A76A57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A76A5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</w:t>
            </w:r>
            <w:r w:rsidR="009A23D8" w:rsidRPr="00A76A5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). - Seguridad Pública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1.-Constancia de no antecedentes Policiacos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2.-Permisos Provisionales para circulación de vehículos sin placas hasta por 15 días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C01113"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Examen</w:t>
            </w: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para prueba de manejo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C01113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C0111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4.-Constancia de extravío de placas de vehículos para circular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$40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5.-P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ermisos para baile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6.-V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igilancia en eventos y espectáculos por cada elemento en la cabecera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200.00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7.-Vigilancia en eventos y espectáculos por cada elemento en comunidades por cada elemento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8.-Constancia y certificaciones diversas, diferentes a las anteriores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D045C6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4</w:t>
            </w:r>
            <w:r w:rsidR="009A23D8"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). - Transparencia y Acceso a la información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A76A57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lastRenderedPageBreak/>
              <w:t>1.- Información entregada en CD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2.-C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opia fotostática simple cada hoja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3.- Copia certificada tamaño carta u oficio cada una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F20B9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II.5</w:t>
            </w:r>
            <w:proofErr w:type="spellEnd"/>
            <w:r w:rsidRPr="00BF20B9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 xml:space="preserve">.- Cementerios municipales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A76A57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  <w:r w:rsidRPr="00A76A57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  <w:t>Derecho a fosa a perpetuidad comunidades urbanas y suburbanas. Quedan exentos de este pago los panteones rurales.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</w:tr>
      <w:tr w:rsidR="009A23D8" w:rsidRPr="00BF20B9" w:rsidTr="00D045C6">
        <w:trPr>
          <w:trHeight w:val="303"/>
        </w:trPr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BF20B9">
              <w:rPr>
                <w:rFonts w:ascii="Century Gothic" w:hAnsi="Century Gothic" w:cs="Arial"/>
                <w:b/>
                <w:sz w:val="24"/>
                <w:szCs w:val="24"/>
              </w:rPr>
              <w:t>II.6</w:t>
            </w:r>
            <w:proofErr w:type="spellEnd"/>
            <w:r w:rsidRPr="00BF20B9">
              <w:rPr>
                <w:rFonts w:ascii="Century Gothic" w:hAnsi="Century Gothic" w:cs="Arial"/>
                <w:b/>
                <w:sz w:val="24"/>
                <w:szCs w:val="24"/>
              </w:rPr>
              <w:t>.- Ocupación de la vía pública para estacionamiento de</w:t>
            </w:r>
          </w:p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hAnsi="Century Gothic" w:cs="Arial"/>
                <w:b/>
                <w:sz w:val="24"/>
                <w:szCs w:val="24"/>
              </w:rPr>
              <w:t>vehículos y vendedores ambulantes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1.- Ambulantes residentes mensualmente o fracción de mes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2.-A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mbulantes con puestos semifijos, mensualmente o fracción de mes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</w:t>
            </w:r>
            <w:r w:rsidR="00926A6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3.-Ambulantes foráneos con puestos fijos mensualmente o fracción de mes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4.- Permiso para instalación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 un circo hasta por 7 días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$900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5.- Puestos fijos o semifijos locales por mes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F20B9">
              <w:rPr>
                <w:rFonts w:ascii="Century Gothic" w:hAnsi="Century Gothic" w:cs="Arial"/>
                <w:b/>
                <w:sz w:val="24"/>
                <w:szCs w:val="24"/>
              </w:rPr>
              <w:t>II.7</w:t>
            </w:r>
            <w:proofErr w:type="spellEnd"/>
            <w:r w:rsidRPr="00BF20B9">
              <w:rPr>
                <w:rFonts w:ascii="Century Gothic" w:hAnsi="Century Gothic" w:cs="Arial"/>
                <w:b/>
                <w:sz w:val="24"/>
                <w:szCs w:val="24"/>
              </w:rPr>
              <w:t>.- Fijación de anuncios y propaganda comercial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1.- Anuncios fijos menores de 4 metros cuadrados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300.00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2.- Otras como mantas en la vía pública máximo un mes por unidad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70.00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before="240"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F20B9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II.8</w:t>
            </w:r>
            <w:proofErr w:type="spellEnd"/>
            <w:r w:rsidRPr="00BF20B9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.- Por los servicios públicos siguientes: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before="240"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1E1251" w:rsidRDefault="009A23D8" w:rsidP="00D045C6">
            <w:pPr>
              <w:spacing w:before="240"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002918">
              <w:rPr>
                <w:rFonts w:ascii="Century Gothic" w:hAnsi="Century Gothic" w:cs="Arial"/>
                <w:sz w:val="24"/>
                <w:szCs w:val="24"/>
              </w:rPr>
              <w:lastRenderedPageBreak/>
              <w:t>1.- Alumbrado público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1E1251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1E1251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A76A5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 </w:t>
            </w:r>
            <w:r w:rsidRPr="00002918">
              <w:rPr>
                <w:rFonts w:ascii="Century Gothic" w:hAnsi="Century Gothic" w:cs="Arial"/>
                <w:sz w:val="24"/>
                <w:szCs w:val="24"/>
              </w:rPr>
              <w:t>El Municipio percibirá ingresos mensual o bimestralmente por el Derecho de Alumbrado Público (</w:t>
            </w:r>
            <w:proofErr w:type="spellStart"/>
            <w:r w:rsidRPr="00002918">
              <w:rPr>
                <w:rFonts w:ascii="Century Gothic" w:hAnsi="Century Gothic" w:cs="Arial"/>
                <w:sz w:val="24"/>
                <w:szCs w:val="24"/>
              </w:rPr>
              <w:t>DAP</w:t>
            </w:r>
            <w:proofErr w:type="spellEnd"/>
            <w:r w:rsidRPr="00002918">
              <w:rPr>
                <w:rFonts w:ascii="Century Gothic" w:hAnsi="Century Gothic" w:cs="Arial"/>
                <w:sz w:val="24"/>
                <w:szCs w:val="24"/>
              </w:rPr>
              <w:t>), en los términos de los artículos 175 y 176 del Código Municipal para el Estado de Chihuahua.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1E1251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8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BE" w:rsidRPr="00AE1EBE" w:rsidRDefault="00AE1EBE" w:rsidP="00D045C6">
            <w:pPr>
              <w:spacing w:after="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9A23D8" w:rsidRPr="001E1251" w:rsidRDefault="00D045C6" w:rsidP="00D045C6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Los c</w:t>
            </w:r>
            <w:r w:rsidR="009A23D8" w:rsidRPr="00002918">
              <w:rPr>
                <w:rFonts w:ascii="Century Gothic" w:hAnsi="Century Gothic" w:cs="Arial"/>
                <w:sz w:val="24"/>
                <w:szCs w:val="24"/>
              </w:rPr>
              <w:t xml:space="preserve">ontribuyentes que son usuarios de la Comisión Federal de Electricidad, se </w:t>
            </w:r>
            <w:r w:rsidR="00C56941" w:rsidRPr="00002918">
              <w:rPr>
                <w:rFonts w:ascii="Century Gothic" w:hAnsi="Century Gothic" w:cs="Arial"/>
                <w:sz w:val="24"/>
                <w:szCs w:val="24"/>
              </w:rPr>
              <w:t>pagará</w:t>
            </w:r>
            <w:r w:rsidR="009A23D8" w:rsidRPr="00002918">
              <w:rPr>
                <w:rFonts w:ascii="Century Gothic" w:hAnsi="Century Gothic" w:cs="Arial"/>
                <w:sz w:val="24"/>
                <w:szCs w:val="24"/>
              </w:rPr>
              <w:t xml:space="preserve"> en el recibo que esta expida, simultáneamente con el pago del consumo de Energía Eléctrica,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 acuerdo al convenio correspondiente;</w:t>
            </w:r>
            <w:r w:rsidR="009A23D8" w:rsidRPr="00002918">
              <w:rPr>
                <w:rFonts w:ascii="Century Gothic" w:hAnsi="Century Gothic" w:cs="Arial"/>
                <w:sz w:val="24"/>
                <w:szCs w:val="24"/>
              </w:rPr>
              <w:t xml:space="preserve"> conforme a la siguiente cuota fija Bimestra</w:t>
            </w:r>
            <w:r>
              <w:rPr>
                <w:rFonts w:ascii="Century Gothic" w:hAnsi="Century Gothic" w:cs="Arial"/>
                <w:sz w:val="24"/>
                <w:szCs w:val="24"/>
              </w:rPr>
              <w:t>l General de $40.00.</w:t>
            </w:r>
          </w:p>
        </w:tc>
      </w:tr>
      <w:tr w:rsidR="009A23D8" w:rsidRPr="00A76A57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A76A57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4"/>
                <w:szCs w:val="24"/>
                <w:highlight w:val="yellow"/>
                <w:lang w:eastAsia="es-MX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A76A57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24"/>
                <w:highlight w:val="yellow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2B2E99" w:rsidRDefault="00A76A57" w:rsidP="00D045C6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II.9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 </w:t>
            </w:r>
            <w:r w:rsidR="009A23D8" w:rsidRPr="002B2E99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Aseo, Recolección y Transporte de Basura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       a). - C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uota fija por tienda cada mes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       b). -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Cuota fija por vendedores fijos y semifijos por mes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$50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Por utilizar instalaciones de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l Basurero Municipal y/o relleno sanitario para 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depositar residuos no peligrosos del proceso productivo de la industria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y comercio: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  <w:p w:rsidR="009A23D8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D045C6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a) Camioneta pick</w:t>
            </w:r>
            <w:r w:rsidR="009A23D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-up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b) Camión </w:t>
            </w:r>
            <w:r w:rsidR="001E1251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c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)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Camión de Volteo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$14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8376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8376B9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II.</w:t>
            </w:r>
            <w:r w:rsidR="00AF590B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  <w:proofErr w:type="spellEnd"/>
            <w:r w:rsidRPr="008376B9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 Levantamiento topográfico, actos de fusión, subdivisión y </w:t>
            </w:r>
            <w:proofErr w:type="spellStart"/>
            <w:r w:rsidRPr="008376B9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relotificación</w:t>
            </w:r>
            <w:proofErr w:type="spellEnd"/>
            <w:r w:rsidRPr="008376B9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 lotes.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BF20B9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1.Urbano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por metro cuadrado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$3.5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2.Semiurbano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por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m2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aplicable a granjas y predios baldíos ubicados dentro del fundo legal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</w:t>
            </w:r>
            <w:r w:rsidRPr="00BF20B9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3.R</w:t>
            </w:r>
            <w:r w:rsidR="00A85B7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ú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stico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 por hectárea o fracción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AC2F4B" w:rsidRDefault="009A23D8" w:rsidP="00D045C6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1 a 100 hectáreas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$120.00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AC2F4B" w:rsidRDefault="009A23D8" w:rsidP="00D045C6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101 a 500 hectáreas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$90.00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Default="009A23D8" w:rsidP="00D045C6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 501 a 1000 hectáreas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$60.00</w:t>
            </w:r>
          </w:p>
        </w:tc>
      </w:tr>
      <w:tr w:rsidR="009A23D8" w:rsidRPr="000A1BAA" w:rsidTr="00D045C6">
        <w:trPr>
          <w:trHeight w:val="303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AC2F4B" w:rsidRDefault="009A23D8" w:rsidP="00D045C6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AC2F4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Más de 1000 hectáreas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D8" w:rsidRPr="00BF20B9" w:rsidRDefault="009A23D8" w:rsidP="00D045C6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$30.00</w:t>
            </w:r>
          </w:p>
        </w:tc>
      </w:tr>
    </w:tbl>
    <w:p w:rsidR="00ED71E6" w:rsidRPr="00C30CAB" w:rsidRDefault="00ED71E6" w:rsidP="00C30CAB">
      <w:pPr>
        <w:spacing w:after="0" w:line="240" w:lineRule="exact"/>
        <w:jc w:val="both"/>
        <w:rPr>
          <w:rFonts w:ascii="Century Gothic" w:hAnsi="Century Gothic" w:cs="Arial"/>
          <w:sz w:val="2"/>
          <w:szCs w:val="24"/>
        </w:rPr>
      </w:pPr>
    </w:p>
    <w:p w:rsidR="00AB2148" w:rsidRPr="00E12B0B" w:rsidRDefault="00AB2148" w:rsidP="00962C1C">
      <w:pPr>
        <w:spacing w:after="0"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392B49" w:rsidRDefault="00392B49" w:rsidP="00962C1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392B49" w:rsidRDefault="00392B49" w:rsidP="00962C1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5234C1" w:rsidRDefault="005234C1" w:rsidP="00962C1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sectPr w:rsidR="005234C1" w:rsidSect="006770C2">
      <w:headerReference w:type="default" r:id="rId8"/>
      <w:footerReference w:type="default" r:id="rId9"/>
      <w:pgSz w:w="12240" w:h="15840" w:code="1"/>
      <w:pgMar w:top="4366" w:right="1701" w:bottom="1418" w:left="1701" w:header="680" w:footer="907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F2" w:rsidRDefault="007943F2" w:rsidP="00154803">
      <w:pPr>
        <w:spacing w:after="0" w:line="240" w:lineRule="auto"/>
      </w:pPr>
      <w:r>
        <w:separator/>
      </w:r>
    </w:p>
  </w:endnote>
  <w:endnote w:type="continuationSeparator" w:id="0">
    <w:p w:rsidR="007943F2" w:rsidRDefault="007943F2" w:rsidP="0015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954931"/>
      <w:docPartObj>
        <w:docPartGallery w:val="Page Numbers (Bottom of Page)"/>
        <w:docPartUnique/>
      </w:docPartObj>
    </w:sdtPr>
    <w:sdtEndPr/>
    <w:sdtContent>
      <w:p w:rsidR="00C83093" w:rsidRDefault="00C83093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6770C2">
          <w:rPr>
            <w:noProof/>
            <w:lang w:val="es-ES"/>
          </w:rPr>
          <w:t>21</w:t>
        </w:r>
        <w:r>
          <w:rPr>
            <w:noProof/>
            <w:lang w:val="es-ES"/>
          </w:rPr>
          <w:fldChar w:fldCharType="end"/>
        </w:r>
      </w:p>
    </w:sdtContent>
  </w:sdt>
  <w:p w:rsidR="00C83093" w:rsidRPr="00154803" w:rsidRDefault="00C8309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F2" w:rsidRDefault="007943F2" w:rsidP="00154803">
      <w:pPr>
        <w:spacing w:after="0" w:line="240" w:lineRule="auto"/>
      </w:pPr>
      <w:r>
        <w:separator/>
      </w:r>
    </w:p>
  </w:footnote>
  <w:footnote w:type="continuationSeparator" w:id="0">
    <w:p w:rsidR="007943F2" w:rsidRDefault="007943F2" w:rsidP="0015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94" w:rsidRPr="00163894" w:rsidRDefault="00163894" w:rsidP="00163894">
    <w:pPr>
      <w:spacing w:after="0" w:line="240" w:lineRule="auto"/>
      <w:ind w:right="49"/>
      <w:jc w:val="right"/>
      <w:rPr>
        <w:rFonts w:ascii="Century Gothic" w:eastAsia="Times New Roman" w:hAnsi="Century Gothic" w:cs="Tahoma"/>
        <w:sz w:val="24"/>
        <w:szCs w:val="24"/>
        <w:lang w:eastAsia="es-ES"/>
      </w:rPr>
    </w:pPr>
    <w:r w:rsidRPr="00163894">
      <w:rPr>
        <w:rFonts w:ascii="Century Gothic" w:eastAsia="Times New Roman" w:hAnsi="Century Gothic" w:cs="Tahoma"/>
        <w:b/>
        <w:sz w:val="24"/>
        <w:szCs w:val="24"/>
        <w:lang w:eastAsia="es-ES"/>
      </w:rPr>
      <w:t>DECRETO No.</w:t>
    </w:r>
  </w:p>
  <w:p w:rsidR="00163894" w:rsidRPr="00163894" w:rsidRDefault="00163894" w:rsidP="00163894">
    <w:pPr>
      <w:spacing w:after="0" w:line="240" w:lineRule="auto"/>
      <w:ind w:right="49"/>
      <w:jc w:val="right"/>
      <w:rPr>
        <w:rFonts w:ascii="Century Gothic" w:eastAsia="Times New Roman" w:hAnsi="Century Gothic" w:cs="Tahoma"/>
        <w:sz w:val="24"/>
        <w:szCs w:val="24"/>
        <w:lang w:val="en-US" w:eastAsia="es-ES"/>
      </w:rPr>
    </w:pPr>
    <w:r w:rsidRPr="00163894">
      <w:rPr>
        <w:rFonts w:ascii="Century Gothic" w:eastAsia="Times New Roman" w:hAnsi="Century Gothic" w:cs="Tahoma"/>
        <w:b/>
        <w:sz w:val="24"/>
        <w:szCs w:val="24"/>
        <w:lang w:val="en-US" w:eastAsia="es-ES"/>
      </w:rPr>
      <w:t>LXVII/</w:t>
    </w:r>
    <w:proofErr w:type="spellStart"/>
    <w:r w:rsidRPr="00163894">
      <w:rPr>
        <w:rFonts w:ascii="Century Gothic" w:eastAsia="Times New Roman" w:hAnsi="Century Gothic" w:cs="Tahoma"/>
        <w:b/>
        <w:sz w:val="24"/>
        <w:szCs w:val="24"/>
        <w:lang w:val="en-US" w:eastAsia="es-ES"/>
      </w:rPr>
      <w:t>APLIM</w:t>
    </w:r>
    <w:proofErr w:type="spellEnd"/>
    <w:r w:rsidRPr="00163894">
      <w:rPr>
        <w:rFonts w:ascii="Century Gothic" w:eastAsia="Times New Roman" w:hAnsi="Century Gothic" w:cs="Tahoma"/>
        <w:b/>
        <w:sz w:val="24"/>
        <w:szCs w:val="24"/>
        <w:lang w:val="en-US" w:eastAsia="es-ES"/>
      </w:rPr>
      <w:t>/0</w:t>
    </w:r>
    <w:r w:rsidRPr="00163894">
      <w:rPr>
        <w:rFonts w:ascii="Century Gothic" w:eastAsia="Times New Roman" w:hAnsi="Century Gothic" w:cs="Tahoma"/>
        <w:b/>
        <w:sz w:val="24"/>
        <w:szCs w:val="24"/>
        <w:lang w:val="en-US" w:eastAsia="es-ES"/>
      </w:rPr>
      <w:t>118</w:t>
    </w:r>
    <w:r w:rsidRPr="00163894">
      <w:rPr>
        <w:rFonts w:ascii="Century Gothic" w:eastAsia="Times New Roman" w:hAnsi="Century Gothic" w:cs="Tahoma"/>
        <w:b/>
        <w:sz w:val="24"/>
        <w:szCs w:val="24"/>
        <w:lang w:val="en-US" w:eastAsia="es-ES"/>
      </w:rPr>
      <w:t>/2021 I P.O.</w:t>
    </w:r>
  </w:p>
  <w:p w:rsidR="00163894" w:rsidRPr="00163894" w:rsidRDefault="00163894" w:rsidP="0016389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106"/>
    <w:multiLevelType w:val="hybridMultilevel"/>
    <w:tmpl w:val="F908472E"/>
    <w:lvl w:ilvl="0" w:tplc="E8AEF296">
      <w:start w:val="1"/>
      <w:numFmt w:val="lowerLetter"/>
      <w:lvlText w:val="%1)"/>
      <w:lvlJc w:val="left"/>
      <w:pPr>
        <w:ind w:left="465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F904A57"/>
    <w:multiLevelType w:val="hybridMultilevel"/>
    <w:tmpl w:val="D29657EA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7AC"/>
    <w:multiLevelType w:val="hybridMultilevel"/>
    <w:tmpl w:val="BCBAA6CC"/>
    <w:lvl w:ilvl="0" w:tplc="0C0A0017">
      <w:start w:val="1"/>
      <w:numFmt w:val="lowerLetter"/>
      <w:lvlText w:val="%1)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6F6F00"/>
    <w:multiLevelType w:val="hybridMultilevel"/>
    <w:tmpl w:val="D3E6B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2865"/>
    <w:multiLevelType w:val="hybridMultilevel"/>
    <w:tmpl w:val="A774A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2F8"/>
    <w:multiLevelType w:val="hybridMultilevel"/>
    <w:tmpl w:val="85D85246"/>
    <w:lvl w:ilvl="0" w:tplc="457AE5F4">
      <w:start w:val="35"/>
      <w:numFmt w:val="bullet"/>
      <w:lvlText w:val="-"/>
      <w:lvlJc w:val="left"/>
      <w:pPr>
        <w:ind w:left="555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40F40835"/>
    <w:multiLevelType w:val="hybridMultilevel"/>
    <w:tmpl w:val="258849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43DE"/>
    <w:multiLevelType w:val="hybridMultilevel"/>
    <w:tmpl w:val="C3D4223E"/>
    <w:lvl w:ilvl="0" w:tplc="0C0A0015">
      <w:start w:val="1"/>
      <w:numFmt w:val="upp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7C90ED6"/>
    <w:multiLevelType w:val="hybridMultilevel"/>
    <w:tmpl w:val="7D7EC51E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8CD082B"/>
    <w:multiLevelType w:val="multilevel"/>
    <w:tmpl w:val="12FC8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27451C"/>
    <w:multiLevelType w:val="hybridMultilevel"/>
    <w:tmpl w:val="5EC4FC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968E9"/>
    <w:multiLevelType w:val="multilevel"/>
    <w:tmpl w:val="BCE42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EE5AF7"/>
    <w:multiLevelType w:val="hybridMultilevel"/>
    <w:tmpl w:val="6F84BD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05CEA"/>
    <w:multiLevelType w:val="hybridMultilevel"/>
    <w:tmpl w:val="39EEBD2A"/>
    <w:lvl w:ilvl="0" w:tplc="2ECCB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41C48"/>
    <w:multiLevelType w:val="hybridMultilevel"/>
    <w:tmpl w:val="3C748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356FA"/>
    <w:multiLevelType w:val="hybridMultilevel"/>
    <w:tmpl w:val="02B884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62B2D"/>
    <w:multiLevelType w:val="hybridMultilevel"/>
    <w:tmpl w:val="2EAA88FC"/>
    <w:lvl w:ilvl="0" w:tplc="ED56BF68">
      <w:start w:val="1"/>
      <w:numFmt w:val="decimal"/>
      <w:lvlText w:val="%1."/>
      <w:lvlJc w:val="left"/>
      <w:pPr>
        <w:tabs>
          <w:tab w:val="num" w:pos="0"/>
        </w:tabs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07FDA"/>
    <w:multiLevelType w:val="hybridMultilevel"/>
    <w:tmpl w:val="D8B427E8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13B90"/>
    <w:multiLevelType w:val="hybridMultilevel"/>
    <w:tmpl w:val="B7221B54"/>
    <w:lvl w:ilvl="0" w:tplc="72663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7"/>
  </w:num>
  <w:num w:numId="12">
    <w:abstractNumId w:val="10"/>
  </w:num>
  <w:num w:numId="13">
    <w:abstractNumId w:val="18"/>
  </w:num>
  <w:num w:numId="14">
    <w:abstractNumId w:val="1"/>
  </w:num>
  <w:num w:numId="15">
    <w:abstractNumId w:val="17"/>
  </w:num>
  <w:num w:numId="16">
    <w:abstractNumId w:val="13"/>
  </w:num>
  <w:num w:numId="17">
    <w:abstractNumId w:val="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CC4"/>
    <w:rsid w:val="0000290D"/>
    <w:rsid w:val="00002918"/>
    <w:rsid w:val="00003CEF"/>
    <w:rsid w:val="0000779E"/>
    <w:rsid w:val="0001610F"/>
    <w:rsid w:val="00017E53"/>
    <w:rsid w:val="00020237"/>
    <w:rsid w:val="00022C6F"/>
    <w:rsid w:val="00030D32"/>
    <w:rsid w:val="00044807"/>
    <w:rsid w:val="0005367E"/>
    <w:rsid w:val="00053AB3"/>
    <w:rsid w:val="00057F37"/>
    <w:rsid w:val="0007102D"/>
    <w:rsid w:val="00080D53"/>
    <w:rsid w:val="000A1BAA"/>
    <w:rsid w:val="000A75BD"/>
    <w:rsid w:val="000B4B0F"/>
    <w:rsid w:val="000C108F"/>
    <w:rsid w:val="000C5C9E"/>
    <w:rsid w:val="000E6A98"/>
    <w:rsid w:val="000F07B9"/>
    <w:rsid w:val="00106E8E"/>
    <w:rsid w:val="00125F2D"/>
    <w:rsid w:val="00150F1B"/>
    <w:rsid w:val="00151BF8"/>
    <w:rsid w:val="00154803"/>
    <w:rsid w:val="001633C2"/>
    <w:rsid w:val="00163894"/>
    <w:rsid w:val="00166F39"/>
    <w:rsid w:val="00175B79"/>
    <w:rsid w:val="00177326"/>
    <w:rsid w:val="001846A6"/>
    <w:rsid w:val="0019214B"/>
    <w:rsid w:val="00192375"/>
    <w:rsid w:val="001C66E9"/>
    <w:rsid w:val="001D40B0"/>
    <w:rsid w:val="001E1251"/>
    <w:rsid w:val="001E1E24"/>
    <w:rsid w:val="001E4DD8"/>
    <w:rsid w:val="001F0F91"/>
    <w:rsid w:val="00205294"/>
    <w:rsid w:val="002072BF"/>
    <w:rsid w:val="00210EA3"/>
    <w:rsid w:val="00236BED"/>
    <w:rsid w:val="00274452"/>
    <w:rsid w:val="00295E10"/>
    <w:rsid w:val="002A4D7C"/>
    <w:rsid w:val="002B2E99"/>
    <w:rsid w:val="002B5485"/>
    <w:rsid w:val="002B5B0F"/>
    <w:rsid w:val="002D64DD"/>
    <w:rsid w:val="002D7507"/>
    <w:rsid w:val="002E6953"/>
    <w:rsid w:val="002E78D1"/>
    <w:rsid w:val="002F5FD4"/>
    <w:rsid w:val="002F77B2"/>
    <w:rsid w:val="00331CBA"/>
    <w:rsid w:val="0033210E"/>
    <w:rsid w:val="00343A1F"/>
    <w:rsid w:val="00352B98"/>
    <w:rsid w:val="00371589"/>
    <w:rsid w:val="00392B49"/>
    <w:rsid w:val="003A6E25"/>
    <w:rsid w:val="003B31B5"/>
    <w:rsid w:val="003B6E30"/>
    <w:rsid w:val="003C695B"/>
    <w:rsid w:val="003D05B6"/>
    <w:rsid w:val="003E0584"/>
    <w:rsid w:val="003E1D1E"/>
    <w:rsid w:val="003E328C"/>
    <w:rsid w:val="003E5F7F"/>
    <w:rsid w:val="003F098B"/>
    <w:rsid w:val="003F19CE"/>
    <w:rsid w:val="003F69FA"/>
    <w:rsid w:val="00402A70"/>
    <w:rsid w:val="0040369E"/>
    <w:rsid w:val="00415DE8"/>
    <w:rsid w:val="00420195"/>
    <w:rsid w:val="00463620"/>
    <w:rsid w:val="00477223"/>
    <w:rsid w:val="0049149B"/>
    <w:rsid w:val="0049332F"/>
    <w:rsid w:val="004A2383"/>
    <w:rsid w:val="004A3595"/>
    <w:rsid w:val="004A6EBB"/>
    <w:rsid w:val="004B2D96"/>
    <w:rsid w:val="004C3D6D"/>
    <w:rsid w:val="004E07B7"/>
    <w:rsid w:val="004E41EA"/>
    <w:rsid w:val="004F69C9"/>
    <w:rsid w:val="00502BCC"/>
    <w:rsid w:val="00516CC4"/>
    <w:rsid w:val="005206BC"/>
    <w:rsid w:val="005234C1"/>
    <w:rsid w:val="0052501C"/>
    <w:rsid w:val="00526FBA"/>
    <w:rsid w:val="005507FF"/>
    <w:rsid w:val="0056506C"/>
    <w:rsid w:val="005909F2"/>
    <w:rsid w:val="00594699"/>
    <w:rsid w:val="005A4582"/>
    <w:rsid w:val="005A7590"/>
    <w:rsid w:val="005B3E05"/>
    <w:rsid w:val="005B5BAA"/>
    <w:rsid w:val="005B724F"/>
    <w:rsid w:val="00612286"/>
    <w:rsid w:val="00645EB1"/>
    <w:rsid w:val="00646D4D"/>
    <w:rsid w:val="006544F9"/>
    <w:rsid w:val="006558D2"/>
    <w:rsid w:val="0066055E"/>
    <w:rsid w:val="006609FA"/>
    <w:rsid w:val="0067496F"/>
    <w:rsid w:val="006770C2"/>
    <w:rsid w:val="006827E7"/>
    <w:rsid w:val="00682A9E"/>
    <w:rsid w:val="006A1A91"/>
    <w:rsid w:val="006B536B"/>
    <w:rsid w:val="006B7244"/>
    <w:rsid w:val="006E6646"/>
    <w:rsid w:val="006E7249"/>
    <w:rsid w:val="006F4E6D"/>
    <w:rsid w:val="00700A93"/>
    <w:rsid w:val="00707879"/>
    <w:rsid w:val="00710B4D"/>
    <w:rsid w:val="00711A05"/>
    <w:rsid w:val="00727D48"/>
    <w:rsid w:val="00742EC5"/>
    <w:rsid w:val="00764AEA"/>
    <w:rsid w:val="00772532"/>
    <w:rsid w:val="00774C1B"/>
    <w:rsid w:val="00791922"/>
    <w:rsid w:val="007919C4"/>
    <w:rsid w:val="007943F2"/>
    <w:rsid w:val="007B0921"/>
    <w:rsid w:val="007C3C77"/>
    <w:rsid w:val="007E17C1"/>
    <w:rsid w:val="007F603D"/>
    <w:rsid w:val="00836237"/>
    <w:rsid w:val="008376B9"/>
    <w:rsid w:val="008552B4"/>
    <w:rsid w:val="00893CCC"/>
    <w:rsid w:val="00894F2E"/>
    <w:rsid w:val="008B0DA6"/>
    <w:rsid w:val="008B263C"/>
    <w:rsid w:val="008B5B0E"/>
    <w:rsid w:val="008D0C67"/>
    <w:rsid w:val="008E5924"/>
    <w:rsid w:val="008F53D3"/>
    <w:rsid w:val="0091267A"/>
    <w:rsid w:val="00926A63"/>
    <w:rsid w:val="00942198"/>
    <w:rsid w:val="00943AC1"/>
    <w:rsid w:val="00946813"/>
    <w:rsid w:val="00962C1C"/>
    <w:rsid w:val="00990F0E"/>
    <w:rsid w:val="00995914"/>
    <w:rsid w:val="00997457"/>
    <w:rsid w:val="009A23D8"/>
    <w:rsid w:val="009A3BBD"/>
    <w:rsid w:val="009A66FB"/>
    <w:rsid w:val="009B04DB"/>
    <w:rsid w:val="009C6085"/>
    <w:rsid w:val="009E1DDC"/>
    <w:rsid w:val="00A17436"/>
    <w:rsid w:val="00A244B3"/>
    <w:rsid w:val="00A24F3D"/>
    <w:rsid w:val="00A428D7"/>
    <w:rsid w:val="00A57B4C"/>
    <w:rsid w:val="00A74A13"/>
    <w:rsid w:val="00A761E1"/>
    <w:rsid w:val="00A76A57"/>
    <w:rsid w:val="00A85B78"/>
    <w:rsid w:val="00A87481"/>
    <w:rsid w:val="00A94538"/>
    <w:rsid w:val="00AA68E2"/>
    <w:rsid w:val="00AA6C90"/>
    <w:rsid w:val="00AB2148"/>
    <w:rsid w:val="00AB6AD1"/>
    <w:rsid w:val="00AC2F4B"/>
    <w:rsid w:val="00AD6D83"/>
    <w:rsid w:val="00AE1EBE"/>
    <w:rsid w:val="00AF05BD"/>
    <w:rsid w:val="00AF590B"/>
    <w:rsid w:val="00B002E6"/>
    <w:rsid w:val="00B045CF"/>
    <w:rsid w:val="00B07AB5"/>
    <w:rsid w:val="00B460DF"/>
    <w:rsid w:val="00BA6165"/>
    <w:rsid w:val="00BB7933"/>
    <w:rsid w:val="00BC510F"/>
    <w:rsid w:val="00BE1FDB"/>
    <w:rsid w:val="00BF207D"/>
    <w:rsid w:val="00BF20B9"/>
    <w:rsid w:val="00BF64B1"/>
    <w:rsid w:val="00C01113"/>
    <w:rsid w:val="00C02A4B"/>
    <w:rsid w:val="00C044A1"/>
    <w:rsid w:val="00C20BAA"/>
    <w:rsid w:val="00C23DB6"/>
    <w:rsid w:val="00C242CD"/>
    <w:rsid w:val="00C30CAB"/>
    <w:rsid w:val="00C312D3"/>
    <w:rsid w:val="00C43CBB"/>
    <w:rsid w:val="00C534B4"/>
    <w:rsid w:val="00C55A52"/>
    <w:rsid w:val="00C56941"/>
    <w:rsid w:val="00C63B3D"/>
    <w:rsid w:val="00C812D8"/>
    <w:rsid w:val="00C83093"/>
    <w:rsid w:val="00C86BE6"/>
    <w:rsid w:val="00C95B7A"/>
    <w:rsid w:val="00CB0CEB"/>
    <w:rsid w:val="00CB4219"/>
    <w:rsid w:val="00CB6165"/>
    <w:rsid w:val="00CB7720"/>
    <w:rsid w:val="00CC0042"/>
    <w:rsid w:val="00D021AE"/>
    <w:rsid w:val="00D0281D"/>
    <w:rsid w:val="00D045C6"/>
    <w:rsid w:val="00D05BFA"/>
    <w:rsid w:val="00D27063"/>
    <w:rsid w:val="00D40948"/>
    <w:rsid w:val="00D51099"/>
    <w:rsid w:val="00D73598"/>
    <w:rsid w:val="00D81971"/>
    <w:rsid w:val="00D8199A"/>
    <w:rsid w:val="00DA2A82"/>
    <w:rsid w:val="00DB4C2F"/>
    <w:rsid w:val="00DC4EEC"/>
    <w:rsid w:val="00DD2026"/>
    <w:rsid w:val="00DD73B8"/>
    <w:rsid w:val="00DE4904"/>
    <w:rsid w:val="00E0017A"/>
    <w:rsid w:val="00E03D1A"/>
    <w:rsid w:val="00E12B0B"/>
    <w:rsid w:val="00E52B31"/>
    <w:rsid w:val="00E72961"/>
    <w:rsid w:val="00E735FA"/>
    <w:rsid w:val="00E82CEC"/>
    <w:rsid w:val="00EA7F62"/>
    <w:rsid w:val="00ED71E6"/>
    <w:rsid w:val="00ED7B6F"/>
    <w:rsid w:val="00EE7884"/>
    <w:rsid w:val="00EE7C5E"/>
    <w:rsid w:val="00EF27B3"/>
    <w:rsid w:val="00EF39CF"/>
    <w:rsid w:val="00F02CC6"/>
    <w:rsid w:val="00F03C8B"/>
    <w:rsid w:val="00F0568B"/>
    <w:rsid w:val="00F06C4B"/>
    <w:rsid w:val="00F14E82"/>
    <w:rsid w:val="00F16E79"/>
    <w:rsid w:val="00F24309"/>
    <w:rsid w:val="00F25317"/>
    <w:rsid w:val="00F2588B"/>
    <w:rsid w:val="00F737DF"/>
    <w:rsid w:val="00F77433"/>
    <w:rsid w:val="00F8751C"/>
    <w:rsid w:val="00FB77DD"/>
    <w:rsid w:val="00FD286A"/>
    <w:rsid w:val="00FE4187"/>
    <w:rsid w:val="00FF0776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66A55E-42E1-44B5-AF40-DBE2D30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8F"/>
  </w:style>
  <w:style w:type="paragraph" w:styleId="Ttulo3">
    <w:name w:val="heading 3"/>
    <w:basedOn w:val="Normal"/>
    <w:next w:val="Normal"/>
    <w:link w:val="Ttulo3Car"/>
    <w:qFormat/>
    <w:rsid w:val="00057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0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BAA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rsid w:val="00154803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54803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803"/>
  </w:style>
  <w:style w:type="paragraph" w:styleId="Piedepgina">
    <w:name w:val="footer"/>
    <w:basedOn w:val="Normal"/>
    <w:link w:val="PiedepginaCar"/>
    <w:uiPriority w:val="99"/>
    <w:unhideWhenUsed/>
    <w:rsid w:val="00154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803"/>
  </w:style>
  <w:style w:type="paragraph" w:styleId="Sinespaciado">
    <w:name w:val="No Spacing"/>
    <w:link w:val="SinespaciadoCar"/>
    <w:uiPriority w:val="1"/>
    <w:qFormat/>
    <w:rsid w:val="0091267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267A"/>
  </w:style>
  <w:style w:type="character" w:customStyle="1" w:styleId="Ttulo3Car">
    <w:name w:val="Título 3 Car"/>
    <w:basedOn w:val="Fuentedeprrafopredeter"/>
    <w:link w:val="Ttulo3"/>
    <w:rsid w:val="00057F37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057F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7F3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F148-04D7-4C23-9443-31F937E1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3769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Sonia Pérez Chacón</cp:lastModifiedBy>
  <cp:revision>25</cp:revision>
  <cp:lastPrinted>2021-12-21T16:39:00Z</cp:lastPrinted>
  <dcterms:created xsi:type="dcterms:W3CDTF">2021-12-17T01:41:00Z</dcterms:created>
  <dcterms:modified xsi:type="dcterms:W3CDTF">2021-12-21T16:40:00Z</dcterms:modified>
</cp:coreProperties>
</file>