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2" w:rsidRDefault="008647E4"/>
    <w:p w:rsidR="00BA37C9" w:rsidRDefault="00BA37C9" w:rsidP="00BA37C9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12286">
        <w:rPr>
          <w:rFonts w:ascii="Century Gothic" w:hAnsi="Century Gothic" w:cs="Arial"/>
          <w:b/>
          <w:sz w:val="24"/>
          <w:szCs w:val="24"/>
        </w:rPr>
        <w:t>Anexo a la Ley de Ingresos corresp</w:t>
      </w:r>
      <w:r>
        <w:rPr>
          <w:rFonts w:ascii="Century Gothic" w:hAnsi="Century Gothic" w:cs="Arial"/>
          <w:b/>
          <w:sz w:val="24"/>
          <w:szCs w:val="24"/>
        </w:rPr>
        <w:t>ondiente al Municipio de Aldama</w:t>
      </w:r>
      <w:r w:rsidRPr="00612286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2022</w:t>
      </w:r>
    </w:p>
    <w:p w:rsidR="00BA37C9" w:rsidRPr="00612286" w:rsidRDefault="00BA37C9" w:rsidP="00BA37C9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BA37C9" w:rsidRDefault="00BA37C9" w:rsidP="00BA37C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</w:t>
      </w:r>
      <w:r>
        <w:rPr>
          <w:rFonts w:ascii="Century Gothic" w:hAnsi="Century Gothic" w:cs="Arial"/>
          <w:sz w:val="24"/>
          <w:szCs w:val="24"/>
        </w:rPr>
        <w:t xml:space="preserve">ibirá el Municipio de </w:t>
      </w:r>
      <w:r w:rsidR="004225D4">
        <w:rPr>
          <w:rFonts w:ascii="Century Gothic" w:hAnsi="Century Gothic" w:cs="Arial"/>
          <w:sz w:val="24"/>
          <w:szCs w:val="24"/>
        </w:rPr>
        <w:t>Aldama</w:t>
      </w:r>
      <w:r w:rsidRPr="000A1BAA">
        <w:rPr>
          <w:rFonts w:ascii="Century Gothic" w:hAnsi="Century Gothic" w:cs="Arial"/>
          <w:sz w:val="24"/>
          <w:szCs w:val="24"/>
        </w:rPr>
        <w:t xml:space="preserve">, durante </w:t>
      </w:r>
      <w:r>
        <w:rPr>
          <w:rFonts w:ascii="Century Gothic" w:hAnsi="Century Gothic" w:cs="Arial"/>
          <w:sz w:val="24"/>
          <w:szCs w:val="24"/>
        </w:rPr>
        <w:t>el Ejercicio Fiscal del año 2022.</w:t>
      </w:r>
      <w:bookmarkStart w:id="0" w:name="_GoBack"/>
      <w:bookmarkEnd w:id="0"/>
    </w:p>
    <w:p w:rsidR="00BA37C9" w:rsidRDefault="00BA37C9" w:rsidP="00BA37C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8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40"/>
        <w:gridCol w:w="2160"/>
      </w:tblGrid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Impuestos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17,609,000.00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Contribuciones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280,000.00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Derechos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12,593,000.00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Productos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250,000.00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Aprovechamientos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2,500,000.00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Ingresos extraordinarios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8,500,000.00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DE INGRESOS PROPIOS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41,732,000.00 </w:t>
            </w: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Fondo General de Participaciones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27,702,126.00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Fondo de Fomento Municipal 70%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5,132,796.00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Fondo de Fomento Municipal 30%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2,125,852.00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Impuestos sobre Producción y Servicios en materia de cervezas y bebidas alcohólicas y tabacos labrados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734,794.00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Fondo de Fiscalización y Recaudación (FOFIR)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2,729,015.00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Impuesto sobre autos nuevos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579,554.00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Impuesto Sobre Tenencia y Uso de Vehículos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       583.00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Gasolina Diesel 70%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730,986.00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Gasolina Diesel 30%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313,280.00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ISR Participable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3,000,812.00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Fondo para el Desarrollo Socioeconómico Municipal (FODESEM)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7,078,244.00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ISR Bienes Inmuebles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   173,853.00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>TOTAL, DE PARTICIPACIONES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50,301,895</w:t>
            </w: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.00 </w:t>
            </w: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>Fondo de Aportaciones: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F.I.S.M.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  6,814,626.00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>F.A.F.M.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color w:val="000000"/>
                <w:sz w:val="16"/>
                <w:szCs w:val="16"/>
                <w:lang w:val="es-MX" w:eastAsia="es-MX"/>
              </w:rPr>
              <w:t xml:space="preserve">                     19,428,483.00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>TOTAL, DE FONDO DE APORTACIONES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26,243,109.00 </w:t>
            </w:r>
          </w:p>
        </w:tc>
      </w:tr>
      <w:tr w:rsidR="00BA37C9" w:rsidRPr="002621D8" w:rsidTr="00E62CC6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hideMark/>
          </w:tcPr>
          <w:p w:rsidR="00BA37C9" w:rsidRPr="002621D8" w:rsidRDefault="00BA37C9" w:rsidP="00E62CC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>TOTAL, GLOBAL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7C9" w:rsidRPr="002621D8" w:rsidRDefault="00BA37C9" w:rsidP="00E62CC6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hideMark/>
          </w:tcPr>
          <w:p w:rsidR="00BA37C9" w:rsidRPr="002621D8" w:rsidRDefault="00BA37C9" w:rsidP="00E62CC6">
            <w:pPr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621D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118,277,004.00 </w:t>
            </w:r>
          </w:p>
        </w:tc>
      </w:tr>
    </w:tbl>
    <w:p w:rsidR="00BA37C9" w:rsidRDefault="00BA37C9"/>
    <w:sectPr w:rsidR="00BA37C9" w:rsidSect="008647E4">
      <w:pgSz w:w="12240" w:h="15840" w:code="1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7C9"/>
    <w:rsid w:val="004225D4"/>
    <w:rsid w:val="006F6464"/>
    <w:rsid w:val="008647E4"/>
    <w:rsid w:val="00A544CF"/>
    <w:rsid w:val="00BA37C9"/>
    <w:rsid w:val="00F3060F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BCA2B-194E-42CA-AB75-26D6F2B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7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7E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B80-FB93-4541-B416-0CF8076B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Sonia Pérez Chacón</cp:lastModifiedBy>
  <cp:revision>3</cp:revision>
  <cp:lastPrinted>2021-12-21T16:01:00Z</cp:lastPrinted>
  <dcterms:created xsi:type="dcterms:W3CDTF">2021-12-15T20:46:00Z</dcterms:created>
  <dcterms:modified xsi:type="dcterms:W3CDTF">2021-12-21T16:02:00Z</dcterms:modified>
</cp:coreProperties>
</file>