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proofErr w:type="spellStart"/>
      <w:r w:rsidR="00723476">
        <w:rPr>
          <w:rFonts w:ascii="Century Gothic" w:hAnsi="Century Gothic"/>
          <w:b/>
          <w:sz w:val="25"/>
          <w:szCs w:val="25"/>
          <w:lang w:val="es-MX"/>
        </w:rPr>
        <w:t>APLIE</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9F740A" w:rsidRPr="00DB5C64">
        <w:rPr>
          <w:rFonts w:ascii="Century Gothic" w:hAnsi="Century Gothic"/>
          <w:b/>
          <w:sz w:val="25"/>
          <w:szCs w:val="25"/>
          <w:lang w:val="es-MX"/>
        </w:rPr>
        <w:t>0</w:t>
      </w:r>
      <w:r w:rsidR="00723476">
        <w:rPr>
          <w:rFonts w:ascii="Century Gothic" w:hAnsi="Century Gothic"/>
          <w:b/>
          <w:sz w:val="25"/>
          <w:szCs w:val="25"/>
          <w:lang w:val="es-MX"/>
        </w:rPr>
        <w:t>9</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D57C6" w:rsidRDefault="00835A33"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BE2B7F" w:rsidRPr="00795AF6" w:rsidRDefault="00BE2B7F" w:rsidP="00BE2B7F">
      <w:pPr>
        <w:spacing w:line="360" w:lineRule="auto"/>
        <w:jc w:val="both"/>
        <w:rPr>
          <w:rFonts w:ascii="Century Gothic" w:eastAsia="Calibri" w:hAnsi="Century Gothic" w:cs="Arial"/>
          <w:b/>
          <w:bCs/>
          <w:color w:val="000000"/>
          <w:sz w:val="22"/>
          <w:szCs w:val="22"/>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 xml:space="preserve">ARTÍCULO ÚNICO.- </w:t>
      </w:r>
      <w:r w:rsidRPr="00BE2B7F">
        <w:rPr>
          <w:rFonts w:ascii="Century Gothic" w:eastAsia="Calibri" w:hAnsi="Century Gothic" w:cs="Arial"/>
          <w:bCs/>
          <w:color w:val="000000"/>
          <w:sz w:val="24"/>
          <w:szCs w:val="24"/>
          <w:lang w:val="es-MX" w:eastAsia="en-US"/>
        </w:rPr>
        <w:t>Se expide la Ley de Ingresos del Estado de Chihuahua, para el Ejercicio Fiscal 2022, para quedar como sigue:</w:t>
      </w:r>
    </w:p>
    <w:p w:rsidR="00BE2B7F" w:rsidRPr="00BE2B7F" w:rsidRDefault="00BE2B7F" w:rsidP="00BE2B7F">
      <w:pPr>
        <w:spacing w:line="360" w:lineRule="auto"/>
        <w:jc w:val="both"/>
        <w:rPr>
          <w:rFonts w:ascii="Century Gothic" w:eastAsia="Calibri" w:hAnsi="Century Gothic" w:cs="Arial"/>
          <w:b/>
          <w:bCs/>
          <w:color w:val="000000"/>
          <w:sz w:val="28"/>
          <w:szCs w:val="24"/>
          <w:lang w:val="es-MX" w:eastAsia="en-US"/>
        </w:rPr>
      </w:pPr>
    </w:p>
    <w:p w:rsidR="00BE2B7F" w:rsidRDefault="00BE2B7F" w:rsidP="00BE2B7F">
      <w:pPr>
        <w:spacing w:line="360" w:lineRule="auto"/>
        <w:jc w:val="center"/>
        <w:rPr>
          <w:rFonts w:ascii="Century Gothic" w:eastAsia="Calibri" w:hAnsi="Century Gothic" w:cs="Arial"/>
          <w:b/>
          <w:bCs/>
          <w:color w:val="000000"/>
          <w:sz w:val="28"/>
          <w:szCs w:val="24"/>
          <w:lang w:val="es-MX" w:eastAsia="en-US"/>
        </w:rPr>
      </w:pPr>
      <w:r w:rsidRPr="00BE2B7F">
        <w:rPr>
          <w:rFonts w:ascii="Century Gothic" w:eastAsia="Calibri" w:hAnsi="Century Gothic" w:cs="Arial"/>
          <w:b/>
          <w:bCs/>
          <w:color w:val="000000"/>
          <w:sz w:val="28"/>
          <w:szCs w:val="24"/>
          <w:lang w:val="es-MX" w:eastAsia="en-US"/>
        </w:rPr>
        <w:t xml:space="preserve">LEY DE INGRESOS DEL ESTADO DE CHIHUAHUA </w:t>
      </w:r>
    </w:p>
    <w:p w:rsidR="00BE2B7F" w:rsidRPr="00BE2B7F" w:rsidRDefault="00BE2B7F" w:rsidP="00BE2B7F">
      <w:pPr>
        <w:spacing w:line="360" w:lineRule="auto"/>
        <w:jc w:val="center"/>
        <w:rPr>
          <w:rFonts w:ascii="Century Gothic" w:eastAsia="Calibri" w:hAnsi="Century Gothic" w:cs="Arial"/>
          <w:b/>
          <w:bCs/>
          <w:color w:val="000000"/>
          <w:sz w:val="28"/>
          <w:szCs w:val="24"/>
          <w:lang w:val="es-MX" w:eastAsia="en-US"/>
        </w:rPr>
      </w:pPr>
      <w:r w:rsidRPr="00BE2B7F">
        <w:rPr>
          <w:rFonts w:ascii="Century Gothic" w:eastAsia="Calibri" w:hAnsi="Century Gothic" w:cs="Arial"/>
          <w:b/>
          <w:bCs/>
          <w:color w:val="000000"/>
          <w:sz w:val="28"/>
          <w:szCs w:val="24"/>
          <w:lang w:val="es-MX" w:eastAsia="en-US"/>
        </w:rPr>
        <w:t>PARA EL EJERCICIO FISCAL 2022</w:t>
      </w:r>
    </w:p>
    <w:p w:rsidR="00BE2B7F" w:rsidRPr="00BE2B7F" w:rsidRDefault="00BE2B7F" w:rsidP="00BE2B7F">
      <w:pPr>
        <w:spacing w:line="360" w:lineRule="auto"/>
        <w:jc w:val="both"/>
        <w:rPr>
          <w:rFonts w:ascii="Century Gothic" w:eastAsia="Calibri" w:hAnsi="Century Gothic" w:cs="Arial"/>
          <w:b/>
          <w:bCs/>
          <w:color w:val="000000"/>
          <w:sz w:val="28"/>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PRIMERO.-</w:t>
      </w:r>
      <w:r w:rsidRPr="00BE2B7F">
        <w:rPr>
          <w:rFonts w:ascii="Century Gothic" w:eastAsia="Calibri" w:hAnsi="Century Gothic" w:cs="Arial"/>
          <w:b/>
          <w:bCs/>
          <w:color w:val="000000"/>
          <w:sz w:val="24"/>
          <w:szCs w:val="24"/>
          <w:lang w:val="es-MX" w:eastAsia="en-US"/>
        </w:rPr>
        <w:t xml:space="preserve"> </w:t>
      </w:r>
      <w:r w:rsidRPr="00BE2B7F">
        <w:rPr>
          <w:rFonts w:ascii="Century Gothic" w:eastAsia="Calibri" w:hAnsi="Century Gothic" w:cs="Arial"/>
          <w:bCs/>
          <w:color w:val="000000"/>
          <w:sz w:val="24"/>
          <w:szCs w:val="24"/>
          <w:lang w:val="es-MX" w:eastAsia="en-US"/>
        </w:rPr>
        <w:t>Durante el ejercicio fiscal comprendido del 1º de enero al 31 de diciembre del año 2022, la Hacienda Pública Estatal percibirá los ingresos provenientes de los conceptos y en las cantidades estimadas en pesos, que a continuación se enumeran: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center"/>
        <w:rPr>
          <w:rFonts w:ascii="Century Gothic" w:eastAsia="Calibri" w:hAnsi="Century Gothic" w:cs="Arial"/>
          <w:bCs/>
          <w:color w:val="000000"/>
          <w:sz w:val="24"/>
          <w:szCs w:val="24"/>
          <w:lang w:val="es-MX" w:eastAsia="en-US"/>
        </w:rPr>
      </w:pPr>
      <w:r w:rsidRPr="00BE2B7F">
        <w:rPr>
          <w:rFonts w:ascii="Arial" w:hAnsi="Arial" w:cs="Arial"/>
          <w:noProof/>
          <w:lang w:val="es-MX" w:eastAsia="es-MX"/>
        </w:rPr>
        <w:drawing>
          <wp:inline distT="0" distB="0" distL="0" distR="0">
            <wp:extent cx="5610225" cy="571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571500"/>
                    </a:xfrm>
                    <a:prstGeom prst="rect">
                      <a:avLst/>
                    </a:prstGeom>
                    <a:noFill/>
                    <a:ln>
                      <a:noFill/>
                    </a:ln>
                  </pic:spPr>
                </pic:pic>
              </a:graphicData>
            </a:graphic>
          </wp:inline>
        </w:drawing>
      </w: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p>
    <w:p w:rsidR="00B26972" w:rsidRPr="00B26972" w:rsidRDefault="00B26972" w:rsidP="00BE2B7F">
      <w:pPr>
        <w:spacing w:line="360" w:lineRule="auto"/>
        <w:jc w:val="both"/>
        <w:rPr>
          <w:rFonts w:ascii="Century Gothic" w:eastAsia="Calibri" w:hAnsi="Century Gothic" w:cs="Arial"/>
          <w:b/>
          <w:bCs/>
          <w:color w:val="000000"/>
          <w:sz w:val="16"/>
          <w:szCs w:val="16"/>
          <w:lang w:val="es-MX" w:eastAsia="en-US"/>
        </w:rPr>
      </w:pPr>
      <w:bookmarkStart w:id="0" w:name="_GoBack"/>
      <w:bookmarkEnd w:id="0"/>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4"/>
          <w:szCs w:val="24"/>
          <w:lang w:val="es-MX" w:eastAsia="en-US"/>
        </w:rPr>
        <w:t>IMPUESTOS.</w:t>
      </w:r>
      <w:r w:rsidRPr="00BE2B7F">
        <w:rPr>
          <w:rFonts w:ascii="Century Gothic" w:eastAsia="Calibri" w:hAnsi="Century Gothic" w:cs="Arial"/>
          <w:bCs/>
          <w:color w:val="000000"/>
          <w:sz w:val="24"/>
          <w:szCs w:val="24"/>
          <w:lang w:val="es-MX" w:eastAsia="en-US"/>
        </w:rPr>
        <w:t xml:space="preserve"> </w:t>
      </w:r>
    </w:p>
    <w:p w:rsid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Corresponde a los ingresos que se recauden de las contribuciones establecidas en la ley que deben pagar las personas físicas y morales que se encuentran en la situación jurídica o de hecho prevista por la misma y que sean distintas de las aportaciones de seguridad social, contribuciones de mejoras y derechos</w:t>
      </w:r>
      <w:r w:rsidR="00B26972">
        <w:rPr>
          <w:rFonts w:ascii="Century Gothic" w:eastAsia="Calibri" w:hAnsi="Century Gothic" w:cs="Arial"/>
          <w:bCs/>
          <w:color w:val="000000"/>
          <w:sz w:val="24"/>
          <w:szCs w:val="24"/>
          <w:lang w:val="es-MX" w:eastAsia="en-US"/>
        </w:rPr>
        <w:t>.</w:t>
      </w:r>
    </w:p>
    <w:p w:rsidR="00B26972" w:rsidRPr="00BE2B7F" w:rsidRDefault="00B26972" w:rsidP="00BE2B7F">
      <w:pPr>
        <w:spacing w:line="360" w:lineRule="auto"/>
        <w:jc w:val="both"/>
        <w:rPr>
          <w:rFonts w:ascii="Century Gothic" w:eastAsia="Calibri" w:hAnsi="Century Gothic" w:cs="Arial"/>
          <w:bCs/>
          <w:color w:val="000000"/>
          <w:sz w:val="16"/>
          <w:szCs w:val="16"/>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noProof/>
          <w:color w:val="000000"/>
          <w:sz w:val="24"/>
          <w:szCs w:val="24"/>
          <w:lang w:val="es-MX" w:eastAsia="es-MX"/>
        </w:rPr>
        <w:drawing>
          <wp:inline distT="0" distB="0" distL="0" distR="0">
            <wp:extent cx="5614670" cy="28530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2853055"/>
                    </a:xfrm>
                    <a:prstGeom prst="rect">
                      <a:avLst/>
                    </a:prstGeom>
                    <a:noFill/>
                  </pic:spPr>
                </pic:pic>
              </a:graphicData>
            </a:graphic>
          </wp:inline>
        </w:drawing>
      </w:r>
      <w:r w:rsidRPr="00BE2B7F">
        <w:rPr>
          <w:rFonts w:ascii="Arial" w:hAnsi="Arial" w:cs="Arial"/>
          <w:noProof/>
          <w:lang w:val="es-MX" w:eastAsia="es-MX"/>
        </w:rPr>
        <w:drawing>
          <wp:inline distT="0" distB="0" distL="0" distR="0">
            <wp:extent cx="5610225" cy="13049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304925"/>
                    </a:xfrm>
                    <a:prstGeom prst="rect">
                      <a:avLst/>
                    </a:prstGeom>
                    <a:noFill/>
                    <a:ln>
                      <a:noFill/>
                    </a:ln>
                  </pic:spPr>
                </pic:pic>
              </a:graphicData>
            </a:graphic>
          </wp:inline>
        </w:drawing>
      </w:r>
    </w:p>
    <w:p w:rsidR="00BE2B7F" w:rsidRDefault="00BE2B7F" w:rsidP="00BE2B7F">
      <w:pPr>
        <w:spacing w:line="360" w:lineRule="auto"/>
        <w:jc w:val="both"/>
        <w:rPr>
          <w:rFonts w:ascii="Century Gothic" w:eastAsia="Calibri" w:hAnsi="Century Gothic" w:cs="Arial"/>
          <w:bCs/>
          <w:color w:val="000000"/>
          <w:sz w:val="12"/>
          <w:szCs w:val="12"/>
          <w:lang w:val="es-MX" w:eastAsia="en-US"/>
        </w:rPr>
      </w:pPr>
    </w:p>
    <w:p w:rsidR="00393963" w:rsidRDefault="00393963" w:rsidP="00BE2B7F">
      <w:pPr>
        <w:spacing w:line="360" w:lineRule="auto"/>
        <w:jc w:val="both"/>
        <w:rPr>
          <w:rFonts w:ascii="Century Gothic" w:eastAsia="Calibri" w:hAnsi="Century Gothic" w:cs="Arial"/>
          <w:bCs/>
          <w:color w:val="000000"/>
          <w:sz w:val="12"/>
          <w:szCs w:val="12"/>
          <w:lang w:val="es-MX" w:eastAsia="en-US"/>
        </w:rPr>
      </w:pPr>
    </w:p>
    <w:p w:rsidR="00393963" w:rsidRPr="00BE2B7F" w:rsidRDefault="00393963"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795AF6">
      <w:pPr>
        <w:spacing w:line="324"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CUOTAS Y APORTACIONES DE SEGURIDAD SOCIAL.</w:t>
      </w:r>
    </w:p>
    <w:p w:rsidR="00BE2B7F" w:rsidRPr="00BE2B7F" w:rsidRDefault="00BE2B7F" w:rsidP="00795AF6">
      <w:pPr>
        <w:spacing w:line="324"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Recae a los ingresos derivados de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BE2B7F" w:rsidRPr="00BE2B7F" w:rsidRDefault="00BE2B7F" w:rsidP="00BE2B7F">
      <w:pPr>
        <w:spacing w:line="360" w:lineRule="auto"/>
        <w:jc w:val="both"/>
        <w:rPr>
          <w:rFonts w:ascii="Century Gothic" w:eastAsia="Calibri" w:hAnsi="Century Gothic" w:cs="Arial"/>
          <w:bCs/>
          <w:color w:val="000000"/>
          <w:sz w:val="16"/>
          <w:szCs w:val="16"/>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drawing>
          <wp:inline distT="0" distB="0" distL="0" distR="0">
            <wp:extent cx="5610225" cy="838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838200"/>
                    </a:xfrm>
                    <a:prstGeom prst="rect">
                      <a:avLst/>
                    </a:prstGeom>
                    <a:noFill/>
                    <a:ln>
                      <a:noFill/>
                    </a:ln>
                  </pic:spPr>
                </pic:pic>
              </a:graphicData>
            </a:graphic>
          </wp:inline>
        </w:drawing>
      </w:r>
    </w:p>
    <w:p w:rsidR="00BE2B7F" w:rsidRPr="00393963" w:rsidRDefault="00BE2B7F" w:rsidP="00BE2B7F">
      <w:pPr>
        <w:spacing w:line="360" w:lineRule="auto"/>
        <w:jc w:val="both"/>
        <w:rPr>
          <w:rFonts w:ascii="Century Gothic" w:eastAsia="Calibri" w:hAnsi="Century Gothic" w:cs="Arial"/>
          <w:b/>
          <w:bCs/>
          <w:color w:val="000000"/>
          <w:sz w:val="14"/>
          <w:szCs w:val="14"/>
          <w:lang w:val="es-MX" w:eastAsia="en-US"/>
        </w:rPr>
      </w:pPr>
    </w:p>
    <w:p w:rsidR="00393963" w:rsidRPr="00BE2B7F" w:rsidRDefault="00393963" w:rsidP="00BE2B7F">
      <w:pPr>
        <w:spacing w:line="360" w:lineRule="auto"/>
        <w:jc w:val="both"/>
        <w:rPr>
          <w:rFonts w:ascii="Century Gothic" w:eastAsia="Calibri" w:hAnsi="Century Gothic" w:cs="Arial"/>
          <w:b/>
          <w:bCs/>
          <w:color w:val="000000"/>
          <w:sz w:val="18"/>
          <w:szCs w:val="18"/>
          <w:lang w:val="es-MX" w:eastAsia="en-US"/>
        </w:rPr>
      </w:pPr>
    </w:p>
    <w:p w:rsidR="00BE2B7F" w:rsidRPr="00BE2B7F" w:rsidRDefault="00BE2B7F" w:rsidP="00795AF6">
      <w:pPr>
        <w:spacing w:line="336"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CONTRIBUCIONES DE MEJORAS.</w:t>
      </w:r>
    </w:p>
    <w:p w:rsidR="00BE2B7F" w:rsidRPr="00BE2B7F" w:rsidRDefault="00BE2B7F" w:rsidP="00795AF6">
      <w:pPr>
        <w:spacing w:line="336"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Este rubro incluye los ingresos que se obtengan de las contribuciones de mejora establecidas en la ley a cargo de las personas físicas y morales que se beneficien de manera directa por obras públicas.</w:t>
      </w:r>
    </w:p>
    <w:p w:rsidR="00BE2B7F" w:rsidRPr="00BE2B7F" w:rsidRDefault="00BE2B7F" w:rsidP="00BE2B7F">
      <w:pPr>
        <w:spacing w:line="360" w:lineRule="auto"/>
        <w:jc w:val="both"/>
        <w:rPr>
          <w:rFonts w:ascii="Century Gothic" w:eastAsia="Calibri" w:hAnsi="Century Gothic" w:cs="Arial"/>
          <w:bCs/>
          <w:color w:val="000000"/>
          <w:sz w:val="16"/>
          <w:szCs w:val="16"/>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b/>
          <w:noProof/>
          <w:lang w:val="es-MX" w:eastAsia="es-MX"/>
        </w:rPr>
        <w:drawing>
          <wp:inline distT="0" distB="0" distL="0" distR="0">
            <wp:extent cx="5610225" cy="5619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561975"/>
                    </a:xfrm>
                    <a:prstGeom prst="rect">
                      <a:avLst/>
                    </a:prstGeom>
                    <a:noFill/>
                    <a:ln>
                      <a:noFill/>
                    </a:ln>
                  </pic:spPr>
                </pic:pic>
              </a:graphicData>
            </a:graphic>
          </wp:inline>
        </w:drawing>
      </w:r>
    </w:p>
    <w:p w:rsidR="00795AF6" w:rsidRPr="00393963" w:rsidRDefault="00795AF6" w:rsidP="00BE2B7F">
      <w:pPr>
        <w:spacing w:line="360" w:lineRule="auto"/>
        <w:jc w:val="both"/>
        <w:rPr>
          <w:rFonts w:ascii="Century Gothic" w:eastAsia="Calibri" w:hAnsi="Century Gothic" w:cs="Arial"/>
          <w:bCs/>
          <w:color w:val="000000"/>
          <w:sz w:val="12"/>
          <w:szCs w:val="12"/>
          <w:lang w:val="es-MX" w:eastAsia="en-US"/>
        </w:rPr>
      </w:pPr>
    </w:p>
    <w:p w:rsidR="00393963" w:rsidRPr="00BE2B7F" w:rsidRDefault="00393963" w:rsidP="00BE2B7F">
      <w:pPr>
        <w:spacing w:line="360" w:lineRule="auto"/>
        <w:jc w:val="both"/>
        <w:rPr>
          <w:rFonts w:ascii="Century Gothic" w:eastAsia="Calibri" w:hAnsi="Century Gothic" w:cs="Arial"/>
          <w:bCs/>
          <w:color w:val="000000"/>
          <w:sz w:val="18"/>
          <w:szCs w:val="18"/>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 xml:space="preserve">DERECHOS. </w:t>
      </w:r>
    </w:p>
    <w:p w:rsidR="00BE2B7F" w:rsidRDefault="00BE2B7F" w:rsidP="00795AF6">
      <w:pPr>
        <w:spacing w:line="336"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Los ingresos que se perciban por el uso o aprovechamiento de los bienes de dominio público del Estado, así como por la prestación de los servicios que </w:t>
      </w:r>
      <w:r w:rsidRPr="00BE2B7F">
        <w:rPr>
          <w:rFonts w:ascii="Century Gothic" w:eastAsia="Calibri" w:hAnsi="Century Gothic" w:cs="Arial"/>
          <w:bCs/>
          <w:color w:val="000000"/>
          <w:sz w:val="24"/>
          <w:szCs w:val="24"/>
          <w:lang w:val="es-MX" w:eastAsia="en-US"/>
        </w:rPr>
        <w:lastRenderedPageBreak/>
        <w:t>otorgan las dependencias del Gobierno del Estado, se causarán en la forma y montos que establezcan las disposiciones fiscales.</w:t>
      </w:r>
    </w:p>
    <w:p w:rsidR="00795AF6" w:rsidRPr="00795AF6" w:rsidRDefault="00795AF6" w:rsidP="00795AF6">
      <w:pPr>
        <w:spacing w:line="336" w:lineRule="auto"/>
        <w:jc w:val="both"/>
        <w:rPr>
          <w:rFonts w:ascii="Century Gothic" w:eastAsia="Calibri" w:hAnsi="Century Gothic" w:cs="Arial"/>
          <w:bCs/>
          <w:color w:val="000000"/>
          <w:lang w:val="es-MX" w:eastAsia="en-US"/>
        </w:rPr>
      </w:pPr>
    </w:p>
    <w:p w:rsidR="00795AF6" w:rsidRDefault="00795AF6" w:rsidP="00795AF6">
      <w:pPr>
        <w:spacing w:line="336" w:lineRule="auto"/>
        <w:jc w:val="both"/>
        <w:rPr>
          <w:rFonts w:ascii="Century Gothic" w:eastAsia="Calibri" w:hAnsi="Century Gothic" w:cs="Arial"/>
          <w:bCs/>
          <w:color w:val="000000"/>
          <w:sz w:val="8"/>
          <w:szCs w:val="8"/>
          <w:lang w:val="es-MX" w:eastAsia="en-US"/>
        </w:rPr>
      </w:pPr>
    </w:p>
    <w:p w:rsidR="00393963" w:rsidRDefault="00393963" w:rsidP="00795AF6">
      <w:pPr>
        <w:spacing w:line="336" w:lineRule="auto"/>
        <w:jc w:val="both"/>
        <w:rPr>
          <w:rFonts w:ascii="Century Gothic" w:eastAsia="Calibri" w:hAnsi="Century Gothic" w:cs="Arial"/>
          <w:bCs/>
          <w:color w:val="000000"/>
          <w:sz w:val="8"/>
          <w:szCs w:val="8"/>
          <w:lang w:val="es-MX" w:eastAsia="en-US"/>
        </w:rPr>
      </w:pPr>
    </w:p>
    <w:p w:rsidR="00393963" w:rsidRPr="00BE2B7F" w:rsidRDefault="00393963" w:rsidP="00795AF6">
      <w:pPr>
        <w:spacing w:line="336" w:lineRule="auto"/>
        <w:jc w:val="both"/>
        <w:rPr>
          <w:rFonts w:ascii="Century Gothic" w:eastAsia="Calibri" w:hAnsi="Century Gothic" w:cs="Arial"/>
          <w:bCs/>
          <w:color w:val="000000"/>
          <w:sz w:val="8"/>
          <w:szCs w:val="8"/>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drawing>
          <wp:inline distT="0" distB="0" distL="0" distR="0">
            <wp:extent cx="5610225" cy="47529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4752975"/>
                    </a:xfrm>
                    <a:prstGeom prst="rect">
                      <a:avLst/>
                    </a:prstGeom>
                    <a:noFill/>
                    <a:ln>
                      <a:noFill/>
                    </a:ln>
                  </pic:spPr>
                </pic:pic>
              </a:graphicData>
            </a:graphic>
          </wp:inline>
        </w:drawing>
      </w:r>
    </w:p>
    <w:p w:rsidR="00393963" w:rsidRDefault="00393963" w:rsidP="00BE2B7F">
      <w:pPr>
        <w:spacing w:line="360" w:lineRule="auto"/>
        <w:jc w:val="both"/>
        <w:rPr>
          <w:rFonts w:ascii="Century Gothic" w:eastAsia="Calibri" w:hAnsi="Century Gothic" w:cs="Arial"/>
          <w:bCs/>
          <w:color w:val="000000"/>
          <w:sz w:val="24"/>
          <w:szCs w:val="24"/>
          <w:lang w:val="es-MX" w:eastAsia="en-US"/>
        </w:rPr>
      </w:pPr>
    </w:p>
    <w:p w:rsidR="00393963" w:rsidRDefault="00393963"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lastRenderedPageBreak/>
        <w:t>PRODUCTOS.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Los ingresos que se obtengan por concepto de contraprestaciones por los servicios que preste el Estado en sus funciones de derecho privado, así como por el uso, aprovechamiento o enajenación de bienes del dominio privado, se fijarán y recaudarán de acuerdo con las reglas que establezcan las leyes o reglamentos respectivos o, en su defecto, conforme a las bases generales establecidas por el Ejecutivo del Estado en las licencias, concesiones o contratos respectivos.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b/>
          <w:noProof/>
          <w:lang w:val="es-MX" w:eastAsia="es-MX"/>
        </w:rPr>
        <w:drawing>
          <wp:inline distT="0" distB="0" distL="0" distR="0">
            <wp:extent cx="5610225" cy="11144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114425"/>
                    </a:xfrm>
                    <a:prstGeom prst="rect">
                      <a:avLst/>
                    </a:prstGeom>
                    <a:noFill/>
                    <a:ln>
                      <a:noFill/>
                    </a:ln>
                  </pic:spPr>
                </pic:pic>
              </a:graphicData>
            </a:graphic>
          </wp:inline>
        </w:drawing>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APROVECHAMIENTOS.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Son los ingresos que percibe el Estado por la realización de funciones de derecho público, distintos de las contribuciones, de los ingresos derivados de financiamientos y de los que obtengan los organismos descentralizados y las empresas de participación estatal.</w:t>
      </w:r>
    </w:p>
    <w:p w:rsidR="00BE2B7F" w:rsidRDefault="00BE2B7F" w:rsidP="00BE2B7F">
      <w:pPr>
        <w:spacing w:line="360" w:lineRule="auto"/>
        <w:jc w:val="both"/>
        <w:rPr>
          <w:rFonts w:ascii="Century Gothic" w:eastAsia="Calibri" w:hAnsi="Century Gothic" w:cs="Arial"/>
          <w:bCs/>
          <w:color w:val="000000"/>
          <w:sz w:val="24"/>
          <w:szCs w:val="24"/>
          <w:lang w:val="es-MX" w:eastAsia="en-US"/>
        </w:rPr>
      </w:pPr>
    </w:p>
    <w:p w:rsidR="00795AF6" w:rsidRDefault="00795AF6" w:rsidP="00BE2B7F">
      <w:pPr>
        <w:spacing w:line="360" w:lineRule="auto"/>
        <w:jc w:val="both"/>
        <w:rPr>
          <w:rFonts w:ascii="Century Gothic" w:eastAsia="Calibri" w:hAnsi="Century Gothic" w:cs="Arial"/>
          <w:bCs/>
          <w:color w:val="000000"/>
          <w:sz w:val="24"/>
          <w:szCs w:val="24"/>
          <w:lang w:val="es-MX" w:eastAsia="en-US"/>
        </w:rPr>
      </w:pPr>
    </w:p>
    <w:p w:rsidR="00795AF6" w:rsidRDefault="00795AF6" w:rsidP="00BE2B7F">
      <w:pPr>
        <w:spacing w:line="360" w:lineRule="auto"/>
        <w:jc w:val="both"/>
        <w:rPr>
          <w:rFonts w:ascii="Century Gothic" w:eastAsia="Calibri" w:hAnsi="Century Gothic" w:cs="Arial"/>
          <w:bCs/>
          <w:color w:val="000000"/>
          <w:sz w:val="24"/>
          <w:szCs w:val="24"/>
          <w:lang w:val="es-MX" w:eastAsia="en-US"/>
        </w:rPr>
      </w:pPr>
    </w:p>
    <w:p w:rsidR="00795AF6" w:rsidRPr="00BE2B7F" w:rsidRDefault="00795AF6"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lastRenderedPageBreak/>
        <w:drawing>
          <wp:inline distT="0" distB="0" distL="0" distR="0">
            <wp:extent cx="5610225" cy="19526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952625"/>
                    </a:xfrm>
                    <a:prstGeom prst="rect">
                      <a:avLst/>
                    </a:prstGeom>
                    <a:noFill/>
                    <a:ln>
                      <a:noFill/>
                    </a:ln>
                  </pic:spPr>
                </pic:pic>
              </a:graphicData>
            </a:graphic>
          </wp:inline>
        </w:drawing>
      </w:r>
    </w:p>
    <w:p w:rsidR="00BE2B7F" w:rsidRDefault="00BE2B7F" w:rsidP="00BE2B7F">
      <w:pPr>
        <w:spacing w:line="360" w:lineRule="auto"/>
        <w:jc w:val="both"/>
        <w:rPr>
          <w:rFonts w:ascii="Century Gothic" w:eastAsia="Calibri" w:hAnsi="Century Gothic" w:cs="Arial"/>
          <w:bCs/>
          <w:color w:val="000000"/>
          <w:sz w:val="24"/>
          <w:szCs w:val="24"/>
          <w:lang w:val="es-MX" w:eastAsia="en-US"/>
        </w:rPr>
      </w:pPr>
    </w:p>
    <w:p w:rsidR="00795AF6" w:rsidRPr="00BE2B7F" w:rsidRDefault="00795AF6"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INGRESO POR VENTA DE BIENES Y PRESTACIÓN DE SERVICIOS Y OTROS INGRESOS.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En este concepto se consideran los ingresos propios que se obtengan por las Instituciones Públicas de Seguridad Social, las Empresas Productivas del Estado, las entidades de la administración pública paraestatal y los órganos autónomos estatales, por sus actividades de producción, comercialización o prestación de servicios; así como otros ingresos por sus actividades diversas no inherentes a su operación, que generen recursos.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lastRenderedPageBreak/>
        <w:drawing>
          <wp:inline distT="0" distB="0" distL="0" distR="0">
            <wp:extent cx="5610225" cy="2514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514600"/>
                    </a:xfrm>
                    <a:prstGeom prst="rect">
                      <a:avLst/>
                    </a:prstGeom>
                    <a:noFill/>
                    <a:ln>
                      <a:noFill/>
                    </a:ln>
                  </pic:spPr>
                </pic:pic>
              </a:graphicData>
            </a:graphic>
          </wp:inline>
        </w:drawing>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PARTICIPACIONES, APORTACIONES, CONVENIOS, INCENTIVOS DERIVADOS DE LA COLABORACIÓN FISCAL Y FONDOS DISTINTOS DE APORTACIONES.</w:t>
      </w: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Son los recursos que reciben las Entidades Federativas y los Municipios por concepto de participaciones, aportaciones, convenios, incentivos derivados de la colaboración fiscal y fondos distintos de aportaciones.</w:t>
      </w: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4"/>
          <w:szCs w:val="24"/>
          <w:lang w:val="es-MX" w:eastAsia="en-US"/>
        </w:rPr>
        <w:t>Participaciones.</w:t>
      </w:r>
      <w:r w:rsidRPr="00BE2B7F">
        <w:rPr>
          <w:rFonts w:ascii="Century Gothic" w:eastAsia="Calibri" w:hAnsi="Century Gothic" w:cs="Arial"/>
          <w:bCs/>
          <w:color w:val="000000"/>
          <w:sz w:val="24"/>
          <w:szCs w:val="24"/>
          <w:lang w:val="es-MX" w:eastAsia="en-US"/>
        </w:rP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w:t>
      </w:r>
    </w:p>
    <w:p w:rsidR="00BE2B7F" w:rsidRDefault="00BE2B7F" w:rsidP="00BE2B7F">
      <w:pPr>
        <w:spacing w:line="360" w:lineRule="auto"/>
        <w:jc w:val="both"/>
        <w:rPr>
          <w:rFonts w:ascii="Century Gothic" w:eastAsia="Calibri" w:hAnsi="Century Gothic" w:cs="Arial"/>
          <w:bCs/>
          <w:color w:val="000000"/>
          <w:sz w:val="24"/>
          <w:szCs w:val="24"/>
          <w:lang w:val="es-MX" w:eastAsia="en-US"/>
        </w:rPr>
      </w:pPr>
    </w:p>
    <w:p w:rsidR="00795AF6" w:rsidRDefault="00795AF6" w:rsidP="00BE2B7F">
      <w:pPr>
        <w:spacing w:line="360" w:lineRule="auto"/>
        <w:jc w:val="both"/>
        <w:rPr>
          <w:rFonts w:ascii="Century Gothic" w:eastAsia="Calibri" w:hAnsi="Century Gothic" w:cs="Arial"/>
          <w:bCs/>
          <w:color w:val="000000"/>
          <w:sz w:val="24"/>
          <w:szCs w:val="24"/>
          <w:lang w:val="es-MX" w:eastAsia="en-US"/>
        </w:rPr>
      </w:pPr>
    </w:p>
    <w:p w:rsidR="000056CD" w:rsidRPr="00BE2B7F" w:rsidRDefault="000056CD"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4"/>
          <w:szCs w:val="24"/>
          <w:lang w:val="es-MX" w:eastAsia="en-US"/>
        </w:rPr>
        <w:t>Aportaciones.</w:t>
      </w:r>
      <w:r w:rsidRPr="00BE2B7F">
        <w:rPr>
          <w:rFonts w:ascii="Century Gothic" w:eastAsia="Calibri" w:hAnsi="Century Gothic" w:cs="Arial"/>
          <w:bCs/>
          <w:color w:val="000000"/>
          <w:sz w:val="24"/>
          <w:szCs w:val="24"/>
          <w:lang w:val="es-MX" w:eastAsia="en-US"/>
        </w:rP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rsidR="00BE2B7F" w:rsidRPr="00BE2B7F" w:rsidRDefault="00BE2B7F" w:rsidP="00BE2B7F">
      <w:pPr>
        <w:spacing w:line="360" w:lineRule="auto"/>
        <w:jc w:val="both"/>
        <w:rPr>
          <w:rFonts w:ascii="Century Gothic" w:eastAsia="Calibri" w:hAnsi="Century Gothic" w:cs="Arial"/>
          <w:bCs/>
          <w:color w:val="000000"/>
          <w:sz w:val="28"/>
          <w:szCs w:val="28"/>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4"/>
          <w:szCs w:val="24"/>
          <w:lang w:val="es-MX" w:eastAsia="en-US"/>
        </w:rPr>
        <w:t>Convenios.</w:t>
      </w:r>
      <w:r w:rsidRPr="00BE2B7F">
        <w:rPr>
          <w:rFonts w:ascii="Century Gothic" w:eastAsia="Calibri" w:hAnsi="Century Gothic" w:cs="Arial"/>
          <w:bCs/>
          <w:color w:val="000000"/>
          <w:sz w:val="24"/>
          <w:szCs w:val="24"/>
          <w:lang w:val="es-MX" w:eastAsia="en-US"/>
        </w:rPr>
        <w:t xml:space="preserve"> Son los ingresos que reciben las Entidades Federativas y Municipios derivados de convenios de coordinación, colaboración, reasignación o descentralización según corresponda, los cuales se acuerdan entre la Federación, las Entidades Federativas y/o los Municipios.</w:t>
      </w:r>
    </w:p>
    <w:p w:rsidR="00BE2B7F" w:rsidRPr="00BE2B7F" w:rsidRDefault="00BE2B7F" w:rsidP="00BE2B7F">
      <w:pPr>
        <w:spacing w:line="360" w:lineRule="auto"/>
        <w:jc w:val="both"/>
        <w:rPr>
          <w:rFonts w:ascii="Century Gothic" w:eastAsia="Calibri" w:hAnsi="Century Gothic" w:cs="Arial"/>
          <w:bCs/>
          <w:color w:val="000000"/>
          <w:sz w:val="28"/>
          <w:szCs w:val="28"/>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4"/>
          <w:szCs w:val="24"/>
          <w:lang w:val="es-MX" w:eastAsia="en-US"/>
        </w:rPr>
        <w:t>Incentivos Derivados de la Colaboración Fiscal.</w:t>
      </w:r>
      <w:r w:rsidRPr="00BE2B7F">
        <w:rPr>
          <w:rFonts w:ascii="Century Gothic" w:eastAsia="Calibri" w:hAnsi="Century Gothic" w:cs="Arial"/>
          <w:bCs/>
          <w:color w:val="000000"/>
          <w:sz w:val="24"/>
          <w:szCs w:val="24"/>
          <w:lang w:val="es-MX" w:eastAsia="en-US"/>
        </w:rPr>
        <w:t xml:space="preserve"> 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Arial" w:eastAsia="Calibri" w:hAnsi="Arial" w:cs="Arial"/>
          <w:noProof/>
          <w:lang w:val="es-MX" w:eastAsia="es-MX"/>
        </w:rPr>
      </w:pPr>
      <w:r w:rsidRPr="00BE2B7F">
        <w:rPr>
          <w:rFonts w:ascii="Arial" w:eastAsia="Calibri" w:hAnsi="Arial" w:cs="Arial"/>
          <w:noProof/>
          <w:lang w:val="es-MX" w:eastAsia="es-MX"/>
        </w:rPr>
        <w:lastRenderedPageBreak/>
        <w:drawing>
          <wp:inline distT="0" distB="0" distL="0" distR="0">
            <wp:extent cx="5391150" cy="6838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6838950"/>
                    </a:xfrm>
                    <a:prstGeom prst="rect">
                      <a:avLst/>
                    </a:prstGeom>
                    <a:noFill/>
                    <a:ln>
                      <a:noFill/>
                    </a:ln>
                  </pic:spPr>
                </pic:pic>
              </a:graphicData>
            </a:graphic>
          </wp:inline>
        </w:drawing>
      </w:r>
    </w:p>
    <w:p w:rsidR="00BE2B7F" w:rsidRPr="00BE2B7F" w:rsidRDefault="00BE2B7F" w:rsidP="00BE2B7F">
      <w:pPr>
        <w:spacing w:line="360" w:lineRule="auto"/>
        <w:jc w:val="both"/>
        <w:rPr>
          <w:rFonts w:ascii="Arial" w:eastAsia="Calibri" w:hAnsi="Arial" w:cs="Arial"/>
          <w:noProof/>
          <w:lang w:val="es-MX" w:eastAsia="es-MX"/>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TRANSFERENCIAS, ASIGNACIONES, SUBSIDIOS Y OTRAS AYUDAS.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Se refiere a los recursos que reciban en forma directa o indirecta los entes públicos como parte de su política económica y social, de acuerdo a las estrategias y prioridades de desarrollo para el sostenimiento y desempeño de sus actividades.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drawing>
          <wp:inline distT="0" distB="0" distL="0" distR="0">
            <wp:extent cx="5610225" cy="666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
          <w:bCs/>
          <w:color w:val="000000"/>
          <w:sz w:val="24"/>
          <w:szCs w:val="24"/>
          <w:lang w:val="es-MX" w:eastAsia="en-US"/>
        </w:rPr>
      </w:pPr>
      <w:r w:rsidRPr="00BE2B7F">
        <w:rPr>
          <w:rFonts w:ascii="Century Gothic" w:eastAsia="Calibri" w:hAnsi="Century Gothic" w:cs="Arial"/>
          <w:b/>
          <w:bCs/>
          <w:color w:val="000000"/>
          <w:sz w:val="24"/>
          <w:szCs w:val="24"/>
          <w:lang w:val="es-MX" w:eastAsia="en-US"/>
        </w:rPr>
        <w:t>INGRESOS DERIVADOS DE FINANCIAMIENTOS.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Contempla los ingresos que se obtengan por la celebración de empréstitos internos o externos, a corto o largo plazo, aprobados en términos de la legislación correspondiente.</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Arial" w:eastAsia="Calibri" w:hAnsi="Arial" w:cs="Arial"/>
          <w:noProof/>
          <w:lang w:val="es-MX" w:eastAsia="es-MX"/>
        </w:rPr>
        <w:drawing>
          <wp:inline distT="0" distB="0" distL="0" distR="0">
            <wp:extent cx="5610225" cy="533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533400"/>
                    </a:xfrm>
                    <a:prstGeom prst="rect">
                      <a:avLst/>
                    </a:prstGeom>
                    <a:noFill/>
                    <a:ln>
                      <a:noFill/>
                    </a:ln>
                  </pic:spPr>
                </pic:pic>
              </a:graphicData>
            </a:graphic>
          </wp:inline>
        </w:drawing>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SEGUNDO.-</w:t>
      </w:r>
      <w:r w:rsidRPr="00BE2B7F">
        <w:rPr>
          <w:rFonts w:ascii="Century Gothic" w:eastAsia="Calibri" w:hAnsi="Century Gothic" w:cs="Arial"/>
          <w:bCs/>
          <w:color w:val="000000"/>
          <w:sz w:val="24"/>
          <w:szCs w:val="24"/>
          <w:lang w:val="es-MX" w:eastAsia="en-US"/>
        </w:rPr>
        <w:t xml:space="preserve"> Los ingresos establecidos en esta Ley se causarán y recaudarán conforme a las leyes, decretos, reglamentos, tarifas o cuotas, contratos, concesiones y demás disposiciones aplicables, incluyendo las </w:t>
      </w:r>
      <w:r w:rsidRPr="00BE2B7F">
        <w:rPr>
          <w:rFonts w:ascii="Century Gothic" w:eastAsia="Calibri" w:hAnsi="Century Gothic" w:cs="Arial"/>
          <w:bCs/>
          <w:color w:val="000000"/>
          <w:sz w:val="24"/>
          <w:szCs w:val="24"/>
          <w:lang w:val="es-MX" w:eastAsia="en-US"/>
        </w:rPr>
        <w:lastRenderedPageBreak/>
        <w:t>contribuciones no comprendidas en la relación precedente, causadas en ejercicios anteriores y pendientes de liquidación y pago.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Los ingresos federales a que se refiere esta ley, así como aquellos que durante el ejercicio fiscal 2022 sean transferidos o asignados al Gobierno del Estado de Chihuahua por parte de dependencias y entidades de la Administración Pública Federal, se captarán en las cuentas bancarias que para este propósito sean </w:t>
      </w:r>
      <w:proofErr w:type="spellStart"/>
      <w:r w:rsidRPr="00BE2B7F">
        <w:rPr>
          <w:rFonts w:ascii="Century Gothic" w:eastAsia="Calibri" w:hAnsi="Century Gothic" w:cs="Arial"/>
          <w:bCs/>
          <w:color w:val="000000"/>
          <w:sz w:val="24"/>
          <w:szCs w:val="24"/>
          <w:lang w:val="es-MX" w:eastAsia="en-US"/>
        </w:rPr>
        <w:t>aperturadas</w:t>
      </w:r>
      <w:proofErr w:type="spellEnd"/>
      <w:r w:rsidRPr="00BE2B7F">
        <w:rPr>
          <w:rFonts w:ascii="Century Gothic" w:eastAsia="Calibri" w:hAnsi="Century Gothic" w:cs="Arial"/>
          <w:bCs/>
          <w:color w:val="000000"/>
          <w:sz w:val="24"/>
          <w:szCs w:val="24"/>
          <w:lang w:val="es-MX" w:eastAsia="en-US"/>
        </w:rPr>
        <w:t xml:space="preserve"> por la Secretaría de Hacienda, en términos de la Ley General de Contabilidad Gubernamental.</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TERCERO.-</w:t>
      </w:r>
      <w:r w:rsidRPr="00BE2B7F">
        <w:rPr>
          <w:rFonts w:ascii="Century Gothic" w:eastAsia="Calibri" w:hAnsi="Century Gothic" w:cs="Arial"/>
          <w:bCs/>
          <w:color w:val="000000"/>
          <w:sz w:val="28"/>
          <w:szCs w:val="24"/>
          <w:lang w:val="es-MX" w:eastAsia="en-US"/>
        </w:rPr>
        <w:t xml:space="preserve"> </w:t>
      </w:r>
      <w:r w:rsidRPr="00BE2B7F">
        <w:rPr>
          <w:rFonts w:ascii="Century Gothic" w:eastAsia="Calibri" w:hAnsi="Century Gothic" w:cs="Arial"/>
          <w:bCs/>
          <w:color w:val="000000"/>
          <w:sz w:val="24"/>
          <w:szCs w:val="24"/>
          <w:lang w:val="es-MX" w:eastAsia="en-US"/>
        </w:rPr>
        <w:t>Durante el ejercicio fiscal del año 2022, en los casos de concesión de prórroga para el pago de créditos fiscales, se causarán recargos a la tasa del 2 por ciento mensual.</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Cuando se autorice el pago a plazos, se aplicará la tasa de recargos que a continuación se establece:</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numPr>
          <w:ilvl w:val="0"/>
          <w:numId w:val="1"/>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Tratándose de pagos en parcialidades de hasta 12 meses, la tasa de recargos será del 2.57 por ciento mensual.</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numPr>
          <w:ilvl w:val="0"/>
          <w:numId w:val="1"/>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Tratándose de pagos en parcialidades de más de 12 meses y hasta de 24 meses, la tasa de recargos será de 3.14 por ciento mensual.</w:t>
      </w:r>
    </w:p>
    <w:p w:rsidR="00BE2B7F" w:rsidRPr="00BE2B7F" w:rsidRDefault="00BE2B7F" w:rsidP="00BE2B7F">
      <w:pPr>
        <w:spacing w:after="200" w:line="276" w:lineRule="auto"/>
        <w:ind w:left="720"/>
        <w:contextualSpacing/>
        <w:rPr>
          <w:rFonts w:ascii="Century Gothic" w:eastAsia="Calibri" w:hAnsi="Century Gothic" w:cs="Arial"/>
          <w:bCs/>
          <w:color w:val="000000"/>
          <w:sz w:val="24"/>
          <w:szCs w:val="24"/>
          <w:lang w:val="es-MX" w:eastAsia="en-US"/>
        </w:rPr>
      </w:pPr>
    </w:p>
    <w:p w:rsidR="00BE2B7F" w:rsidRPr="00BE2B7F" w:rsidRDefault="00BE2B7F" w:rsidP="00BE2B7F">
      <w:pPr>
        <w:numPr>
          <w:ilvl w:val="0"/>
          <w:numId w:val="1"/>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Tratándose de pagos en parcialidades superiores a 24 meses y hasta de 36 meses, así como tratándose de pagos a plazo diferido, la tasa de recargos será de 3.71 por ciento mensual.</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Cuando las tasas establecidas en este artículo resulten mayores a las que fije el Congreso de la Unión para estos casos, se aplicarán las que resulten menores.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CUARTO.-</w:t>
      </w:r>
      <w:r w:rsidRPr="00BE2B7F">
        <w:rPr>
          <w:rFonts w:ascii="Century Gothic" w:eastAsia="Calibri" w:hAnsi="Century Gothic" w:cs="Arial"/>
          <w:bCs/>
          <w:color w:val="000000"/>
          <w:sz w:val="24"/>
          <w:szCs w:val="24"/>
          <w:lang w:val="es-MX" w:eastAsia="en-US"/>
        </w:rPr>
        <w:t xml:space="preserve"> La cuota a que se refiere el artículo 83-B de la Ley de Hacienda del Estado de Chihuahua, será de $40.00 (cuarenta pesos 00/100 M.N.) para el ejercicio fiscal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QUINTO.-</w:t>
      </w:r>
      <w:r w:rsidRPr="00BE2B7F">
        <w:rPr>
          <w:rFonts w:ascii="Century Gothic" w:eastAsia="Calibri" w:hAnsi="Century Gothic" w:cs="Arial"/>
          <w:bCs/>
          <w:color w:val="000000"/>
          <w:sz w:val="24"/>
          <w:szCs w:val="24"/>
          <w:lang w:val="es-MX" w:eastAsia="en-US"/>
        </w:rPr>
        <w:t xml:space="preserve"> Se otorgará un estímulo fiscal a los contribuyentes del Impuesto sobre Actos Jurídicos, respecto de los actos tendientes a garantizar obligaciones, tales como fianzas, hipotecas o cualquier otra forma legal, que se celebren con las entidades del Sector Público que promuevan programas de vivienda, así como con las Instituciones de Crédito, Uniones de Crédito, Organizaciones Auxiliares de Crédito, de Seguros y Fianzas, Sociedades Financieras de Objeto Limitado y de Objeto Múltiple, Fideicomisos Públicos, Sociedades Financieras Populares y Sociedades de Ahorro y Préstamo.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lastRenderedPageBreak/>
        <w:t>El estímulo estará en vigor durante el año 2022, consistiendo en la disminución del 100% del impuesto a pagar, el cual se hará efectivo al presentar la declaración de pago.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Únicamente se podrá gozar de este beneficio cuando el acto jurídico celebrado se inscriba en las oficinas del Registro Público de la Propiedad y se paguen efectivamente los derechos correspondientes.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SEXTO.-</w:t>
      </w:r>
      <w:r w:rsidRPr="00BE2B7F">
        <w:rPr>
          <w:rFonts w:ascii="Century Gothic" w:eastAsia="Calibri" w:hAnsi="Century Gothic" w:cs="Arial"/>
          <w:bCs/>
          <w:color w:val="000000"/>
          <w:sz w:val="24"/>
          <w:szCs w:val="24"/>
          <w:lang w:val="es-MX" w:eastAsia="en-US"/>
        </w:rPr>
        <w:t xml:space="preserve"> Se autoriza al Ejecutivo Estatal para que, por conducto de la Secretaría de Hacienda, ejerza la facultad de condonación o de reducción total o parcial de los recargos correspondientes a contribuciones estatales adeudadas en ejercicios anteriores, cuando se considere justo y equitativo, excepto los que se generen durante el ejercicio fiscal del año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De igual forma, se autoriza a la Secretaría de Hacienda para que, a través de la Subsecretaría de Ingresos, otorgue subsidios de hasta el 100 por ciento, aplicables respecto a multas federales coordinadas con el Estado, así como a multas administrativas no fiscales de carácter estatal. Los subsidios anteriormente mencionados solo podrán autorizarse de manera particular en cada caso que específicamente le sea planteado a dicha Subsecretaría, y nunca con efectos generales; excepto cuando se </w:t>
      </w:r>
      <w:r w:rsidRPr="00BE2B7F">
        <w:rPr>
          <w:rFonts w:ascii="Century Gothic" w:eastAsia="Calibri" w:hAnsi="Century Gothic" w:cs="Arial"/>
          <w:bCs/>
          <w:color w:val="000000"/>
          <w:sz w:val="24"/>
          <w:szCs w:val="24"/>
          <w:lang w:val="es-MX" w:eastAsia="en-US"/>
        </w:rPr>
        <w:lastRenderedPageBreak/>
        <w:t>establezcan programas tendientes a incrementar y ampliar los ingresos del Estado.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SÉPTIMO.-</w:t>
      </w:r>
      <w:r w:rsidRPr="00BE2B7F">
        <w:rPr>
          <w:rFonts w:ascii="Century Gothic" w:eastAsia="Calibri" w:hAnsi="Century Gothic" w:cs="Arial"/>
          <w:bCs/>
          <w:color w:val="000000"/>
          <w:sz w:val="24"/>
          <w:szCs w:val="24"/>
          <w:lang w:val="es-MX" w:eastAsia="en-US"/>
        </w:rPr>
        <w:t xml:space="preserve"> Se otorga un estímulo fiscal a los contribuyentes del Impuesto Cedular a los Ingresos derivados de la Enajenación de Bienes Inmuebles, consistente en una reducción en el pago del impuesto determinado, cuya causación y pago se realice en el año calendario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estímulo a aplicar se determinará tomando como base el valor de operación establecido en el acto jurídico a registrar, correspondiente al bien inmueble que se transmite, de acuerdo con la siguiente tabla: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81"/>
        <w:gridCol w:w="2882"/>
      </w:tblGrid>
      <w:tr w:rsidR="00BE2B7F" w:rsidRPr="00BE2B7F" w:rsidTr="00314625">
        <w:trPr>
          <w:trHeight w:val="279"/>
        </w:trPr>
        <w:tc>
          <w:tcPr>
            <w:tcW w:w="5654" w:type="dxa"/>
            <w:gridSpan w:val="2"/>
          </w:tcPr>
          <w:p w:rsidR="00BE2B7F" w:rsidRPr="00BE2B7F" w:rsidRDefault="00BE2B7F" w:rsidP="00BE2B7F">
            <w:pPr>
              <w:jc w:val="center"/>
              <w:rPr>
                <w:rFonts w:ascii="Century Gothic" w:hAnsi="Century Gothic" w:cs="Arial"/>
                <w:b/>
                <w:color w:val="000000"/>
                <w:lang w:val="es-MX" w:eastAsia="es-MX"/>
              </w:rPr>
            </w:pPr>
            <w:r w:rsidRPr="00BE2B7F">
              <w:rPr>
                <w:rFonts w:ascii="Century Gothic" w:hAnsi="Century Gothic" w:cs="Arial"/>
                <w:b/>
                <w:color w:val="000000"/>
                <w:lang w:val="es-MX" w:eastAsia="es-MX"/>
              </w:rPr>
              <w:t>VALOR</w:t>
            </w:r>
          </w:p>
        </w:tc>
        <w:tc>
          <w:tcPr>
            <w:tcW w:w="2882" w:type="dxa"/>
            <w:vMerge w:val="restart"/>
          </w:tcPr>
          <w:p w:rsidR="00BE2B7F" w:rsidRPr="00BE2B7F" w:rsidRDefault="00BE2B7F" w:rsidP="00BE2B7F">
            <w:pPr>
              <w:jc w:val="both"/>
              <w:rPr>
                <w:rFonts w:ascii="Century Gothic" w:hAnsi="Century Gothic" w:cs="Arial"/>
                <w:b/>
                <w:color w:val="000000"/>
                <w:lang w:val="es-MX" w:eastAsia="es-MX"/>
              </w:rPr>
            </w:pPr>
          </w:p>
          <w:p w:rsidR="00BE2B7F" w:rsidRPr="00BE2B7F" w:rsidRDefault="00BE2B7F" w:rsidP="00BE2B7F">
            <w:pPr>
              <w:jc w:val="center"/>
              <w:rPr>
                <w:rFonts w:ascii="Century Gothic" w:hAnsi="Century Gothic" w:cs="Arial"/>
                <w:b/>
                <w:color w:val="000000"/>
                <w:lang w:val="es-MX" w:eastAsia="es-MX"/>
              </w:rPr>
            </w:pPr>
            <w:r w:rsidRPr="00BE2B7F">
              <w:rPr>
                <w:rFonts w:ascii="Century Gothic" w:hAnsi="Century Gothic" w:cs="Arial"/>
                <w:b/>
                <w:color w:val="000000"/>
                <w:lang w:val="es-MX" w:eastAsia="es-MX"/>
              </w:rPr>
              <w:t>ESTÍMULO FISCAL</w:t>
            </w:r>
          </w:p>
        </w:tc>
      </w:tr>
      <w:tr w:rsidR="00BE2B7F" w:rsidRPr="00BE2B7F" w:rsidTr="00314625">
        <w:tc>
          <w:tcPr>
            <w:tcW w:w="5654" w:type="dxa"/>
            <w:gridSpan w:val="2"/>
          </w:tcPr>
          <w:p w:rsidR="00BE2B7F" w:rsidRPr="00BE2B7F" w:rsidRDefault="00BE2B7F" w:rsidP="00BE2B7F">
            <w:pPr>
              <w:jc w:val="center"/>
              <w:rPr>
                <w:rFonts w:ascii="Century Gothic" w:hAnsi="Century Gothic" w:cs="Arial"/>
                <w:b/>
                <w:color w:val="000000"/>
                <w:lang w:val="es-MX" w:eastAsia="es-MX"/>
              </w:rPr>
            </w:pPr>
            <w:r w:rsidRPr="00BE2B7F">
              <w:rPr>
                <w:rFonts w:ascii="Century Gothic" w:hAnsi="Century Gothic" w:cs="Arial"/>
                <w:b/>
                <w:color w:val="000000"/>
                <w:lang w:val="es-MX" w:eastAsia="es-MX"/>
              </w:rPr>
              <w:t>(pesos)</w:t>
            </w:r>
          </w:p>
        </w:tc>
        <w:tc>
          <w:tcPr>
            <w:tcW w:w="2882" w:type="dxa"/>
            <w:vMerge/>
          </w:tcPr>
          <w:p w:rsidR="00BE2B7F" w:rsidRPr="00BE2B7F" w:rsidRDefault="00BE2B7F" w:rsidP="00BE2B7F">
            <w:pPr>
              <w:jc w:val="both"/>
              <w:rPr>
                <w:rFonts w:ascii="Century Gothic" w:hAnsi="Century Gothic" w:cs="Arial"/>
                <w:b/>
                <w:color w:val="000000"/>
                <w:lang w:val="es-MX" w:eastAsia="es-MX"/>
              </w:rPr>
            </w:pPr>
          </w:p>
        </w:tc>
      </w:tr>
      <w:tr w:rsidR="00BE2B7F" w:rsidRPr="00BE2B7F" w:rsidTr="00314625">
        <w:tc>
          <w:tcPr>
            <w:tcW w:w="2773" w:type="dxa"/>
          </w:tcPr>
          <w:p w:rsidR="00BE2B7F" w:rsidRPr="00BE2B7F" w:rsidRDefault="00BE2B7F" w:rsidP="00BE2B7F">
            <w:pPr>
              <w:jc w:val="center"/>
              <w:rPr>
                <w:rFonts w:ascii="Century Gothic" w:hAnsi="Century Gothic" w:cs="Arial"/>
                <w:b/>
                <w:color w:val="000000"/>
                <w:lang w:val="es-MX" w:eastAsia="es-MX"/>
              </w:rPr>
            </w:pPr>
            <w:r w:rsidRPr="00BE2B7F">
              <w:rPr>
                <w:rFonts w:ascii="Century Gothic" w:hAnsi="Century Gothic" w:cs="Arial"/>
                <w:b/>
                <w:color w:val="000000"/>
                <w:lang w:val="es-MX" w:eastAsia="es-MX"/>
              </w:rPr>
              <w:t>Límite Inferior</w:t>
            </w:r>
          </w:p>
        </w:tc>
        <w:tc>
          <w:tcPr>
            <w:tcW w:w="2881" w:type="dxa"/>
          </w:tcPr>
          <w:p w:rsidR="00BE2B7F" w:rsidRPr="00BE2B7F" w:rsidRDefault="00BE2B7F" w:rsidP="00BE2B7F">
            <w:pPr>
              <w:jc w:val="center"/>
              <w:rPr>
                <w:rFonts w:ascii="Century Gothic" w:hAnsi="Century Gothic" w:cs="Arial"/>
                <w:b/>
                <w:color w:val="000000"/>
                <w:lang w:val="es-MX" w:eastAsia="es-MX"/>
              </w:rPr>
            </w:pPr>
            <w:r w:rsidRPr="00BE2B7F">
              <w:rPr>
                <w:rFonts w:ascii="Century Gothic" w:hAnsi="Century Gothic" w:cs="Arial"/>
                <w:b/>
                <w:color w:val="000000"/>
                <w:lang w:val="es-MX" w:eastAsia="es-MX"/>
              </w:rPr>
              <w:t>Límite Superior</w:t>
            </w:r>
          </w:p>
        </w:tc>
        <w:tc>
          <w:tcPr>
            <w:tcW w:w="2882" w:type="dxa"/>
            <w:vMerge/>
          </w:tcPr>
          <w:p w:rsidR="00BE2B7F" w:rsidRPr="00BE2B7F" w:rsidRDefault="00BE2B7F" w:rsidP="00BE2B7F">
            <w:pPr>
              <w:jc w:val="center"/>
              <w:rPr>
                <w:rFonts w:ascii="Century Gothic" w:hAnsi="Century Gothic" w:cs="Arial"/>
                <w:b/>
                <w:color w:val="000000"/>
                <w:lang w:val="es-MX" w:eastAsia="es-MX"/>
              </w:rPr>
            </w:pPr>
          </w:p>
        </w:tc>
      </w:tr>
      <w:tr w:rsidR="00BE2B7F" w:rsidRPr="00BE2B7F" w:rsidTr="00314625">
        <w:tc>
          <w:tcPr>
            <w:tcW w:w="2773"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0.00</w:t>
            </w:r>
          </w:p>
        </w:tc>
        <w:tc>
          <w:tcPr>
            <w:tcW w:w="2881"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550,000.00</w:t>
            </w:r>
          </w:p>
        </w:tc>
        <w:tc>
          <w:tcPr>
            <w:tcW w:w="2882"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50%</w:t>
            </w:r>
          </w:p>
        </w:tc>
      </w:tr>
      <w:tr w:rsidR="00BE2B7F" w:rsidRPr="00BE2B7F" w:rsidTr="00314625">
        <w:tc>
          <w:tcPr>
            <w:tcW w:w="2773"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550,000.01</w:t>
            </w:r>
          </w:p>
        </w:tc>
        <w:tc>
          <w:tcPr>
            <w:tcW w:w="2881"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1,300,000.00</w:t>
            </w:r>
          </w:p>
        </w:tc>
        <w:tc>
          <w:tcPr>
            <w:tcW w:w="2882"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40%</w:t>
            </w:r>
          </w:p>
        </w:tc>
      </w:tr>
      <w:tr w:rsidR="00BE2B7F" w:rsidRPr="00BE2B7F" w:rsidTr="00314625">
        <w:tc>
          <w:tcPr>
            <w:tcW w:w="2773"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1,300,000.01</w:t>
            </w:r>
          </w:p>
        </w:tc>
        <w:tc>
          <w:tcPr>
            <w:tcW w:w="2881"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2,000,000.00</w:t>
            </w:r>
          </w:p>
        </w:tc>
        <w:tc>
          <w:tcPr>
            <w:tcW w:w="2882"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30%</w:t>
            </w:r>
          </w:p>
        </w:tc>
      </w:tr>
      <w:tr w:rsidR="00BE2B7F" w:rsidRPr="00BE2B7F" w:rsidTr="00314625">
        <w:tc>
          <w:tcPr>
            <w:tcW w:w="2773"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2,000,000.01</w:t>
            </w:r>
          </w:p>
        </w:tc>
        <w:tc>
          <w:tcPr>
            <w:tcW w:w="2881"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3,800,000.00</w:t>
            </w:r>
          </w:p>
        </w:tc>
        <w:tc>
          <w:tcPr>
            <w:tcW w:w="2882" w:type="dxa"/>
          </w:tcPr>
          <w:p w:rsidR="00BE2B7F" w:rsidRPr="00BE2B7F" w:rsidRDefault="00BE2B7F" w:rsidP="00BE2B7F">
            <w:pPr>
              <w:jc w:val="center"/>
              <w:rPr>
                <w:rFonts w:ascii="Century Gothic" w:hAnsi="Century Gothic" w:cs="Arial"/>
                <w:color w:val="000000"/>
                <w:lang w:val="es-MX" w:eastAsia="es-MX"/>
              </w:rPr>
            </w:pPr>
            <w:r w:rsidRPr="00BE2B7F">
              <w:rPr>
                <w:rFonts w:ascii="Century Gothic" w:hAnsi="Century Gothic" w:cs="Arial"/>
                <w:color w:val="000000"/>
                <w:lang w:val="es-MX" w:eastAsia="es-MX"/>
              </w:rPr>
              <w:t>20%</w:t>
            </w:r>
          </w:p>
        </w:tc>
      </w:tr>
    </w:tbl>
    <w:p w:rsidR="00BE2B7F" w:rsidRDefault="00BE2B7F" w:rsidP="00BE2B7F">
      <w:pPr>
        <w:spacing w:line="360" w:lineRule="auto"/>
        <w:jc w:val="both"/>
        <w:rPr>
          <w:rFonts w:ascii="Century Gothic" w:eastAsia="Calibri" w:hAnsi="Century Gothic" w:cs="Arial"/>
          <w:bCs/>
          <w:color w:val="000000"/>
          <w:sz w:val="24"/>
          <w:szCs w:val="24"/>
          <w:lang w:val="es-MX" w:eastAsia="en-US"/>
        </w:rPr>
      </w:pPr>
    </w:p>
    <w:p w:rsidR="00793A31" w:rsidRPr="00BE2B7F" w:rsidRDefault="00793A31"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OCTAVO.-</w:t>
      </w:r>
      <w:r w:rsidRPr="00BE2B7F">
        <w:rPr>
          <w:rFonts w:ascii="Century Gothic" w:eastAsia="Calibri" w:hAnsi="Century Gothic" w:cs="Arial"/>
          <w:bCs/>
          <w:color w:val="000000"/>
          <w:sz w:val="28"/>
          <w:szCs w:val="24"/>
          <w:lang w:val="es-MX" w:eastAsia="en-US"/>
        </w:rPr>
        <w:t xml:space="preserve"> </w:t>
      </w:r>
      <w:r w:rsidRPr="00BE2B7F">
        <w:rPr>
          <w:rFonts w:ascii="Century Gothic" w:eastAsia="Calibri" w:hAnsi="Century Gothic" w:cs="Arial"/>
          <w:bCs/>
          <w:color w:val="000000"/>
          <w:sz w:val="24"/>
          <w:szCs w:val="24"/>
          <w:lang w:val="es-MX" w:eastAsia="en-US"/>
        </w:rPr>
        <w:t>Los derechos que se causen por la prestación de los servicios que realice la Dirección de la División de Policía Vial, por concepto de Derecho de Control Vehicular, deberán pagarse dentro de los meses de febrero, marzo y abril del año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lastRenderedPageBreak/>
        <w:t>Se autoriza a la Secretaría de Hacienda para que otorgue a los contribuyentes estímulos fiscales sobre el Derecho de Control Vehicular 2022, consistentes en la aplicación de las cantidades que se señalan en la siguiente tabla, respectivamente:</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tbl>
      <w:tblPr>
        <w:tblW w:w="6080" w:type="dxa"/>
        <w:jc w:val="center"/>
        <w:tblCellMar>
          <w:left w:w="70" w:type="dxa"/>
          <w:right w:w="70" w:type="dxa"/>
        </w:tblCellMar>
        <w:tblLook w:val="04A0" w:firstRow="1" w:lastRow="0" w:firstColumn="1" w:lastColumn="0" w:noHBand="0" w:noVBand="1"/>
      </w:tblPr>
      <w:tblGrid>
        <w:gridCol w:w="2180"/>
        <w:gridCol w:w="1496"/>
        <w:gridCol w:w="1202"/>
        <w:gridCol w:w="1202"/>
      </w:tblGrid>
      <w:tr w:rsidR="00BE2B7F" w:rsidRPr="00BE2B7F" w:rsidTr="00314625">
        <w:trPr>
          <w:trHeight w:val="320"/>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MODELO</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ESTÍMULOS</w:t>
            </w:r>
          </w:p>
        </w:tc>
      </w:tr>
      <w:tr w:rsidR="00BE2B7F" w:rsidRPr="00BE2B7F" w:rsidTr="00314625">
        <w:trPr>
          <w:trHeight w:val="3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BE2B7F" w:rsidRPr="00BE2B7F" w:rsidRDefault="00BE2B7F" w:rsidP="00BE2B7F">
            <w:pPr>
              <w:rPr>
                <w:rFonts w:ascii="Century Gothic" w:hAnsi="Century Gothic" w:cs="Arial"/>
                <w:b/>
                <w:bCs/>
                <w:color w:val="000000"/>
                <w:sz w:val="22"/>
                <w:lang w:val="es-MX" w:eastAsia="es-MX"/>
              </w:rPr>
            </w:pP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FEBRERO</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MARZO</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ABRIL</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2023-2016</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450.00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353.85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257.69 </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2015-2011</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642.31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546.15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450.00 </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2010-2006</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786.54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690.38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594.23 </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2005-2001</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834.62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738.46 </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2000-1996</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1,026.92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930.77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834.62 </w:t>
            </w:r>
          </w:p>
        </w:tc>
      </w:tr>
      <w:tr w:rsidR="00BE2B7F" w:rsidRPr="00BE2B7F" w:rsidTr="00314625">
        <w:trPr>
          <w:trHeight w:val="32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1995-Anteriores</w:t>
            </w:r>
          </w:p>
        </w:tc>
        <w:tc>
          <w:tcPr>
            <w:tcW w:w="1496"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1,171.15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1,123.08 </w:t>
            </w:r>
          </w:p>
        </w:tc>
        <w:tc>
          <w:tcPr>
            <w:tcW w:w="1202" w:type="dxa"/>
            <w:tcBorders>
              <w:top w:val="nil"/>
              <w:left w:val="nil"/>
              <w:bottom w:val="single" w:sz="4" w:space="0" w:color="auto"/>
              <w:right w:val="single" w:sz="4" w:space="0" w:color="auto"/>
            </w:tcBorders>
            <w:shd w:val="clear" w:color="auto" w:fill="auto"/>
            <w:noWrap/>
            <w:vAlign w:val="bottom"/>
            <w:hideMark/>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1,075.00 </w:t>
            </w:r>
          </w:p>
        </w:tc>
      </w:tr>
    </w:tbl>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Para acceder a los beneficios antes referidos, los contribuyentes deberán realizar el pago en el plazo establecido en el primer párrafo de este artículo y estar</w:t>
      </w:r>
      <w:r w:rsidRPr="00BE2B7F">
        <w:rPr>
          <w:rFonts w:ascii="Century Gothic" w:eastAsia="Calibri" w:hAnsi="Century Gothic" w:cs="Arial"/>
          <w:b/>
          <w:bCs/>
          <w:color w:val="000000"/>
          <w:sz w:val="24"/>
          <w:szCs w:val="24"/>
          <w:lang w:val="es-MX" w:eastAsia="en-US"/>
        </w:rPr>
        <w:t xml:space="preserve"> </w:t>
      </w:r>
      <w:r w:rsidRPr="00BE2B7F">
        <w:rPr>
          <w:rFonts w:ascii="Century Gothic" w:eastAsia="Calibri" w:hAnsi="Century Gothic" w:cs="Arial"/>
          <w:bCs/>
          <w:color w:val="000000"/>
          <w:sz w:val="24"/>
          <w:szCs w:val="24"/>
          <w:lang w:val="es-MX" w:eastAsia="en-US"/>
        </w:rPr>
        <w:t>al corriente en el pago del Impuesto Sobre Tenencia o Uso de Vehículos, en Derecho de Control Vehicular e infracciones impuestas por las autoridades de tránsito, así como tener licencia de conducir vigente. De no ser así, se deberá pagar el costo total de los derechos respectivos.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NOVENO.-</w:t>
      </w:r>
      <w:r w:rsidRPr="00BE2B7F">
        <w:rPr>
          <w:rFonts w:ascii="Century Gothic" w:eastAsia="Calibri" w:hAnsi="Century Gothic" w:cs="Arial"/>
          <w:bCs/>
          <w:color w:val="000000"/>
          <w:sz w:val="24"/>
          <w:szCs w:val="24"/>
          <w:lang w:val="es-MX" w:eastAsia="en-US"/>
        </w:rPr>
        <w:t xml:space="preserve"> Se otorga un estímulo fiscal, por el ejercicio fiscal 2022, al Estado y sus Municipios, así como a sus organismos descentralizados y demás entidades paraestatales y entes de derecho público con autonomía derivada de la Constitución Política del Estado de Chihuahua, </w:t>
      </w:r>
      <w:r w:rsidRPr="00BE2B7F">
        <w:rPr>
          <w:rFonts w:ascii="Century Gothic" w:eastAsia="Calibri" w:hAnsi="Century Gothic" w:cs="Arial"/>
          <w:bCs/>
          <w:color w:val="000000"/>
          <w:sz w:val="24"/>
          <w:szCs w:val="24"/>
          <w:lang w:val="es-MX" w:eastAsia="en-US"/>
        </w:rPr>
        <w:lastRenderedPageBreak/>
        <w:t>consistente en el no pago de impuestos estatales, contribuciones extraordinarias o especiales, derechos, aprovechamientos, sus actualizaciones y accesorios, establecidos en las disposiciones fiscales del Estado, exceptuando los derechos de peaje y los derechos establecidos en los artículos 9, 10, 12, 198 y 199, de la Ley Estatal de Derechos de Chihuahua.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estímulo fiscal a que se refiere este artículo, únicamente por lo que respecta al pago del Impuesto sobre Nóminas, no será aplicable tratándose de organismos descentralizados del Estado que reciban de manera parcial o total, recursos federales provenientes de fondos de aportaciones federales, programas de subsidios y convenios de reasignación federales para el pago de su nómina.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Los períodos de pago correspondientes al ejercicio fiscal 2022, que tengan que declararse en el mes de enero de 2023, gozarán del estímulo fiscal antes citado.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bookmarkStart w:id="1" w:name="OLE_LINK1"/>
      <w:bookmarkStart w:id="2" w:name="OLE_LINK2"/>
      <w:r w:rsidRPr="00BE2B7F">
        <w:rPr>
          <w:rFonts w:ascii="Century Gothic" w:eastAsia="Calibri" w:hAnsi="Century Gothic" w:cs="Arial"/>
          <w:b/>
          <w:bCs/>
          <w:color w:val="000000"/>
          <w:sz w:val="28"/>
          <w:szCs w:val="24"/>
          <w:lang w:val="es-MX" w:eastAsia="en-US"/>
        </w:rPr>
        <w:t>ARTÍCULO DÉCIMO.-</w:t>
      </w:r>
      <w:r w:rsidRPr="00BE2B7F">
        <w:rPr>
          <w:rFonts w:ascii="Century Gothic" w:eastAsia="Calibri" w:hAnsi="Century Gothic" w:cs="Arial"/>
          <w:bCs/>
          <w:color w:val="000000"/>
          <w:sz w:val="24"/>
          <w:szCs w:val="24"/>
          <w:lang w:val="es-MX" w:eastAsia="en-US"/>
        </w:rPr>
        <w:t xml:space="preserve"> Se otorga un estímulo fiscal</w:t>
      </w:r>
      <w:bookmarkEnd w:id="1"/>
      <w:bookmarkEnd w:id="2"/>
      <w:r w:rsidRPr="00BE2B7F">
        <w:rPr>
          <w:rFonts w:ascii="Century Gothic" w:eastAsia="Calibri" w:hAnsi="Century Gothic" w:cs="Arial"/>
          <w:bCs/>
          <w:color w:val="000000"/>
          <w:sz w:val="24"/>
          <w:szCs w:val="24"/>
          <w:lang w:val="es-MX" w:eastAsia="en-US"/>
        </w:rPr>
        <w:t xml:space="preserve"> a los contribuyentes del Impuesto sobre Nóminas, consistente en la reducción en el pago mensual del impuesto causado, de acuerdo con la siguiente tabla:</w:t>
      </w:r>
    </w:p>
    <w:p w:rsidR="00BE2B7F" w:rsidRDefault="00BE2B7F" w:rsidP="00BE2B7F">
      <w:pPr>
        <w:spacing w:line="360" w:lineRule="auto"/>
        <w:jc w:val="both"/>
        <w:rPr>
          <w:rFonts w:ascii="Century Gothic" w:eastAsia="Calibri" w:hAnsi="Century Gothic" w:cs="Arial"/>
          <w:bCs/>
          <w:color w:val="000000"/>
          <w:sz w:val="24"/>
          <w:szCs w:val="24"/>
          <w:lang w:val="es-MX" w:eastAsia="en-US"/>
        </w:rPr>
      </w:pPr>
    </w:p>
    <w:p w:rsidR="00793A31" w:rsidRDefault="00793A31" w:rsidP="00BE2B7F">
      <w:pPr>
        <w:spacing w:line="360" w:lineRule="auto"/>
        <w:jc w:val="both"/>
        <w:rPr>
          <w:rFonts w:ascii="Century Gothic" w:eastAsia="Calibri" w:hAnsi="Century Gothic" w:cs="Arial"/>
          <w:bCs/>
          <w:color w:val="000000"/>
          <w:sz w:val="24"/>
          <w:szCs w:val="24"/>
          <w:lang w:val="es-MX" w:eastAsia="en-US"/>
        </w:rPr>
      </w:pPr>
    </w:p>
    <w:p w:rsidR="00793A31" w:rsidRPr="00BE2B7F" w:rsidRDefault="00793A31" w:rsidP="00BE2B7F">
      <w:pPr>
        <w:spacing w:line="360" w:lineRule="auto"/>
        <w:jc w:val="both"/>
        <w:rPr>
          <w:rFonts w:ascii="Century Gothic" w:eastAsia="Calibri" w:hAnsi="Century Gothic" w:cs="Arial"/>
          <w:bCs/>
          <w:color w:val="000000"/>
          <w:sz w:val="24"/>
          <w:szCs w:val="24"/>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61"/>
      </w:tblGrid>
      <w:tr w:rsidR="00BE2B7F" w:rsidRPr="00BE2B7F" w:rsidTr="00314625">
        <w:trPr>
          <w:trHeight w:val="402"/>
          <w:jc w:val="center"/>
        </w:trPr>
        <w:tc>
          <w:tcPr>
            <w:tcW w:w="4185" w:type="dxa"/>
            <w:shd w:val="clear" w:color="auto" w:fill="auto"/>
            <w:vAlign w:val="center"/>
          </w:tcPr>
          <w:p w:rsidR="00BE2B7F" w:rsidRPr="00BE2B7F" w:rsidRDefault="00BE2B7F" w:rsidP="00BE2B7F">
            <w:pPr>
              <w:spacing w:after="200" w:line="276" w:lineRule="auto"/>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lastRenderedPageBreak/>
              <w:t>NÚMERO DE EMPLEADOS EN EL MES</w:t>
            </w:r>
          </w:p>
        </w:tc>
        <w:tc>
          <w:tcPr>
            <w:tcW w:w="4161" w:type="dxa"/>
            <w:shd w:val="clear" w:color="auto" w:fill="auto"/>
            <w:vAlign w:val="center"/>
          </w:tcPr>
          <w:p w:rsidR="00BE2B7F" w:rsidRPr="00BE2B7F" w:rsidRDefault="00BE2B7F" w:rsidP="00BE2B7F">
            <w:pPr>
              <w:spacing w:after="200" w:line="276" w:lineRule="auto"/>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ESTÍMULO FISCAL MENSUAL</w:t>
            </w:r>
          </w:p>
        </w:tc>
      </w:tr>
      <w:tr w:rsidR="00BE2B7F" w:rsidRPr="00BE2B7F" w:rsidTr="00314625">
        <w:trPr>
          <w:trHeight w:val="239"/>
          <w:jc w:val="center"/>
        </w:trPr>
        <w:tc>
          <w:tcPr>
            <w:tcW w:w="4185" w:type="dxa"/>
            <w:shd w:val="clear" w:color="auto" w:fill="auto"/>
            <w:vAlign w:val="center"/>
          </w:tcPr>
          <w:p w:rsidR="00BE2B7F" w:rsidRPr="00BE2B7F" w:rsidRDefault="00BE2B7F" w:rsidP="00BE2B7F">
            <w:pPr>
              <w:spacing w:after="200" w:line="276" w:lineRule="auto"/>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De 1 a 10 empleados</w:t>
            </w:r>
          </w:p>
        </w:tc>
        <w:tc>
          <w:tcPr>
            <w:tcW w:w="4161" w:type="dxa"/>
            <w:shd w:val="clear" w:color="auto" w:fill="auto"/>
            <w:vAlign w:val="center"/>
          </w:tcPr>
          <w:p w:rsidR="00BE2B7F" w:rsidRPr="00BE2B7F" w:rsidRDefault="00BE2B7F" w:rsidP="00BE2B7F">
            <w:pPr>
              <w:spacing w:after="200" w:line="276" w:lineRule="auto"/>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20 %</w:t>
            </w:r>
          </w:p>
        </w:tc>
      </w:tr>
      <w:tr w:rsidR="00BE2B7F" w:rsidRPr="00BE2B7F" w:rsidTr="00314625">
        <w:trPr>
          <w:trHeight w:val="239"/>
          <w:jc w:val="center"/>
        </w:trPr>
        <w:tc>
          <w:tcPr>
            <w:tcW w:w="4185" w:type="dxa"/>
            <w:shd w:val="clear" w:color="auto" w:fill="auto"/>
            <w:vAlign w:val="center"/>
          </w:tcPr>
          <w:p w:rsidR="00BE2B7F" w:rsidRPr="00BE2B7F" w:rsidRDefault="00BE2B7F" w:rsidP="00BE2B7F">
            <w:pPr>
              <w:spacing w:after="200" w:line="276" w:lineRule="auto"/>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De 11 a 30 empleados</w:t>
            </w:r>
          </w:p>
        </w:tc>
        <w:tc>
          <w:tcPr>
            <w:tcW w:w="4161" w:type="dxa"/>
            <w:shd w:val="clear" w:color="auto" w:fill="auto"/>
            <w:vAlign w:val="center"/>
          </w:tcPr>
          <w:p w:rsidR="00BE2B7F" w:rsidRPr="00BE2B7F" w:rsidRDefault="00BE2B7F" w:rsidP="00BE2B7F">
            <w:pPr>
              <w:spacing w:after="200" w:line="276" w:lineRule="auto"/>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10 %</w:t>
            </w:r>
          </w:p>
        </w:tc>
      </w:tr>
      <w:tr w:rsidR="00BE2B7F" w:rsidRPr="00BE2B7F" w:rsidTr="00314625">
        <w:trPr>
          <w:trHeight w:val="239"/>
          <w:jc w:val="center"/>
        </w:trPr>
        <w:tc>
          <w:tcPr>
            <w:tcW w:w="4185" w:type="dxa"/>
            <w:shd w:val="clear" w:color="auto" w:fill="auto"/>
            <w:vAlign w:val="center"/>
          </w:tcPr>
          <w:p w:rsidR="00BE2B7F" w:rsidRPr="00BE2B7F" w:rsidRDefault="00BE2B7F" w:rsidP="00BE2B7F">
            <w:pPr>
              <w:spacing w:after="200" w:line="276" w:lineRule="auto"/>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De 31 a 50 empleados</w:t>
            </w:r>
          </w:p>
        </w:tc>
        <w:tc>
          <w:tcPr>
            <w:tcW w:w="4161" w:type="dxa"/>
            <w:shd w:val="clear" w:color="auto" w:fill="auto"/>
            <w:vAlign w:val="center"/>
          </w:tcPr>
          <w:p w:rsidR="00BE2B7F" w:rsidRPr="00BE2B7F" w:rsidRDefault="00BE2B7F" w:rsidP="00BE2B7F">
            <w:pPr>
              <w:spacing w:after="200" w:line="276" w:lineRule="auto"/>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5 %</w:t>
            </w:r>
          </w:p>
        </w:tc>
      </w:tr>
    </w:tbl>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Los contribuyentes interesados en la obtención de este estímulo fiscal deberán presentar, ante la Oficina Recaudadora o a través de los medios electrónicos que mediante su portal electrónico autorice y dé a conocer la Secretaría de Hacienda, a más tardar el 31 de enero de 2022, en original y copia, la siguiente documentación: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Escrito libre mediante el cual solicita la aplicación del estímulo fiscal, que contenga los requisitos señalados a continuación:</w:t>
      </w:r>
    </w:p>
    <w:p w:rsidR="00BE2B7F" w:rsidRPr="00BE2B7F" w:rsidRDefault="00BE2B7F"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BE2B7F">
      <w:pPr>
        <w:numPr>
          <w:ilvl w:val="0"/>
          <w:numId w:val="3"/>
        </w:numPr>
        <w:spacing w:after="200" w:line="360" w:lineRule="auto"/>
        <w:jc w:val="both"/>
        <w:rPr>
          <w:rFonts w:ascii="Century Gothic" w:eastAsia="Calibri" w:hAnsi="Century Gothic" w:cs="Arial"/>
          <w:bCs/>
          <w:color w:val="000000"/>
          <w:sz w:val="24"/>
          <w:szCs w:val="24"/>
          <w:lang w:eastAsia="en-US"/>
        </w:rPr>
      </w:pPr>
      <w:r w:rsidRPr="00BE2B7F">
        <w:rPr>
          <w:rFonts w:ascii="Century Gothic" w:eastAsia="Calibri" w:hAnsi="Century Gothic" w:cs="Arial"/>
          <w:bCs/>
          <w:color w:val="000000"/>
          <w:sz w:val="24"/>
          <w:szCs w:val="24"/>
          <w:lang w:eastAsia="en-US"/>
        </w:rPr>
        <w:t>El nombre, la denominación o razón social y firma de quien promueve; el domicilio fiscal manifestado al Registro Estatal de Contribuyentes; su Registro Federal de Contribuyentes y, en su caso, la Clave Única de Registro de Población.</w:t>
      </w:r>
    </w:p>
    <w:p w:rsidR="00BE2B7F" w:rsidRPr="00BE2B7F" w:rsidRDefault="00BE2B7F" w:rsidP="00BE2B7F">
      <w:pPr>
        <w:spacing w:line="360" w:lineRule="auto"/>
        <w:jc w:val="both"/>
        <w:rPr>
          <w:rFonts w:ascii="Century Gothic" w:eastAsia="Calibri" w:hAnsi="Century Gothic" w:cs="Arial"/>
          <w:bCs/>
          <w:color w:val="000000"/>
          <w:sz w:val="12"/>
          <w:szCs w:val="12"/>
          <w:lang w:eastAsia="en-US"/>
        </w:rPr>
      </w:pPr>
    </w:p>
    <w:p w:rsidR="00BE2B7F" w:rsidRPr="00BE2B7F" w:rsidRDefault="00BE2B7F" w:rsidP="00BE2B7F">
      <w:pPr>
        <w:numPr>
          <w:ilvl w:val="0"/>
          <w:numId w:val="3"/>
        </w:numPr>
        <w:spacing w:after="200" w:line="360" w:lineRule="auto"/>
        <w:jc w:val="both"/>
        <w:rPr>
          <w:rFonts w:ascii="Century Gothic" w:eastAsia="Calibri" w:hAnsi="Century Gothic" w:cs="Arial"/>
          <w:bCs/>
          <w:color w:val="000000"/>
          <w:sz w:val="24"/>
          <w:szCs w:val="24"/>
          <w:lang w:eastAsia="en-US"/>
        </w:rPr>
      </w:pPr>
      <w:r w:rsidRPr="00BE2B7F">
        <w:rPr>
          <w:rFonts w:ascii="Century Gothic" w:eastAsia="Calibri" w:hAnsi="Century Gothic" w:cs="Arial"/>
          <w:bCs/>
          <w:color w:val="000000"/>
          <w:sz w:val="24"/>
          <w:szCs w:val="24"/>
          <w:lang w:eastAsia="en-US"/>
        </w:rPr>
        <w:t>En su caso, el domicilio para oír y recibir notificaciones dentro del Estado y el nombre de la persona autorizada para recibirlas.</w:t>
      </w:r>
    </w:p>
    <w:p w:rsidR="00BE2B7F" w:rsidRPr="00BE2B7F" w:rsidRDefault="00BE2B7F" w:rsidP="00BE2B7F">
      <w:pPr>
        <w:spacing w:line="360" w:lineRule="auto"/>
        <w:jc w:val="both"/>
        <w:rPr>
          <w:rFonts w:ascii="Century Gothic" w:eastAsia="Calibri" w:hAnsi="Century Gothic" w:cs="Arial"/>
          <w:bCs/>
          <w:color w:val="000000"/>
          <w:sz w:val="24"/>
          <w:szCs w:val="24"/>
          <w:lang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lastRenderedPageBreak/>
        <w:t>Cédula de determinación de cuotas del IMSS y su comprobante de pago, correspondientes al mes de diciembre de 2021.</w:t>
      </w:r>
    </w:p>
    <w:p w:rsidR="00BE2B7F" w:rsidRPr="00BE2B7F" w:rsidRDefault="00BE2B7F"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Constancia de Situación Fiscal emitida por el </w:t>
      </w:r>
      <w:proofErr w:type="spellStart"/>
      <w:r w:rsidRPr="00BE2B7F">
        <w:rPr>
          <w:rFonts w:ascii="Century Gothic" w:eastAsia="Calibri" w:hAnsi="Century Gothic" w:cs="Arial"/>
          <w:bCs/>
          <w:color w:val="000000"/>
          <w:sz w:val="24"/>
          <w:szCs w:val="24"/>
          <w:lang w:val="es-MX" w:eastAsia="en-US"/>
        </w:rPr>
        <w:t>SAT</w:t>
      </w:r>
      <w:proofErr w:type="spellEnd"/>
      <w:r w:rsidRPr="00BE2B7F">
        <w:rPr>
          <w:rFonts w:ascii="Century Gothic" w:eastAsia="Calibri" w:hAnsi="Century Gothic" w:cs="Arial"/>
          <w:bCs/>
          <w:color w:val="000000"/>
          <w:sz w:val="24"/>
          <w:szCs w:val="24"/>
          <w:lang w:val="es-MX" w:eastAsia="en-US"/>
        </w:rPr>
        <w:t>.</w:t>
      </w:r>
    </w:p>
    <w:p w:rsidR="00BE2B7F" w:rsidRPr="00BE2B7F" w:rsidRDefault="00BE2B7F"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Opinión de cumplimiento de obligaciones fiscales estatales y federales coordinadas emitida por la Secretaría de Hacienda </w:t>
      </w:r>
      <w:r w:rsidRPr="00BE2B7F">
        <w:rPr>
          <w:rFonts w:ascii="Century Gothic" w:eastAsia="Calibri" w:hAnsi="Century Gothic" w:cs="Arial"/>
          <w:bCs/>
          <w:sz w:val="24"/>
          <w:szCs w:val="24"/>
          <w:lang w:val="es-MX" w:eastAsia="en-US"/>
        </w:rPr>
        <w:t>del Estado</w:t>
      </w:r>
      <w:r w:rsidRPr="00BE2B7F">
        <w:rPr>
          <w:rFonts w:ascii="Century Gothic" w:eastAsia="Calibri" w:hAnsi="Century Gothic" w:cs="Arial"/>
          <w:bCs/>
          <w:color w:val="000000"/>
          <w:sz w:val="24"/>
          <w:szCs w:val="24"/>
          <w:lang w:val="es-MX" w:eastAsia="en-US"/>
        </w:rPr>
        <w:t>.</w:t>
      </w:r>
    </w:p>
    <w:p w:rsidR="00BE2B7F" w:rsidRPr="00BE2B7F" w:rsidRDefault="00BE2B7F"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Identificación oficial con fotografía del contribuyente o representante legal.</w:t>
      </w:r>
    </w:p>
    <w:p w:rsidR="00BE2B7F" w:rsidRPr="00BE2B7F" w:rsidRDefault="00BE2B7F" w:rsidP="00BE2B7F">
      <w:pPr>
        <w:spacing w:line="360" w:lineRule="auto"/>
        <w:jc w:val="both"/>
        <w:rPr>
          <w:rFonts w:ascii="Century Gothic" w:eastAsia="Calibri" w:hAnsi="Century Gothic" w:cs="Arial"/>
          <w:bCs/>
          <w:color w:val="000000"/>
          <w:sz w:val="12"/>
          <w:szCs w:val="12"/>
          <w:lang w:val="es-MX" w:eastAsia="en-US"/>
        </w:rPr>
      </w:pPr>
    </w:p>
    <w:p w:rsidR="00BE2B7F" w:rsidRPr="00BE2B7F" w:rsidRDefault="00BE2B7F" w:rsidP="00BE2B7F">
      <w:pPr>
        <w:numPr>
          <w:ilvl w:val="0"/>
          <w:numId w:val="2"/>
        </w:numPr>
        <w:spacing w:after="200"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Los documentos que acrediten la personalidad cuando actúe a nombre de otro o de personas morales.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estímulo fiscal aplicará respecto a cada uno de los períodos de pago correspondientes al ejercicio fiscal 2022, que sean cubiertos en tiempo o dentro del plazo establecido para su declaración y entero, siempre y cuando los contribuyentes hayan presentado al 31 de enero de 2022, la documentación a que se refiere este artículo y se encuentren al corriente en el pago del Impuesto sobre Nóminas.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lastRenderedPageBreak/>
        <w:t>ARTÍCULO UNDÉCIMO.-</w:t>
      </w:r>
      <w:r w:rsidRPr="00BE2B7F">
        <w:rPr>
          <w:rFonts w:ascii="Century Gothic" w:eastAsia="Calibri" w:hAnsi="Century Gothic" w:cs="Arial"/>
          <w:bCs/>
          <w:color w:val="000000"/>
          <w:sz w:val="24"/>
          <w:szCs w:val="24"/>
          <w:lang w:val="es-MX" w:eastAsia="en-US"/>
        </w:rPr>
        <w:t xml:space="preserve"> Cuando la información que solicite la ciudadanía, y que deba entregarse de conformidad con la Ley de Transparencia y Acceso a la Información Pública del Estado de Chihuahua, esté disponible en medios distintos a los señalados en la Ley Estatal de Derechos de Chihuahua, se cobrará por concepto de derecho, el valor comercial que dicho medio tenga en el lugar en que se emita la información.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pago de los derechos que se generen por la prestación de los servicios correspondientes a los medios por los que se entregue la información en materia de transparencia y acceso a la información, no causará el impuesto adicional a que se refiere la Sección I del Título Tercero de la Ley de Hacienda del Estado de Chihuahua.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DUODÉCIMO.-</w:t>
      </w:r>
      <w:r w:rsidRPr="00BE2B7F">
        <w:rPr>
          <w:rFonts w:ascii="Century Gothic" w:eastAsia="Calibri" w:hAnsi="Century Gothic" w:cs="Arial"/>
          <w:bCs/>
          <w:color w:val="000000"/>
          <w:sz w:val="24"/>
          <w:szCs w:val="24"/>
          <w:lang w:val="es-MX" w:eastAsia="en-US"/>
        </w:rPr>
        <w:t xml:space="preserve"> Se condona el pago de los derechos que se generen por la expedición de los certificados de inexistencia de registro de nacimiento, a todas las personas que se inscriban en el programa “Registro de Nacimiento”; de igual manera, se condona el pago de los derechos de inscripción y de la primera copia certificada del acta de matrimonio, a las personas que se inscriban en el programa “Matrimonios Colectivos”, que al efecto implemente la Dirección del Registro Civil; así mismo, se condona el pago de derechos a las personas que se inscriban en los programas “Correcciones Administrativas” e “Inscripción de Documento Extranjero” </w:t>
      </w:r>
      <w:r w:rsidRPr="00BE2B7F">
        <w:rPr>
          <w:rFonts w:ascii="Century Gothic" w:eastAsia="Calibri" w:hAnsi="Century Gothic" w:cs="Arial"/>
          <w:bCs/>
          <w:color w:val="000000"/>
          <w:sz w:val="24"/>
          <w:szCs w:val="24"/>
          <w:lang w:val="es-MX" w:eastAsia="en-US"/>
        </w:rPr>
        <w:lastRenderedPageBreak/>
        <w:t>que promueva la propia Dirección durante el 2022, así como el costo de las Correcciones de Actas derivadas de resoluciones judiciales.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Bajo el marco  jurídico aplicable a la Dirección de Registro Civil en el Artículo 55 del Código Civil del Estado de Chihuahua, se condona el costo de la primer Acta de Nacimiento a las personas que registren su nacimiento; igualmente se condonan los derechos por la expedición de copias certificadas de Actas del Estado Civil a las personas inscritas en el programa “Juntos Sí Podemos”, a los beneficiarios del Fideicomiso “Fondo de Atención a Niños y Niñas Hijos de las Víctimas de la Lucha Contra el Crimen” y del “Centro de Prevención y Atención a Mujeres y Familias en Situación de Violencia” (</w:t>
      </w:r>
      <w:proofErr w:type="spellStart"/>
      <w:r w:rsidRPr="00BE2B7F">
        <w:rPr>
          <w:rFonts w:ascii="Century Gothic" w:eastAsia="Calibri" w:hAnsi="Century Gothic" w:cs="Arial"/>
          <w:bCs/>
          <w:color w:val="000000"/>
          <w:sz w:val="24"/>
          <w:szCs w:val="24"/>
          <w:lang w:val="es-MX" w:eastAsia="en-US"/>
        </w:rPr>
        <w:t>MUSIVI</w:t>
      </w:r>
      <w:proofErr w:type="spellEnd"/>
      <w:r w:rsidRPr="00BE2B7F">
        <w:rPr>
          <w:rFonts w:ascii="Century Gothic" w:eastAsia="Calibri" w:hAnsi="Century Gothic" w:cs="Arial"/>
          <w:bCs/>
          <w:color w:val="000000"/>
          <w:sz w:val="24"/>
          <w:szCs w:val="24"/>
          <w:lang w:val="es-MX" w:eastAsia="en-US"/>
        </w:rPr>
        <w:t>).</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Así mismo, se condona el pago de los derechos por la expedición de copias certificadas de Actas del Estado Civil, a las personas que acrediten pertenecer al Programa Temporal que implemente la Dirección de Atención a Grupos Vulnerables y Prevención a la Discriminación, de la Secretaría de Desarrollo Humano y Bien Común.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DECIMOTERCERO.-</w:t>
      </w:r>
      <w:r w:rsidRPr="00BE2B7F">
        <w:rPr>
          <w:rFonts w:ascii="Century Gothic" w:eastAsia="Calibri" w:hAnsi="Century Gothic" w:cs="Arial"/>
          <w:bCs/>
          <w:color w:val="000000"/>
          <w:sz w:val="24"/>
          <w:szCs w:val="24"/>
          <w:lang w:val="es-MX" w:eastAsia="en-US"/>
        </w:rPr>
        <w:t xml:space="preserve"> A fin de incentivar el mercado inmobiliario, apoyar los diversos procesos de regularización de la tenencia de la tierra y promover la ejecución de actos de comercio y de otra índole, tendientes a activar la economía del Estado, en aquellos sectores sociales </w:t>
      </w:r>
      <w:r w:rsidRPr="00BE2B7F">
        <w:rPr>
          <w:rFonts w:ascii="Century Gothic" w:eastAsia="Calibri" w:hAnsi="Century Gothic" w:cs="Arial"/>
          <w:bCs/>
          <w:color w:val="000000"/>
          <w:sz w:val="24"/>
          <w:szCs w:val="24"/>
          <w:lang w:val="es-MX" w:eastAsia="en-US"/>
        </w:rPr>
        <w:lastRenderedPageBreak/>
        <w:t>económicamente más vulnerables ante la oferta inmobiliaria, se otorgará un estímulo fiscal a los causantes del pago de derechos, por los servicios prestados por la Dirección del Registro Público de la Propiedad y del Notariado, referidos en la Ley Estatal de Derechos de Chihuahua, dentro de las fracciones I, II, III, inciso a), IV, V, inciso a), VI, VII y XXVI, inciso a), del artículo 29; en los siguientes términos: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estímulo se calculará sobre el valor que resulte mayor entre el de operación, el concluido del avalúo y el catastral, siempre y cuando la temporalidad de los mismos no exceda a un año.</w:t>
      </w:r>
    </w:p>
    <w:p w:rsidR="00BE2B7F" w:rsidRPr="00BE2B7F" w:rsidRDefault="00BE2B7F" w:rsidP="00BE2B7F">
      <w:pPr>
        <w:spacing w:line="360" w:lineRule="auto"/>
        <w:jc w:val="both"/>
        <w:rPr>
          <w:rFonts w:ascii="Century Gothic" w:eastAsia="Calibri" w:hAnsi="Century Gothic" w:cs="Arial"/>
          <w:bCs/>
          <w:color w:val="000000"/>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En el caso de la fracción II, se establece un estímulo del 86%, aplicable sobre la cuota establecida para dicha fracción.</w:t>
      </w:r>
    </w:p>
    <w:p w:rsidR="00BE2B7F" w:rsidRPr="00BE2B7F" w:rsidRDefault="00BE2B7F" w:rsidP="00BE2B7F">
      <w:pPr>
        <w:spacing w:line="360" w:lineRule="auto"/>
        <w:jc w:val="both"/>
        <w:rPr>
          <w:rFonts w:ascii="Century Gothic" w:eastAsia="Calibri" w:hAnsi="Century Gothic" w:cs="Arial"/>
          <w:bCs/>
          <w:color w:val="000000"/>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En lo que respecta a la fracción XXVI, inciso a),  el estímulo se calculará sobre el 50% del valor que resulte mayor entre el de operación, el concluido del avalúo y el catastral, en cuanto a la revocación de la donación, se calculará sobre el 100% del valor más alto entre los citados y en el caso de los arrendamientos y operaciones similares señaladas en la fracción IV, el valor de operación será el monto de las rentas anticipadas, o bien, el monto de la renta por un año.</w:t>
      </w:r>
    </w:p>
    <w:p w:rsidR="00BE2B7F" w:rsidRPr="00BE2B7F" w:rsidRDefault="00BE2B7F" w:rsidP="00BE2B7F">
      <w:pPr>
        <w:spacing w:line="360" w:lineRule="auto"/>
        <w:jc w:val="both"/>
        <w:rPr>
          <w:rFonts w:ascii="Century Gothic" w:eastAsia="Calibri" w:hAnsi="Century Gothic" w:cs="Arial"/>
          <w:bCs/>
          <w:color w:val="000000"/>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El estímulo se aplicará sobre la cuota a pagar por el concepto de la fracción de que se trate, bajo el siguiente esquema: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4"/>
        <w:gridCol w:w="2941"/>
      </w:tblGrid>
      <w:tr w:rsidR="00BE2B7F" w:rsidRPr="00BE2B7F" w:rsidTr="00314625">
        <w:trPr>
          <w:trHeight w:val="115"/>
        </w:trPr>
        <w:tc>
          <w:tcPr>
            <w:tcW w:w="5887" w:type="dxa"/>
            <w:gridSpan w:val="2"/>
            <w:vAlign w:val="center"/>
          </w:tcPr>
          <w:p w:rsidR="00BE2B7F" w:rsidRPr="00BE2B7F" w:rsidRDefault="00BE2B7F" w:rsidP="00BE2B7F">
            <w:pPr>
              <w:jc w:val="center"/>
              <w:rPr>
                <w:rFonts w:ascii="Century Gothic" w:eastAsia="Calibri" w:hAnsi="Century Gothic" w:cs="Arial"/>
                <w:b/>
                <w:color w:val="000000"/>
                <w:sz w:val="22"/>
                <w:lang w:val="es-MX" w:eastAsia="en-US"/>
              </w:rPr>
            </w:pPr>
            <w:r w:rsidRPr="00BE2B7F">
              <w:rPr>
                <w:rFonts w:ascii="Century Gothic" w:eastAsia="Calibri" w:hAnsi="Century Gothic" w:cs="Arial"/>
                <w:b/>
                <w:color w:val="000000"/>
                <w:sz w:val="22"/>
                <w:lang w:val="es-MX" w:eastAsia="en-US"/>
              </w:rPr>
              <w:t>VALOR</w:t>
            </w:r>
          </w:p>
        </w:tc>
        <w:tc>
          <w:tcPr>
            <w:tcW w:w="2941" w:type="dxa"/>
            <w:vMerge w:val="restart"/>
            <w:vAlign w:val="center"/>
          </w:tcPr>
          <w:p w:rsidR="00BE2B7F" w:rsidRPr="00BE2B7F" w:rsidRDefault="00BE2B7F" w:rsidP="00BE2B7F">
            <w:pPr>
              <w:jc w:val="center"/>
              <w:rPr>
                <w:rFonts w:ascii="Century Gothic" w:eastAsia="Calibri" w:hAnsi="Century Gothic" w:cs="Arial"/>
                <w:b/>
                <w:color w:val="000000"/>
                <w:sz w:val="22"/>
                <w:lang w:val="es-MX" w:eastAsia="en-US"/>
              </w:rPr>
            </w:pPr>
            <w:r w:rsidRPr="00BE2B7F">
              <w:rPr>
                <w:rFonts w:ascii="Century Gothic" w:eastAsia="Calibri" w:hAnsi="Century Gothic" w:cs="Arial"/>
                <w:b/>
                <w:color w:val="000000"/>
                <w:sz w:val="22"/>
                <w:lang w:val="es-MX" w:eastAsia="en-US"/>
              </w:rPr>
              <w:t>Estímulo Fiscal</w:t>
            </w:r>
          </w:p>
        </w:tc>
      </w:tr>
      <w:tr w:rsidR="00BE2B7F" w:rsidRPr="00BE2B7F" w:rsidTr="00314625">
        <w:trPr>
          <w:trHeight w:val="113"/>
        </w:trPr>
        <w:tc>
          <w:tcPr>
            <w:tcW w:w="5887" w:type="dxa"/>
            <w:gridSpan w:val="2"/>
            <w:vAlign w:val="center"/>
          </w:tcPr>
          <w:p w:rsidR="00BE2B7F" w:rsidRPr="00BE2B7F" w:rsidRDefault="00BE2B7F" w:rsidP="00BE2B7F">
            <w:pPr>
              <w:jc w:val="center"/>
              <w:rPr>
                <w:rFonts w:ascii="Century Gothic" w:eastAsia="Calibri" w:hAnsi="Century Gothic" w:cs="Arial"/>
                <w:b/>
                <w:color w:val="000000"/>
                <w:sz w:val="22"/>
                <w:lang w:val="es-MX" w:eastAsia="en-US"/>
              </w:rPr>
            </w:pPr>
            <w:r w:rsidRPr="00BE2B7F">
              <w:rPr>
                <w:rFonts w:ascii="Century Gothic" w:eastAsia="Calibri" w:hAnsi="Century Gothic" w:cs="Arial"/>
                <w:b/>
                <w:color w:val="000000"/>
                <w:sz w:val="22"/>
                <w:lang w:val="es-MX" w:eastAsia="en-US"/>
              </w:rPr>
              <w:t>(pesos)</w:t>
            </w:r>
          </w:p>
        </w:tc>
        <w:tc>
          <w:tcPr>
            <w:tcW w:w="2941" w:type="dxa"/>
            <w:vMerge/>
          </w:tcPr>
          <w:p w:rsidR="00BE2B7F" w:rsidRPr="00BE2B7F" w:rsidRDefault="00BE2B7F" w:rsidP="00BE2B7F">
            <w:pPr>
              <w:jc w:val="both"/>
              <w:rPr>
                <w:rFonts w:ascii="Century Gothic" w:eastAsia="Calibri" w:hAnsi="Century Gothic" w:cs="Arial"/>
                <w:color w:val="000000"/>
                <w:sz w:val="22"/>
                <w:lang w:val="es-MX" w:eastAsia="en-US"/>
              </w:rPr>
            </w:pPr>
          </w:p>
        </w:tc>
      </w:tr>
      <w:tr w:rsidR="00BE2B7F" w:rsidRPr="00BE2B7F" w:rsidTr="00314625">
        <w:trPr>
          <w:trHeight w:val="113"/>
        </w:trPr>
        <w:tc>
          <w:tcPr>
            <w:tcW w:w="2943" w:type="dxa"/>
          </w:tcPr>
          <w:p w:rsidR="00BE2B7F" w:rsidRPr="00BE2B7F" w:rsidRDefault="00BE2B7F" w:rsidP="00BE2B7F">
            <w:pPr>
              <w:jc w:val="center"/>
              <w:rPr>
                <w:rFonts w:ascii="Century Gothic" w:eastAsia="Calibri" w:hAnsi="Century Gothic" w:cs="Arial"/>
                <w:b/>
                <w:color w:val="000000"/>
                <w:sz w:val="22"/>
                <w:lang w:val="es-MX" w:eastAsia="en-US"/>
              </w:rPr>
            </w:pPr>
            <w:r w:rsidRPr="00BE2B7F">
              <w:rPr>
                <w:rFonts w:ascii="Century Gothic" w:eastAsia="Calibri" w:hAnsi="Century Gothic" w:cs="Arial"/>
                <w:b/>
                <w:color w:val="000000"/>
                <w:sz w:val="22"/>
                <w:lang w:val="es-MX" w:eastAsia="en-US"/>
              </w:rPr>
              <w:t>Límite Inferior</w:t>
            </w:r>
          </w:p>
        </w:tc>
        <w:tc>
          <w:tcPr>
            <w:tcW w:w="2944" w:type="dxa"/>
          </w:tcPr>
          <w:p w:rsidR="00BE2B7F" w:rsidRPr="00BE2B7F" w:rsidRDefault="00BE2B7F" w:rsidP="00BE2B7F">
            <w:pPr>
              <w:jc w:val="center"/>
              <w:rPr>
                <w:rFonts w:ascii="Century Gothic" w:eastAsia="Calibri" w:hAnsi="Century Gothic" w:cs="Arial"/>
                <w:b/>
                <w:color w:val="000000"/>
                <w:sz w:val="22"/>
                <w:lang w:val="es-MX" w:eastAsia="en-US"/>
              </w:rPr>
            </w:pPr>
            <w:r w:rsidRPr="00BE2B7F">
              <w:rPr>
                <w:rFonts w:ascii="Century Gothic" w:eastAsia="Calibri" w:hAnsi="Century Gothic" w:cs="Arial"/>
                <w:b/>
                <w:color w:val="000000"/>
                <w:sz w:val="22"/>
                <w:lang w:val="es-MX" w:eastAsia="en-US"/>
              </w:rPr>
              <w:t>Límite Superior</w:t>
            </w:r>
          </w:p>
        </w:tc>
        <w:tc>
          <w:tcPr>
            <w:tcW w:w="2941" w:type="dxa"/>
            <w:vMerge/>
          </w:tcPr>
          <w:p w:rsidR="00BE2B7F" w:rsidRPr="00BE2B7F" w:rsidRDefault="00BE2B7F" w:rsidP="00BE2B7F">
            <w:pPr>
              <w:jc w:val="both"/>
              <w:rPr>
                <w:rFonts w:ascii="Century Gothic" w:eastAsia="Calibri" w:hAnsi="Century Gothic" w:cs="Arial"/>
                <w:color w:val="000000"/>
                <w:sz w:val="22"/>
                <w:lang w:val="es-MX" w:eastAsia="en-US"/>
              </w:rPr>
            </w:pPr>
          </w:p>
        </w:tc>
      </w:tr>
      <w:tr w:rsidR="00BE2B7F" w:rsidRPr="00BE2B7F" w:rsidTr="00314625">
        <w:tc>
          <w:tcPr>
            <w:tcW w:w="2943"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0.00</w:t>
            </w:r>
          </w:p>
        </w:tc>
        <w:tc>
          <w:tcPr>
            <w:tcW w:w="2944"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100,000.00</w:t>
            </w:r>
          </w:p>
        </w:tc>
        <w:tc>
          <w:tcPr>
            <w:tcW w:w="2941"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86%</w:t>
            </w:r>
          </w:p>
        </w:tc>
      </w:tr>
      <w:tr w:rsidR="00BE2B7F" w:rsidRPr="00BE2B7F" w:rsidTr="00314625">
        <w:tc>
          <w:tcPr>
            <w:tcW w:w="2943"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100,000.01</w:t>
            </w:r>
          </w:p>
        </w:tc>
        <w:tc>
          <w:tcPr>
            <w:tcW w:w="2944"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200,000.00</w:t>
            </w:r>
          </w:p>
        </w:tc>
        <w:tc>
          <w:tcPr>
            <w:tcW w:w="2941" w:type="dxa"/>
            <w:shd w:val="clear" w:color="auto" w:fill="auto"/>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80%</w:t>
            </w:r>
          </w:p>
        </w:tc>
      </w:tr>
      <w:tr w:rsidR="00BE2B7F" w:rsidRPr="00BE2B7F" w:rsidTr="00314625">
        <w:tc>
          <w:tcPr>
            <w:tcW w:w="2943"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200,000.01</w:t>
            </w:r>
          </w:p>
        </w:tc>
        <w:tc>
          <w:tcPr>
            <w:tcW w:w="2944"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400,000.00</w:t>
            </w:r>
          </w:p>
        </w:tc>
        <w:tc>
          <w:tcPr>
            <w:tcW w:w="2941" w:type="dxa"/>
            <w:shd w:val="clear" w:color="auto" w:fill="auto"/>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60%</w:t>
            </w:r>
          </w:p>
        </w:tc>
      </w:tr>
      <w:tr w:rsidR="00BE2B7F" w:rsidRPr="00BE2B7F" w:rsidTr="00314625">
        <w:tc>
          <w:tcPr>
            <w:tcW w:w="2943"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400,000.01</w:t>
            </w:r>
          </w:p>
        </w:tc>
        <w:tc>
          <w:tcPr>
            <w:tcW w:w="2944" w:type="dxa"/>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700,000.00</w:t>
            </w:r>
          </w:p>
        </w:tc>
        <w:tc>
          <w:tcPr>
            <w:tcW w:w="2941" w:type="dxa"/>
            <w:shd w:val="clear" w:color="auto" w:fill="auto"/>
          </w:tcPr>
          <w:p w:rsidR="00BE2B7F" w:rsidRPr="00BE2B7F" w:rsidRDefault="00BE2B7F" w:rsidP="00BE2B7F">
            <w:pPr>
              <w:jc w:val="center"/>
              <w:rPr>
                <w:rFonts w:ascii="Century Gothic" w:eastAsia="Calibri" w:hAnsi="Century Gothic" w:cs="Arial"/>
                <w:color w:val="000000"/>
                <w:sz w:val="22"/>
                <w:lang w:val="es-MX" w:eastAsia="en-US"/>
              </w:rPr>
            </w:pPr>
            <w:r w:rsidRPr="00BE2B7F">
              <w:rPr>
                <w:rFonts w:ascii="Century Gothic" w:eastAsia="Calibri" w:hAnsi="Century Gothic" w:cs="Arial"/>
                <w:color w:val="000000"/>
                <w:sz w:val="22"/>
                <w:lang w:val="es-MX" w:eastAsia="en-US"/>
              </w:rPr>
              <w:t>30%</w:t>
            </w:r>
          </w:p>
        </w:tc>
      </w:tr>
    </w:tbl>
    <w:p w:rsidR="00BE2B7F" w:rsidRPr="00BE2B7F" w:rsidRDefault="00BE2B7F" w:rsidP="00BE2B7F">
      <w:pPr>
        <w:spacing w:line="360" w:lineRule="auto"/>
        <w:jc w:val="both"/>
        <w:rPr>
          <w:rFonts w:ascii="Century Gothic" w:eastAsia="Calibri" w:hAnsi="Century Gothic" w:cs="Arial"/>
          <w:bCs/>
          <w:color w:val="000000"/>
          <w:sz w:val="32"/>
          <w:szCs w:val="32"/>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DECIMOCUARTO.-</w:t>
      </w:r>
      <w:r w:rsidRPr="00BE2B7F">
        <w:rPr>
          <w:rFonts w:ascii="Century Gothic" w:eastAsia="Calibri" w:hAnsi="Century Gothic" w:cs="Arial"/>
          <w:bCs/>
          <w:color w:val="000000"/>
          <w:sz w:val="24"/>
          <w:szCs w:val="24"/>
          <w:lang w:val="es-MX" w:eastAsia="en-US"/>
        </w:rPr>
        <w:t xml:space="preserve"> Se establece un estímulo fiscal consistente en una reducción del 100% del monto de los derechos de registro, a que se refiere la fracción IV, del artículo 29, de la Ley Estatal de Derechos de Chihuahua, aplicable para quienes registren embargos declarados para garantizar prestaciones de trabajadores, con motivo de juicios laborales, y los declarados para garantizar el pago de alimentos; para quienes registren adjudicaciones ordenadas mediante laudos a favor de los trabajadores o sus beneficiarios; incluidas las cancelaciones necesarias para su inscripción; el registro o cancelación de inscripciones y notas marginales derivadas de sentencias en juicios de amparo que modifiquen resoluciones penales, civiles o familiares; así como para quienes soliciten la inscripción o cancelación de las fianzas carcelarias y sus anotaciones; y las cancelaciones derivadas de la declaración de nulidad de procedimientos administrativos de ejecución de autoridades fiscales y de procesos penales de investigación.</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lastRenderedPageBreak/>
        <w:t>ARTÍCULO DECIMOQUINTO.-</w:t>
      </w:r>
      <w:r w:rsidRPr="00BE2B7F">
        <w:rPr>
          <w:rFonts w:ascii="Century Gothic" w:eastAsia="Calibri" w:hAnsi="Century Gothic" w:cs="Arial"/>
          <w:bCs/>
          <w:color w:val="000000"/>
          <w:sz w:val="24"/>
          <w:szCs w:val="24"/>
          <w:lang w:val="es-MX" w:eastAsia="en-US"/>
        </w:rPr>
        <w:t xml:space="preserve"> El impuesto adicional a que se refiere la Sección I, del Título Tercero, de la Ley de Hacienda del Estado de Chihuahua, se determinará una vez aplicados los estímulos fiscales y condonaciones establecidas en la presente Ley de Ingresos, así como las condonaciones que se autoricen en términos de lo dispuesto en el Código Fiscal del Estado de Chihuahua.</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DECIMOSEXTO.-</w:t>
      </w:r>
      <w:r w:rsidRPr="00BE2B7F">
        <w:rPr>
          <w:rFonts w:ascii="Century Gothic" w:eastAsia="Calibri" w:hAnsi="Century Gothic" w:cs="Arial"/>
          <w:bCs/>
          <w:color w:val="000000"/>
          <w:sz w:val="24"/>
          <w:szCs w:val="24"/>
          <w:lang w:val="es-MX" w:eastAsia="en-US"/>
        </w:rPr>
        <w:t xml:space="preserve"> El estímulo fiscal establecido en el artículo 3-A del Decreto No. 57/2010 I P. O., relativo a Beneficios Fiscales para los contribuyentes en el Estado de Chihuahua, tendrá un tope de veintiocho millones de pesos.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DECIMOSÉPTIMO.-</w:t>
      </w:r>
      <w:r w:rsidRPr="00BE2B7F">
        <w:rPr>
          <w:rFonts w:ascii="Century Gothic" w:eastAsia="Calibri" w:hAnsi="Century Gothic" w:cs="Arial"/>
          <w:bCs/>
          <w:color w:val="000000"/>
          <w:sz w:val="24"/>
          <w:szCs w:val="24"/>
          <w:lang w:val="es-MX" w:eastAsia="en-US"/>
        </w:rPr>
        <w:t xml:space="preserve"> De conformidad con lo dispuesto en el Artículo Séptimo del Acuerdo emitido por la Secretaría de Comunicaciones y Transportes, publicado en el Diario Oficial de la Federación de fecha 25 de septiembre del año 2000, así como a lo establecido en el numeral 9.4 de la Norma Oficial Mexicana </w:t>
      </w:r>
      <w:proofErr w:type="spellStart"/>
      <w:r w:rsidRPr="00BE2B7F">
        <w:rPr>
          <w:rFonts w:ascii="Century Gothic" w:eastAsia="Calibri" w:hAnsi="Century Gothic" w:cs="Arial"/>
          <w:bCs/>
          <w:color w:val="000000"/>
          <w:sz w:val="24"/>
          <w:szCs w:val="24"/>
          <w:lang w:val="es-MX" w:eastAsia="en-US"/>
        </w:rPr>
        <w:t>NOM</w:t>
      </w:r>
      <w:proofErr w:type="spellEnd"/>
      <w:r w:rsidRPr="00BE2B7F">
        <w:rPr>
          <w:rFonts w:ascii="Century Gothic" w:eastAsia="Calibri" w:hAnsi="Century Gothic" w:cs="Arial"/>
          <w:bCs/>
          <w:color w:val="000000"/>
          <w:sz w:val="24"/>
          <w:szCs w:val="24"/>
          <w:lang w:val="es-MX" w:eastAsia="en-US"/>
        </w:rPr>
        <w:t xml:space="preserve">-001-SCT-2-2016, “Placas metálicas, calcomanías de identificación y tarjetas de circulación”, publicada en el Diario Oficial de la Federación del 24 de junio de 2016, durante el año 2022 se llevará a cabo, con carácter general, el programa de canje de placas metálicas de circulación vehicular, por lo que los derechos que se causen por la prestación de los servicios que realice la Dirección de la División de </w:t>
      </w:r>
      <w:r w:rsidRPr="00BE2B7F">
        <w:rPr>
          <w:rFonts w:ascii="Century Gothic" w:eastAsia="Calibri" w:hAnsi="Century Gothic" w:cs="Arial"/>
          <w:bCs/>
          <w:color w:val="000000"/>
          <w:sz w:val="24"/>
          <w:szCs w:val="24"/>
          <w:lang w:val="es-MX" w:eastAsia="en-US"/>
        </w:rPr>
        <w:lastRenderedPageBreak/>
        <w:t>Policía Vial por concepto de Canje de Placas, deberán pagarse dentro de los meses de febrero y marzo del año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Se autoriza a la Secretaría de Hacienda para que otorgue a los contribuyentes que realicen el pago del derecho de Canje de Placas en el plazo establecido en el párrafo anterior, un estímulo fiscal consistente en la aplicación de la cantidad que se señala en la siguiente tabla, sobre el derecho correspondiente al concepto de canje de placas.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tbl>
      <w:tblPr>
        <w:tblW w:w="4957" w:type="dxa"/>
        <w:jc w:val="center"/>
        <w:tblCellMar>
          <w:left w:w="70" w:type="dxa"/>
          <w:right w:w="70" w:type="dxa"/>
        </w:tblCellMar>
        <w:tblLook w:val="04A0" w:firstRow="1" w:lastRow="0" w:firstColumn="1" w:lastColumn="0" w:noHBand="0" w:noVBand="1"/>
      </w:tblPr>
      <w:tblGrid>
        <w:gridCol w:w="2180"/>
        <w:gridCol w:w="1202"/>
        <w:gridCol w:w="1575"/>
        <w:tblGridChange w:id="3">
          <w:tblGrid>
            <w:gridCol w:w="2180"/>
            <w:gridCol w:w="1202"/>
            <w:gridCol w:w="1496"/>
            <w:gridCol w:w="79"/>
          </w:tblGrid>
        </w:tblGridChange>
      </w:tblGrid>
      <w:tr w:rsidR="00BE2B7F" w:rsidRPr="00BE2B7F" w:rsidTr="00314625">
        <w:trPr>
          <w:trHeight w:val="320"/>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000000" w:fill="AEAAAA"/>
            <w:noWrap/>
            <w:vAlign w:val="center"/>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DERECHO</w:t>
            </w:r>
          </w:p>
        </w:tc>
        <w:tc>
          <w:tcPr>
            <w:tcW w:w="2777" w:type="dxa"/>
            <w:gridSpan w:val="2"/>
            <w:tcBorders>
              <w:top w:val="single" w:sz="4" w:space="0" w:color="auto"/>
              <w:left w:val="nil"/>
              <w:bottom w:val="single" w:sz="4" w:space="0" w:color="auto"/>
              <w:right w:val="single" w:sz="4" w:space="0" w:color="000000"/>
            </w:tcBorders>
            <w:shd w:val="clear" w:color="000000" w:fill="AEAAAA"/>
            <w:noWrap/>
            <w:vAlign w:val="bottom"/>
            <w:hideMark/>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ESTÍMULO</w:t>
            </w:r>
          </w:p>
        </w:tc>
      </w:tr>
      <w:tr w:rsidR="00BE2B7F" w:rsidRPr="00BE2B7F" w:rsidTr="00314625">
        <w:tblPrEx>
          <w:tblW w:w="4957" w:type="dxa"/>
          <w:jc w:val="center"/>
          <w:tblCellMar>
            <w:left w:w="70" w:type="dxa"/>
            <w:right w:w="70" w:type="dxa"/>
          </w:tblCellMar>
          <w:tblPrExChange w:id="4" w:author="Marco A. Gonzalez Palomo" w:date="2021-11-20T18:17:00Z">
            <w:tblPrEx>
              <w:tblW w:w="6080" w:type="dxa"/>
              <w:jc w:val="center"/>
              <w:tblCellMar>
                <w:left w:w="70" w:type="dxa"/>
                <w:right w:w="70" w:type="dxa"/>
              </w:tblCellMar>
            </w:tblPrEx>
          </w:tblPrExChange>
        </w:tblPrEx>
        <w:trPr>
          <w:trHeight w:val="320"/>
          <w:jc w:val="center"/>
          <w:trPrChange w:id="5" w:author="Marco A. Gonzalez Palomo" w:date="2021-11-20T18:17:00Z">
            <w:trPr>
              <w:gridAfter w:val="0"/>
              <w:wAfter w:w="1202" w:type="dxa"/>
              <w:trHeight w:val="320"/>
              <w:jc w:val="center"/>
            </w:trPr>
          </w:trPrChange>
        </w:trPr>
        <w:tc>
          <w:tcPr>
            <w:tcW w:w="2180" w:type="dxa"/>
            <w:vMerge/>
            <w:tcBorders>
              <w:top w:val="single" w:sz="4" w:space="0" w:color="auto"/>
              <w:left w:val="single" w:sz="4" w:space="0" w:color="auto"/>
              <w:bottom w:val="single" w:sz="4" w:space="0" w:color="000000"/>
              <w:right w:val="single" w:sz="4" w:space="0" w:color="auto"/>
            </w:tcBorders>
            <w:vAlign w:val="center"/>
            <w:hideMark/>
            <w:tcPrChange w:id="6" w:author="Marco A. Gonzalez Palomo" w:date="2021-11-20T18:17:00Z">
              <w:tcPr>
                <w:tcW w:w="2180" w:type="dxa"/>
                <w:vMerge/>
                <w:tcBorders>
                  <w:top w:val="single" w:sz="4" w:space="0" w:color="auto"/>
                  <w:left w:val="single" w:sz="4" w:space="0" w:color="auto"/>
                  <w:bottom w:val="single" w:sz="4" w:space="0" w:color="000000"/>
                  <w:right w:val="single" w:sz="4" w:space="0" w:color="auto"/>
                </w:tcBorders>
                <w:vAlign w:val="center"/>
                <w:hideMark/>
              </w:tcPr>
            </w:tcPrChange>
          </w:tcPr>
          <w:p w:rsidR="00BE2B7F" w:rsidRPr="00BE2B7F" w:rsidRDefault="00BE2B7F" w:rsidP="00BE2B7F">
            <w:pPr>
              <w:rPr>
                <w:rFonts w:ascii="Century Gothic" w:hAnsi="Century Gothic" w:cs="Arial"/>
                <w:b/>
                <w:bCs/>
                <w:color w:val="000000"/>
                <w:sz w:val="22"/>
                <w:lang w:val="es-MX" w:eastAsia="es-MX"/>
              </w:rPr>
            </w:pPr>
          </w:p>
        </w:tc>
        <w:tc>
          <w:tcPr>
            <w:tcW w:w="1202" w:type="dxa"/>
            <w:tcBorders>
              <w:top w:val="nil"/>
              <w:left w:val="nil"/>
              <w:bottom w:val="single" w:sz="4" w:space="0" w:color="auto"/>
              <w:right w:val="single" w:sz="4" w:space="0" w:color="auto"/>
            </w:tcBorders>
            <w:shd w:val="clear" w:color="000000" w:fill="AEAAAA"/>
            <w:noWrap/>
            <w:vAlign w:val="bottom"/>
            <w:hideMark/>
            <w:tcPrChange w:id="7" w:author="Marco A. Gonzalez Palomo" w:date="2021-11-20T18:17:00Z">
              <w:tcPr>
                <w:tcW w:w="1202" w:type="dxa"/>
                <w:tcBorders>
                  <w:top w:val="nil"/>
                  <w:left w:val="nil"/>
                  <w:bottom w:val="single" w:sz="4" w:space="0" w:color="auto"/>
                  <w:right w:val="single" w:sz="4" w:space="0" w:color="auto"/>
                </w:tcBorders>
                <w:shd w:val="clear" w:color="000000" w:fill="AEAAAA"/>
                <w:noWrap/>
                <w:vAlign w:val="bottom"/>
                <w:hideMark/>
              </w:tcPr>
            </w:tcPrChange>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FEBRERO</w:t>
            </w:r>
          </w:p>
        </w:tc>
        <w:tc>
          <w:tcPr>
            <w:tcW w:w="1575" w:type="dxa"/>
            <w:tcBorders>
              <w:top w:val="nil"/>
              <w:left w:val="nil"/>
              <w:bottom w:val="single" w:sz="4" w:space="0" w:color="auto"/>
              <w:right w:val="single" w:sz="4" w:space="0" w:color="auto"/>
            </w:tcBorders>
            <w:shd w:val="clear" w:color="000000" w:fill="AEAAAA"/>
            <w:noWrap/>
            <w:vAlign w:val="bottom"/>
            <w:tcPrChange w:id="8" w:author="Marco A. Gonzalez Palomo" w:date="2021-11-20T18:17:00Z">
              <w:tcPr>
                <w:tcW w:w="1496" w:type="dxa"/>
                <w:tcBorders>
                  <w:top w:val="nil"/>
                  <w:left w:val="nil"/>
                  <w:bottom w:val="single" w:sz="4" w:space="0" w:color="auto"/>
                  <w:right w:val="single" w:sz="4" w:space="0" w:color="auto"/>
                </w:tcBorders>
                <w:shd w:val="clear" w:color="000000" w:fill="AEAAAA"/>
                <w:noWrap/>
                <w:vAlign w:val="bottom"/>
              </w:tcPr>
            </w:tcPrChange>
          </w:tcPr>
          <w:p w:rsidR="00BE2B7F" w:rsidRPr="00BE2B7F" w:rsidRDefault="00BE2B7F" w:rsidP="00BE2B7F">
            <w:pPr>
              <w:jc w:val="center"/>
              <w:rPr>
                <w:rFonts w:ascii="Century Gothic" w:hAnsi="Century Gothic" w:cs="Arial"/>
                <w:b/>
                <w:bCs/>
                <w:color w:val="000000"/>
                <w:sz w:val="22"/>
                <w:lang w:val="es-MX" w:eastAsia="es-MX"/>
              </w:rPr>
            </w:pPr>
            <w:r w:rsidRPr="00BE2B7F">
              <w:rPr>
                <w:rFonts w:ascii="Century Gothic" w:hAnsi="Century Gothic" w:cs="Arial"/>
                <w:b/>
                <w:bCs/>
                <w:color w:val="000000"/>
                <w:sz w:val="22"/>
                <w:lang w:val="es-MX" w:eastAsia="es-MX"/>
              </w:rPr>
              <w:t>MARZO</w:t>
            </w:r>
          </w:p>
        </w:tc>
      </w:tr>
      <w:tr w:rsidR="00BE2B7F" w:rsidRPr="00BE2B7F" w:rsidTr="00314625">
        <w:tblPrEx>
          <w:tblW w:w="4957" w:type="dxa"/>
          <w:jc w:val="center"/>
          <w:tblCellMar>
            <w:left w:w="70" w:type="dxa"/>
            <w:right w:w="70" w:type="dxa"/>
          </w:tblCellMar>
          <w:tblPrExChange w:id="9" w:author="Marco A. Gonzalez Palomo" w:date="2021-11-20T18:17:00Z">
            <w:tblPrEx>
              <w:tblW w:w="6080" w:type="dxa"/>
              <w:jc w:val="center"/>
              <w:tblCellMar>
                <w:left w:w="70" w:type="dxa"/>
                <w:right w:w="70" w:type="dxa"/>
              </w:tblCellMar>
            </w:tblPrEx>
          </w:tblPrExChange>
        </w:tblPrEx>
        <w:trPr>
          <w:trHeight w:val="320"/>
          <w:jc w:val="center"/>
          <w:trPrChange w:id="10" w:author="Marco A. Gonzalez Palomo" w:date="2021-11-20T18:17:00Z">
            <w:trPr>
              <w:gridAfter w:val="0"/>
              <w:wAfter w:w="1202" w:type="dxa"/>
              <w:trHeight w:val="320"/>
              <w:jc w:val="center"/>
            </w:trPr>
          </w:trPrChange>
        </w:trPr>
        <w:tc>
          <w:tcPr>
            <w:tcW w:w="2180" w:type="dxa"/>
            <w:tcBorders>
              <w:top w:val="nil"/>
              <w:left w:val="single" w:sz="4" w:space="0" w:color="auto"/>
              <w:bottom w:val="single" w:sz="4" w:space="0" w:color="auto"/>
              <w:right w:val="single" w:sz="4" w:space="0" w:color="auto"/>
            </w:tcBorders>
            <w:shd w:val="clear" w:color="auto" w:fill="auto"/>
            <w:noWrap/>
            <w:vAlign w:val="bottom"/>
            <w:hideMark/>
            <w:tcPrChange w:id="11" w:author="Marco A. Gonzalez Palomo" w:date="2021-11-20T18:17:00Z">
              <w:tcPr>
                <w:tcW w:w="218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BE2B7F" w:rsidRPr="00BE2B7F" w:rsidRDefault="00BE2B7F" w:rsidP="00BE2B7F">
            <w:pP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Canje de placas</w:t>
            </w:r>
          </w:p>
        </w:tc>
        <w:tc>
          <w:tcPr>
            <w:tcW w:w="1202" w:type="dxa"/>
            <w:tcBorders>
              <w:top w:val="nil"/>
              <w:left w:val="nil"/>
              <w:bottom w:val="single" w:sz="4" w:space="0" w:color="auto"/>
              <w:right w:val="single" w:sz="4" w:space="0" w:color="auto"/>
            </w:tcBorders>
            <w:shd w:val="clear" w:color="auto" w:fill="auto"/>
            <w:noWrap/>
            <w:vAlign w:val="bottom"/>
            <w:hideMark/>
            <w:tcPrChange w:id="12" w:author="Marco A. Gonzalez Palomo" w:date="2021-11-20T18:17:00Z">
              <w:tcPr>
                <w:tcW w:w="1202" w:type="dxa"/>
                <w:tcBorders>
                  <w:top w:val="nil"/>
                  <w:left w:val="nil"/>
                  <w:bottom w:val="single" w:sz="4" w:space="0" w:color="auto"/>
                  <w:right w:val="single" w:sz="4" w:space="0" w:color="auto"/>
                </w:tcBorders>
                <w:shd w:val="clear" w:color="auto" w:fill="auto"/>
                <w:noWrap/>
                <w:vAlign w:val="bottom"/>
                <w:hideMark/>
              </w:tcPr>
            </w:tcPrChange>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200.00 </w:t>
            </w:r>
          </w:p>
        </w:tc>
        <w:tc>
          <w:tcPr>
            <w:tcW w:w="1575" w:type="dxa"/>
            <w:tcBorders>
              <w:top w:val="nil"/>
              <w:left w:val="nil"/>
              <w:bottom w:val="single" w:sz="4" w:space="0" w:color="auto"/>
              <w:right w:val="single" w:sz="4" w:space="0" w:color="auto"/>
            </w:tcBorders>
            <w:shd w:val="clear" w:color="auto" w:fill="auto"/>
            <w:noWrap/>
            <w:vAlign w:val="bottom"/>
            <w:hideMark/>
            <w:tcPrChange w:id="13" w:author="Marco A. Gonzalez Palomo" w:date="2021-11-20T18:17:00Z">
              <w:tcPr>
                <w:tcW w:w="1496" w:type="dxa"/>
                <w:tcBorders>
                  <w:top w:val="nil"/>
                  <w:left w:val="nil"/>
                  <w:bottom w:val="single" w:sz="4" w:space="0" w:color="auto"/>
                  <w:right w:val="single" w:sz="4" w:space="0" w:color="auto"/>
                </w:tcBorders>
                <w:shd w:val="clear" w:color="auto" w:fill="auto"/>
                <w:noWrap/>
                <w:vAlign w:val="bottom"/>
                <w:hideMark/>
              </w:tcPr>
            </w:tcPrChange>
          </w:tcPr>
          <w:p w:rsidR="00BE2B7F" w:rsidRPr="00BE2B7F" w:rsidRDefault="00BE2B7F" w:rsidP="00BE2B7F">
            <w:pPr>
              <w:jc w:val="center"/>
              <w:rPr>
                <w:rFonts w:ascii="Century Gothic" w:hAnsi="Century Gothic" w:cs="Arial"/>
                <w:color w:val="000000"/>
                <w:sz w:val="22"/>
                <w:lang w:val="es-MX" w:eastAsia="es-MX"/>
              </w:rPr>
            </w:pPr>
            <w:r w:rsidRPr="00BE2B7F">
              <w:rPr>
                <w:rFonts w:ascii="Century Gothic" w:hAnsi="Century Gothic" w:cs="Arial"/>
                <w:color w:val="000000"/>
                <w:sz w:val="22"/>
                <w:lang w:val="es-MX" w:eastAsia="es-MX"/>
              </w:rPr>
              <w:t xml:space="preserve">200.00 </w:t>
            </w:r>
          </w:p>
        </w:tc>
      </w:tr>
    </w:tbl>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 xml:space="preserve">Para acceder a los beneficios antes referidos, los contribuyentes </w:t>
      </w:r>
      <w:proofErr w:type="gramStart"/>
      <w:r w:rsidRPr="00BE2B7F">
        <w:rPr>
          <w:rFonts w:ascii="Century Gothic" w:eastAsia="Calibri" w:hAnsi="Century Gothic" w:cs="Arial"/>
          <w:bCs/>
          <w:color w:val="000000"/>
          <w:sz w:val="24"/>
          <w:szCs w:val="24"/>
          <w:lang w:val="es-MX" w:eastAsia="en-US"/>
        </w:rPr>
        <w:t>deberán</w:t>
      </w:r>
      <w:proofErr w:type="gramEnd"/>
      <w:r w:rsidRPr="00BE2B7F">
        <w:rPr>
          <w:rFonts w:ascii="Century Gothic" w:eastAsia="Calibri" w:hAnsi="Century Gothic" w:cs="Arial"/>
          <w:bCs/>
          <w:color w:val="000000"/>
          <w:sz w:val="24"/>
          <w:szCs w:val="24"/>
          <w:lang w:val="es-MX" w:eastAsia="en-US"/>
        </w:rPr>
        <w:t xml:space="preserve"> estar</w:t>
      </w:r>
      <w:r w:rsidRPr="00BE2B7F">
        <w:rPr>
          <w:rFonts w:ascii="Century Gothic" w:eastAsia="Calibri" w:hAnsi="Century Gothic" w:cs="Arial"/>
          <w:b/>
          <w:bCs/>
          <w:color w:val="000000"/>
          <w:sz w:val="24"/>
          <w:szCs w:val="24"/>
          <w:lang w:val="es-MX" w:eastAsia="en-US"/>
        </w:rPr>
        <w:t xml:space="preserve"> </w:t>
      </w:r>
      <w:r w:rsidRPr="00BE2B7F">
        <w:rPr>
          <w:rFonts w:ascii="Century Gothic" w:eastAsia="Calibri" w:hAnsi="Century Gothic" w:cs="Arial"/>
          <w:bCs/>
          <w:color w:val="000000"/>
          <w:sz w:val="24"/>
          <w:szCs w:val="24"/>
          <w:lang w:val="es-MX" w:eastAsia="en-US"/>
        </w:rPr>
        <w:t>al corriente en el pago del Impuesto Sobre Tenencia o Uso de Vehículos, en Derecho de Control Vehicular e infracciones impuestas por las autoridades de tránsito, así como tener licencia de conducir vigente. De no ser así, se deberá pagar el costo total de los derechos respectivos.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DECIMOCTAVO.-</w:t>
      </w:r>
      <w:r w:rsidRPr="00BE2B7F">
        <w:rPr>
          <w:rFonts w:ascii="Century Gothic" w:eastAsia="Calibri" w:hAnsi="Century Gothic" w:cs="Arial"/>
          <w:bCs/>
          <w:color w:val="000000"/>
          <w:sz w:val="24"/>
          <w:szCs w:val="24"/>
          <w:lang w:val="es-MX" w:eastAsia="en-US"/>
        </w:rPr>
        <w:t xml:space="preserve">  Los ingresos que conforme al ejercicio de sus facultades legales, tengan derecho a percibir los organismos descentralizados del Estado, serán captados o recaudados por la Secretaría de Hacienda, de conformidad con lo dispuesto en el artículo 3, del Código </w:t>
      </w:r>
      <w:r w:rsidRPr="00BE2B7F">
        <w:rPr>
          <w:rFonts w:ascii="Century Gothic" w:eastAsia="Calibri" w:hAnsi="Century Gothic" w:cs="Arial"/>
          <w:bCs/>
          <w:color w:val="000000"/>
          <w:sz w:val="24"/>
          <w:szCs w:val="24"/>
          <w:lang w:val="es-MX" w:eastAsia="en-US"/>
        </w:rPr>
        <w:lastRenderedPageBreak/>
        <w:t>Fiscal del Estado de Chihuahua, y en términos de la Ley General de Contabilidad Gubernamental.</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DECIMONOVENO.-</w:t>
      </w:r>
      <w:r w:rsidRPr="00BE2B7F">
        <w:rPr>
          <w:rFonts w:ascii="Century Gothic" w:eastAsia="Calibri" w:hAnsi="Century Gothic" w:cs="Arial"/>
          <w:bCs/>
          <w:color w:val="000000"/>
          <w:sz w:val="24"/>
          <w:szCs w:val="24"/>
          <w:lang w:val="es-MX" w:eastAsia="en-US"/>
        </w:rPr>
        <w:t xml:space="preserve"> Se autoriza a la Secretaría de Hacienda, para fijar o modificar, mediante resoluciones de carácter particular, las cuotas de los productos que pretendan cobrar las dependencias estatales durante el ejercicio fiscal de 2022, aun cuando su cobro se encuentre previsto en otras leyes.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Las autorizaciones para fijar o modificar las cuotas de los productos que otorgue la Secretaría de Hacienda durante el ejercicio fiscal de 2022, solo surtirán sus efectos para ese año y, en su caso, dicha Secretaría autorizará el destino específico para los productos que perciba la dependencia correspondiente, aun cuando su destino se encuentre previsto en otras leyes.</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Para los efectos del párrafo anterior, las dependencias estarán obligadas a someter para su aprobación, durante los meses de enero y febrero de 2022, los montos de los productos que se cobren de manera regular. Los productos que no sean sometidos a la aprobación de la Secretaría de Hacienda, no podrán ser cobrados por la dependencia de que se trate a partir del 1 de marzo de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lastRenderedPageBreak/>
        <w:t>En tanto no sean autorizados los productos a que se refiere este artículo para el ejercicio fiscal de 2022, se aplicarán los vigentes al 31 de diciembre de 2021 actualizados por la inflación del mismo año.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
          <w:bCs/>
          <w:color w:val="000000"/>
          <w:sz w:val="28"/>
          <w:szCs w:val="24"/>
          <w:lang w:val="es-MX" w:eastAsia="en-US"/>
        </w:rPr>
        <w:t>ARTÍCULO VIGÉSIMO.-</w:t>
      </w:r>
      <w:r w:rsidRPr="00BE2B7F">
        <w:rPr>
          <w:rFonts w:ascii="Century Gothic" w:eastAsia="Calibri" w:hAnsi="Century Gothic" w:cs="Arial"/>
          <w:bCs/>
          <w:color w:val="000000"/>
          <w:sz w:val="28"/>
          <w:szCs w:val="24"/>
          <w:lang w:val="es-MX" w:eastAsia="en-US"/>
        </w:rPr>
        <w:t xml:space="preserve"> </w:t>
      </w:r>
      <w:r w:rsidRPr="00BE2B7F">
        <w:rPr>
          <w:rFonts w:ascii="Century Gothic" w:eastAsia="Calibri" w:hAnsi="Century Gothic" w:cs="Arial"/>
          <w:bCs/>
          <w:color w:val="000000"/>
          <w:sz w:val="24"/>
          <w:szCs w:val="24"/>
          <w:lang w:val="es-MX" w:eastAsia="en-US"/>
        </w:rPr>
        <w:t>Durante el ejercicio fiscal de 2022, se autoriza a la Secretaría de Hacienda, mediante resoluciones de carácter particular, aprobar los montos de los aprovechamientos que cobren las dependencias estatales, salvo cuando su determinación y cobro se encuentre previsto en otras leyes. Para tal efecto, las dependencias estarán obligadas a someter para su aprobación, durante los meses de enero y febrero de 2022, los montos de los aprovechamientos que se cobren de manera regular. Los aprovechamientos que no sean sometidos a la aprobación de la Secretaría de Hacienda, no podrán ser cobrados por la dependencia de que se trate a partir del 1 de marzo de 2022.</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t>Las autorizaciones para fijar o modificar las cuotas de los aprovechamientos que otorgue la Secretaría de Hacienda durante el ejercicio fiscal de 2022, solo surtirán sus efectos para ese año y, en su caso, dicha Secretaría autorizará el destino específico para los aprovechamientos que perciba la dependencia correspondiente.</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r w:rsidRPr="00BE2B7F">
        <w:rPr>
          <w:rFonts w:ascii="Century Gothic" w:eastAsia="Calibri" w:hAnsi="Century Gothic" w:cs="Arial"/>
          <w:bCs/>
          <w:color w:val="000000"/>
          <w:sz w:val="24"/>
          <w:szCs w:val="24"/>
          <w:lang w:val="es-MX" w:eastAsia="en-US"/>
        </w:rPr>
        <w:lastRenderedPageBreak/>
        <w:t>En tanto no sean autorizados los aprovechamientos a que se refiere este artículo para el ejercicio fiscal de 2022, se aplicarán los vigentes al 31 de diciembre de 2021 actualizados por la inflación del mismo año.</w:t>
      </w:r>
    </w:p>
    <w:p w:rsidR="00BE2B7F" w:rsidRPr="00BE2B7F" w:rsidRDefault="00BE2B7F" w:rsidP="00BE2B7F">
      <w:pPr>
        <w:spacing w:line="360" w:lineRule="auto"/>
        <w:jc w:val="both"/>
        <w:rPr>
          <w:rFonts w:ascii="Century Gothic" w:eastAsia="Calibri" w:hAnsi="Century Gothic" w:cs="Arial"/>
          <w:bCs/>
          <w:color w:val="000000"/>
          <w:sz w:val="24"/>
          <w:szCs w:val="24"/>
          <w:lang w:val="es-MX" w:eastAsia="en-US"/>
        </w:rPr>
      </w:pPr>
    </w:p>
    <w:p w:rsidR="00BE2B7F" w:rsidRPr="00BE2B7F" w:rsidRDefault="00BE2B7F" w:rsidP="00BE2B7F">
      <w:pPr>
        <w:spacing w:line="360" w:lineRule="auto"/>
        <w:jc w:val="center"/>
        <w:rPr>
          <w:rFonts w:ascii="Century Gothic" w:eastAsia="Calibri" w:hAnsi="Century Gothic" w:cs="Arial"/>
          <w:b/>
          <w:bCs/>
          <w:color w:val="000000"/>
          <w:sz w:val="28"/>
          <w:szCs w:val="28"/>
          <w:lang w:val="en-US" w:eastAsia="en-US"/>
        </w:rPr>
      </w:pPr>
      <w:r w:rsidRPr="00BE2B7F">
        <w:rPr>
          <w:rFonts w:ascii="Century Gothic" w:eastAsia="Calibri" w:hAnsi="Century Gothic" w:cs="Arial"/>
          <w:b/>
          <w:bCs/>
          <w:color w:val="000000"/>
          <w:sz w:val="28"/>
          <w:szCs w:val="28"/>
          <w:lang w:val="en-US" w:eastAsia="en-US"/>
        </w:rPr>
        <w:t>T</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R</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A</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N</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S</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I</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T</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O</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R</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I</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O</w:t>
      </w:r>
      <w:r w:rsidR="00586838" w:rsidRPr="00586838">
        <w:rPr>
          <w:rFonts w:ascii="Century Gothic" w:eastAsia="Calibri" w:hAnsi="Century Gothic" w:cs="Arial"/>
          <w:b/>
          <w:bCs/>
          <w:color w:val="000000"/>
          <w:sz w:val="28"/>
          <w:szCs w:val="28"/>
          <w:lang w:val="en-US" w:eastAsia="en-US"/>
        </w:rPr>
        <w:t xml:space="preserve"> </w:t>
      </w:r>
      <w:r w:rsidRPr="00BE2B7F">
        <w:rPr>
          <w:rFonts w:ascii="Century Gothic" w:eastAsia="Calibri" w:hAnsi="Century Gothic" w:cs="Arial"/>
          <w:b/>
          <w:bCs/>
          <w:color w:val="000000"/>
          <w:sz w:val="28"/>
          <w:szCs w:val="28"/>
          <w:lang w:val="en-US" w:eastAsia="en-US"/>
        </w:rPr>
        <w:t>S</w:t>
      </w:r>
    </w:p>
    <w:p w:rsidR="00BE2B7F" w:rsidRPr="00BE2B7F" w:rsidRDefault="00BE2B7F" w:rsidP="00BE2B7F">
      <w:pPr>
        <w:autoSpaceDE w:val="0"/>
        <w:autoSpaceDN w:val="0"/>
        <w:adjustRightInd w:val="0"/>
        <w:spacing w:line="360" w:lineRule="auto"/>
        <w:jc w:val="both"/>
        <w:rPr>
          <w:rFonts w:ascii="Century Gothic" w:hAnsi="Century Gothic" w:cs="Arial"/>
          <w:b/>
          <w:sz w:val="28"/>
          <w:szCs w:val="28"/>
          <w:lang w:val="en-US"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b/>
          <w:sz w:val="28"/>
          <w:szCs w:val="28"/>
          <w:lang w:eastAsia="es-MX"/>
        </w:rPr>
        <w:t>ARTÍCULO PRIMERO.-</w:t>
      </w:r>
      <w:r w:rsidRPr="00BE2B7F">
        <w:rPr>
          <w:rFonts w:ascii="Century Gothic" w:hAnsi="Century Gothic" w:cs="Arial"/>
          <w:b/>
          <w:sz w:val="24"/>
          <w:szCs w:val="24"/>
          <w:lang w:eastAsia="es-MX"/>
        </w:rPr>
        <w:t xml:space="preserve"> </w:t>
      </w:r>
      <w:r w:rsidRPr="00BE2B7F">
        <w:rPr>
          <w:rFonts w:ascii="Century Gothic" w:hAnsi="Century Gothic" w:cs="Arial"/>
          <w:sz w:val="24"/>
          <w:szCs w:val="24"/>
          <w:lang w:val="es-MX" w:eastAsia="es-MX"/>
        </w:rPr>
        <w:t>La presente Ley entrará en vigor el día 1° de enero del año 2022.</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b/>
          <w:sz w:val="28"/>
          <w:szCs w:val="24"/>
          <w:lang w:val="es-MX" w:eastAsia="es-MX"/>
        </w:rPr>
        <w:t>ARTÍCULO SEGUNDO.-</w:t>
      </w:r>
      <w:r w:rsidRPr="00BE2B7F">
        <w:rPr>
          <w:rFonts w:ascii="Century Gothic" w:hAnsi="Century Gothic" w:cs="Arial"/>
          <w:b/>
          <w:sz w:val="24"/>
          <w:szCs w:val="24"/>
          <w:lang w:val="es-MX" w:eastAsia="es-MX"/>
        </w:rPr>
        <w:t xml:space="preserve"> </w:t>
      </w:r>
      <w:r w:rsidRPr="00BE2B7F">
        <w:rPr>
          <w:rFonts w:ascii="Century Gothic" w:hAnsi="Century Gothic" w:cs="Arial"/>
          <w:sz w:val="24"/>
          <w:szCs w:val="24"/>
          <w:lang w:val="es-MX" w:eastAsia="es-MX"/>
        </w:rPr>
        <w:t>Se derogan las disposiciones, respecto a personas físicas o morales, tanto de derecho privado como de derecho público, incluyendo a los organismos públicos autónomos, organismos descentralizados y demás entidades de la administración pública descentralizada, que contengan a favor de alguna de estas personas, exenciones totales o parciales, o les consideren como no sujetos de contribuciones estatales, o les otorguen tratamientos preferenciales o diferenciales en materia de ingresos y contribuciones locales, o estímulos o beneficios fiscales, exceptuándose de lo anterior las establecidas en el Código Fiscal del Estado de Chihuahua, en las leyes especiales que regulan cada contribución o en la Ley de Ingresos a que se refiere el presente Decreto.</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sz w:val="24"/>
          <w:szCs w:val="24"/>
          <w:lang w:val="es-MX" w:eastAsia="es-MX"/>
        </w:rPr>
        <w:lastRenderedPageBreak/>
        <w:t>También se exceptúan a lo dispuesto en el párrafo que antecede los estímulos y/o beneficios fiscales contenidos en el Decreto No. 57/2010 I P.O., publicado en el Periódico Oficial del Estado de Chihuahua el 11 de abril de 2012, así como los actos legislativos que contengan modificaciones al mismo.</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b/>
          <w:sz w:val="28"/>
          <w:szCs w:val="24"/>
          <w:lang w:val="es-MX" w:eastAsia="es-MX"/>
        </w:rPr>
        <w:t>ARTÍCULO TERCERO.-</w:t>
      </w:r>
      <w:r w:rsidRPr="00BE2B7F">
        <w:rPr>
          <w:rFonts w:ascii="Century Gothic" w:hAnsi="Century Gothic" w:cs="Arial"/>
          <w:b/>
          <w:sz w:val="24"/>
          <w:szCs w:val="24"/>
          <w:lang w:val="es-MX" w:eastAsia="es-MX"/>
        </w:rPr>
        <w:t xml:space="preserve"> </w:t>
      </w:r>
      <w:r w:rsidRPr="00BE2B7F">
        <w:rPr>
          <w:rFonts w:ascii="Century Gothic" w:hAnsi="Century Gothic" w:cs="Arial"/>
          <w:sz w:val="24"/>
          <w:szCs w:val="24"/>
          <w:lang w:val="es-MX" w:eastAsia="es-MX"/>
        </w:rPr>
        <w:t>Para los efectos de la Ley de Ingresos del Estado de Chihuahua para el Ejercicio Fiscal de 2022, cuando de conformidad con la Ley Orgánica del Poder Ejecutivo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b/>
          <w:sz w:val="28"/>
          <w:szCs w:val="24"/>
          <w:lang w:val="es-MX" w:eastAsia="es-MX"/>
        </w:rPr>
        <w:t xml:space="preserve">ARTÍCULO CUARTO.- </w:t>
      </w:r>
      <w:r w:rsidRPr="00BE2B7F">
        <w:rPr>
          <w:rFonts w:ascii="Century Gothic" w:hAnsi="Century Gothic" w:cs="Arial"/>
          <w:sz w:val="24"/>
          <w:szCs w:val="24"/>
          <w:lang w:val="es-MX" w:eastAsia="es-MX"/>
        </w:rPr>
        <w:t>Los municipios que cuenten con disponibilidades de recursos estatales destinados a un fin específico previstos en el artículo 38 de la Ley de Coordinación Fiscal del Estado de Chihuahua y sus Municipios correspondientes al ejercicio fiscal 2022, que no hayan sido devengados y pagados en términos de las disposiciones jurídicas aplicables, deberán enterarlos a la Secretaría de Hacienda, incluyendo los rendimientos financieros que hubieran generado a más tardar el 15 de enero de 2023.</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sz w:val="24"/>
          <w:szCs w:val="24"/>
          <w:lang w:val="es-MX" w:eastAsia="es-MX"/>
        </w:rPr>
        <w:lastRenderedPageBreak/>
        <w:t>Sin perjuicio de lo anterior, las transferencias estatales etiquetadas en términos del párrafo anterior que, al 31 de diciembre del ejercicio fiscal 2022 se hayan comprometido y aquellas devengadas pero que no hayan sido pagadas, deberán cubrir los pagos respectivos a más tardar durante el primer trimestre de 2023; una vez cumplido el plazo referido, los recursos remanentes deberán reintegrarse a la Secretaría de Hacienda, a más tardar dentro de los 15 días naturales siguientes. Los reintegros deberán incluir los rendimientos financieros generados.</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sz w:val="24"/>
          <w:szCs w:val="24"/>
          <w:lang w:val="es-MX" w:eastAsia="es-MX"/>
        </w:rPr>
        <w:t>Los organismos paraestatales que tengan etiquetados recursos estatales en términos de la Ley de Hacienda del Estado de Chihuahua, en reglas de operación, convenios o instrumentos jurídicos, con excepción de los contenidos en los Decretos números 266-94-XI-</w:t>
      </w:r>
      <w:proofErr w:type="spellStart"/>
      <w:r w:rsidRPr="00BE2B7F">
        <w:rPr>
          <w:rFonts w:ascii="Century Gothic" w:hAnsi="Century Gothic" w:cs="Arial"/>
          <w:sz w:val="24"/>
          <w:szCs w:val="24"/>
          <w:lang w:val="es-MX" w:eastAsia="es-MX"/>
        </w:rPr>
        <w:t>P.E</w:t>
      </w:r>
      <w:proofErr w:type="spellEnd"/>
      <w:r w:rsidRPr="00BE2B7F">
        <w:rPr>
          <w:rFonts w:ascii="Century Gothic" w:hAnsi="Century Gothic" w:cs="Arial"/>
          <w:sz w:val="24"/>
          <w:szCs w:val="24"/>
          <w:lang w:val="es-MX" w:eastAsia="es-MX"/>
        </w:rPr>
        <w:t xml:space="preserve">., publicado en el Periódico Oficial del Estado de Chihuahua del 30 de abril de 1994, y 842/2012 VI </w:t>
      </w:r>
      <w:proofErr w:type="spellStart"/>
      <w:r w:rsidRPr="00BE2B7F">
        <w:rPr>
          <w:rFonts w:ascii="Century Gothic" w:hAnsi="Century Gothic" w:cs="Arial"/>
          <w:sz w:val="24"/>
          <w:szCs w:val="24"/>
          <w:lang w:val="es-MX" w:eastAsia="es-MX"/>
        </w:rPr>
        <w:t>P.E</w:t>
      </w:r>
      <w:proofErr w:type="spellEnd"/>
      <w:r w:rsidRPr="00BE2B7F">
        <w:rPr>
          <w:rFonts w:ascii="Century Gothic" w:hAnsi="Century Gothic" w:cs="Arial"/>
          <w:sz w:val="24"/>
          <w:szCs w:val="24"/>
          <w:lang w:val="es-MX" w:eastAsia="es-MX"/>
        </w:rPr>
        <w:t>., publicado en el Periódico Oficial del Estado de Chihuahua del 22 de septiembre de 2012, en relación a su vez con los actos legislativos que contienen las modificaciones a los mismos; correspondientes a ejercicios fiscales anteriores al 2022, que no hayan sido devengados y pagados en términos de las disposiciones jurídicas aplicables, deberán enterarlos a la Secretaría de Hacienda, incluyendo los rendimientos financieros que hubieran generado a más tardar el 15 de enero de 2022.</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r w:rsidRPr="00BE2B7F">
        <w:rPr>
          <w:rFonts w:ascii="Century Gothic" w:hAnsi="Century Gothic" w:cs="Arial"/>
          <w:sz w:val="24"/>
          <w:szCs w:val="24"/>
          <w:lang w:val="es-MX" w:eastAsia="es-MX"/>
        </w:rPr>
        <w:lastRenderedPageBreak/>
        <w:t>Los recursos correspondientes a los aprovechamientos que se obtengan, se destinarán por la Secretaría de Hacienda, en términos de las disposiciones jurídicas aplicables para el saneamiento financiero del Gobierno del Estado.</w:t>
      </w: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val="es-MX" w:eastAsia="es-MX"/>
        </w:rPr>
      </w:pPr>
    </w:p>
    <w:p w:rsidR="00BE2B7F" w:rsidRPr="00BE2B7F" w:rsidRDefault="00BE2B7F" w:rsidP="00BE2B7F">
      <w:pPr>
        <w:autoSpaceDE w:val="0"/>
        <w:autoSpaceDN w:val="0"/>
        <w:adjustRightInd w:val="0"/>
        <w:spacing w:line="360" w:lineRule="auto"/>
        <w:jc w:val="both"/>
        <w:rPr>
          <w:rFonts w:ascii="Century Gothic" w:hAnsi="Century Gothic" w:cs="Arial"/>
          <w:sz w:val="24"/>
          <w:szCs w:val="24"/>
          <w:lang w:eastAsia="es-MX"/>
        </w:rPr>
      </w:pPr>
      <w:r w:rsidRPr="00BE2B7F">
        <w:rPr>
          <w:rFonts w:ascii="Century Gothic" w:hAnsi="Century Gothic" w:cs="Arial"/>
          <w:b/>
          <w:sz w:val="28"/>
          <w:szCs w:val="24"/>
          <w:lang w:val="es-MX" w:eastAsia="es-MX"/>
        </w:rPr>
        <w:t>ARTÍCULO QUINTO.-</w:t>
      </w:r>
      <w:r w:rsidRPr="00BE2B7F">
        <w:rPr>
          <w:rFonts w:ascii="Century Gothic" w:hAnsi="Century Gothic" w:cs="Arial"/>
          <w:b/>
          <w:sz w:val="24"/>
          <w:szCs w:val="24"/>
          <w:lang w:val="es-MX" w:eastAsia="es-MX"/>
        </w:rPr>
        <w:t xml:space="preserve"> </w:t>
      </w:r>
      <w:r w:rsidRPr="00BE2B7F">
        <w:rPr>
          <w:rFonts w:ascii="Century Gothic" w:hAnsi="Century Gothic" w:cs="Arial"/>
          <w:sz w:val="24"/>
          <w:szCs w:val="24"/>
          <w:lang w:val="es-MX" w:eastAsia="es-MX"/>
        </w:rPr>
        <w:t>Para efectos de lo dispuesto en el Artículo Decimoctavo de esta Ley, la Secretaría de Hacienda para efectos de la transición de las funciones de recaudación y administración de recursos, establecerá un calendario en el que se indicará con qué Organismos se iniciará dicho proceso, el cual se dará a conocer a los mismos; en dicha programación se señalará como prioridad los Organismos Descentralizados dependientes de las Secretarías de Educación y Deporte, y de Salud.</w:t>
      </w:r>
    </w:p>
    <w:p w:rsidR="00750FEB" w:rsidRDefault="00750FEB" w:rsidP="002D13D9">
      <w:pPr>
        <w:spacing w:line="360" w:lineRule="auto"/>
        <w:ind w:right="-709"/>
        <w:jc w:val="both"/>
        <w:rPr>
          <w:rFonts w:ascii="Century Gothic" w:eastAsia="Calibri" w:hAnsi="Century Gothic"/>
          <w:sz w:val="24"/>
          <w:szCs w:val="24"/>
          <w:lang w:val="es-MX" w:eastAsia="en-US"/>
        </w:rPr>
      </w:pPr>
    </w:p>
    <w:p w:rsidR="00DB27A4" w:rsidRDefault="00DB27A4" w:rsidP="002D13D9">
      <w:pPr>
        <w:pStyle w:val="Sangradetextonormal"/>
        <w:spacing w:line="360"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w:t>
      </w:r>
      <w:proofErr w:type="spellStart"/>
      <w:r w:rsidRPr="00654B69">
        <w:rPr>
          <w:rFonts w:ascii="Century Gothic" w:hAnsi="Century Gothic"/>
          <w:szCs w:val="24"/>
        </w:rPr>
        <w:t>Chih</w:t>
      </w:r>
      <w:proofErr w:type="spellEnd"/>
      <w:r w:rsidRPr="00654B69">
        <w:rPr>
          <w:rFonts w:ascii="Century Gothic" w:hAnsi="Century Gothic"/>
          <w:szCs w:val="24"/>
        </w:rPr>
        <w:t xml:space="preserve">., </w:t>
      </w:r>
      <w:r w:rsidR="00B52378" w:rsidRPr="00654B69">
        <w:rPr>
          <w:rFonts w:ascii="Century Gothic" w:hAnsi="Century Gothic"/>
          <w:szCs w:val="24"/>
        </w:rPr>
        <w:t xml:space="preserve">a los </w:t>
      </w:r>
      <w:r w:rsidR="001C62C4">
        <w:rPr>
          <w:rFonts w:ascii="Century Gothic" w:hAnsi="Century Gothic"/>
          <w:szCs w:val="24"/>
        </w:rPr>
        <w:t>quince</w:t>
      </w:r>
      <w:r w:rsidR="0008553C" w:rsidRPr="00654B69">
        <w:rPr>
          <w:rFonts w:ascii="Century Gothic" w:hAnsi="Century Gothic"/>
          <w:szCs w:val="24"/>
        </w:rPr>
        <w:t xml:space="preserve"> día</w:t>
      </w:r>
      <w:r w:rsidR="000D7827" w:rsidRPr="00654B69">
        <w:rPr>
          <w:rFonts w:ascii="Century Gothic" w:hAnsi="Century Gothic"/>
          <w:szCs w:val="24"/>
        </w:rPr>
        <w:t>s</w:t>
      </w:r>
      <w:r w:rsidR="0008553C" w:rsidRPr="00654B69">
        <w:rPr>
          <w:rFonts w:ascii="Century Gothic" w:hAnsi="Century Gothic"/>
          <w:szCs w:val="24"/>
        </w:rPr>
        <w:t xml:space="preserve"> del mes de </w:t>
      </w:r>
      <w:r w:rsidR="00722213">
        <w:rPr>
          <w:rFonts w:ascii="Century Gothic" w:hAnsi="Century Gothic"/>
          <w:szCs w:val="24"/>
        </w:rPr>
        <w:t>diciembre</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veintiuno</w:t>
      </w:r>
      <w:r w:rsidRPr="00654B69">
        <w:rPr>
          <w:rFonts w:ascii="Century Gothic" w:hAnsi="Century Gothic"/>
          <w:szCs w:val="24"/>
        </w:rPr>
        <w:t>.</w:t>
      </w:r>
    </w:p>
    <w:p w:rsidR="00617F01" w:rsidRDefault="00617F01" w:rsidP="00617F01">
      <w:pPr>
        <w:pStyle w:val="Sangradetextonormal"/>
        <w:spacing w:line="360" w:lineRule="auto"/>
        <w:ind w:left="0" w:right="23"/>
        <w:rPr>
          <w:rFonts w:ascii="Century Gothic" w:hAnsi="Century Gothic"/>
          <w:szCs w:val="24"/>
        </w:rPr>
      </w:pPr>
    </w:p>
    <w:p w:rsidR="00586838" w:rsidRDefault="00586838" w:rsidP="0077626A">
      <w:pPr>
        <w:pStyle w:val="Ttulo3"/>
        <w:spacing w:line="360" w:lineRule="auto"/>
        <w:ind w:left="284" w:right="284"/>
        <w:rPr>
          <w:rFonts w:ascii="Century Gothic" w:hAnsi="Century Gothic"/>
          <w:sz w:val="26"/>
          <w:szCs w:val="26"/>
        </w:rPr>
      </w:pPr>
    </w:p>
    <w:p w:rsidR="00C2391E" w:rsidRDefault="00C2391E" w:rsidP="00C2391E"/>
    <w:p w:rsidR="00C2391E" w:rsidRDefault="00C2391E" w:rsidP="00C2391E"/>
    <w:p w:rsidR="00C2391E" w:rsidRDefault="00C2391E" w:rsidP="00C2391E"/>
    <w:p w:rsidR="00C2391E" w:rsidRDefault="00C2391E" w:rsidP="00C2391E"/>
    <w:p w:rsidR="00C2391E" w:rsidRDefault="00C2391E" w:rsidP="00C2391E"/>
    <w:p w:rsidR="00C2391E" w:rsidRPr="00C2391E" w:rsidRDefault="00C2391E" w:rsidP="00C2391E"/>
    <w:p w:rsidR="00586838" w:rsidRPr="00586838" w:rsidRDefault="00586838" w:rsidP="00586838"/>
    <w:p w:rsidR="00586838" w:rsidRDefault="00586838" w:rsidP="0077626A">
      <w:pPr>
        <w:pStyle w:val="Ttulo3"/>
        <w:spacing w:line="360" w:lineRule="auto"/>
        <w:ind w:left="284" w:right="284"/>
        <w:rPr>
          <w:rFonts w:ascii="Century Gothic" w:hAnsi="Century Gothic"/>
          <w:sz w:val="26"/>
          <w:szCs w:val="26"/>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proofErr w:type="spellStart"/>
      <w:r w:rsidRPr="007B4CCE">
        <w:rPr>
          <w:rFonts w:ascii="Century Gothic" w:hAnsi="Century Gothic"/>
          <w:b/>
          <w:sz w:val="26"/>
          <w:szCs w:val="26"/>
        </w:rPr>
        <w:t>DIP</w:t>
      </w:r>
      <w:proofErr w:type="spellEnd"/>
      <w:r w:rsidRPr="007B4CCE">
        <w:rPr>
          <w:rFonts w:ascii="Century Gothic" w:hAnsi="Century Gothic"/>
          <w:b/>
          <w:sz w:val="26"/>
          <w:szCs w:val="26"/>
        </w:rPr>
        <w:t xml:space="preserve">. </w:t>
      </w:r>
      <w:r w:rsidR="00750FEB">
        <w:rPr>
          <w:rFonts w:ascii="Century Gothic" w:hAnsi="Century Gothic"/>
          <w:b/>
          <w:sz w:val="26"/>
          <w:szCs w:val="26"/>
        </w:rPr>
        <w:t xml:space="preserve">GEORGINA ALEJANDRA </w:t>
      </w:r>
      <w:proofErr w:type="spellStart"/>
      <w:r w:rsidR="00750FEB">
        <w:rPr>
          <w:rFonts w:ascii="Century Gothic" w:hAnsi="Century Gothic"/>
          <w:b/>
          <w:sz w:val="26"/>
          <w:szCs w:val="26"/>
        </w:rPr>
        <w:t>BUJANDA</w:t>
      </w:r>
      <w:proofErr w:type="spellEnd"/>
      <w:r w:rsidR="00750FEB">
        <w:rPr>
          <w:rFonts w:ascii="Century Gothic" w:hAnsi="Century Gothic"/>
          <w:b/>
          <w:sz w:val="26"/>
          <w:szCs w:val="26"/>
        </w:rPr>
        <w:t xml:space="preserve">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proofErr w:type="spellStart"/>
            <w:r w:rsidRPr="002A09A0">
              <w:rPr>
                <w:rFonts w:ascii="Century Gothic" w:hAnsi="Century Gothic" w:cs="Arial"/>
                <w:b/>
                <w:iCs/>
                <w:sz w:val="26"/>
                <w:szCs w:val="26"/>
              </w:rPr>
              <w:t>DIP</w:t>
            </w:r>
            <w:proofErr w:type="spellEnd"/>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 xml:space="preserve">SCAR DANIEL </w:t>
            </w:r>
            <w:proofErr w:type="spellStart"/>
            <w:r w:rsidR="00177E7E">
              <w:rPr>
                <w:rFonts w:ascii="Century Gothic" w:hAnsi="Century Gothic" w:cs="Arial"/>
                <w:b/>
                <w:iCs/>
                <w:sz w:val="26"/>
                <w:szCs w:val="26"/>
              </w:rPr>
              <w:t>AVITIA</w:t>
            </w:r>
            <w:proofErr w:type="spellEnd"/>
            <w:r w:rsidR="00177E7E">
              <w:rPr>
                <w:rFonts w:ascii="Century Gothic" w:hAnsi="Century Gothic" w:cs="Arial"/>
                <w:b/>
                <w:iCs/>
                <w:sz w:val="26"/>
                <w:szCs w:val="26"/>
              </w:rPr>
              <w:t xml:space="preserve"> </w:t>
            </w:r>
            <w:proofErr w:type="spellStart"/>
            <w:r w:rsidR="00177E7E">
              <w:rPr>
                <w:rFonts w:ascii="Century Gothic" w:hAnsi="Century Gothic" w:cs="Arial"/>
                <w:b/>
                <w:iCs/>
                <w:sz w:val="26"/>
                <w:szCs w:val="26"/>
              </w:rPr>
              <w:t>ARELLANES</w:t>
            </w:r>
            <w:proofErr w:type="spellEnd"/>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proofErr w:type="spellStart"/>
            <w:r w:rsidRPr="00835A33">
              <w:rPr>
                <w:rFonts w:ascii="Century Gothic" w:hAnsi="Century Gothic" w:cs="Arial"/>
                <w:b/>
                <w:iCs/>
                <w:sz w:val="26"/>
                <w:szCs w:val="26"/>
              </w:rPr>
              <w:t>DIP</w:t>
            </w:r>
            <w:proofErr w:type="spellEnd"/>
            <w:r w:rsidRPr="00835A33">
              <w:rPr>
                <w:rFonts w:ascii="Century Gothic" w:hAnsi="Century Gothic" w:cs="Arial"/>
                <w:b/>
                <w:iCs/>
                <w:sz w:val="26"/>
                <w:szCs w:val="26"/>
              </w:rPr>
              <w:t xml:space="preserve">. </w:t>
            </w:r>
            <w:r w:rsidR="006F45C5">
              <w:rPr>
                <w:rFonts w:ascii="Century Gothic" w:hAnsi="Century Gothic" w:cs="Arial"/>
                <w:b/>
                <w:iCs/>
                <w:sz w:val="26"/>
                <w:szCs w:val="26"/>
              </w:rPr>
              <w:t xml:space="preserve">YESENIA GUADALUPE REYES </w:t>
            </w:r>
            <w:proofErr w:type="spellStart"/>
            <w:r w:rsidR="006F45C5">
              <w:rPr>
                <w:rFonts w:ascii="Century Gothic" w:hAnsi="Century Gothic" w:cs="Arial"/>
                <w:b/>
                <w:iCs/>
                <w:sz w:val="26"/>
                <w:szCs w:val="26"/>
              </w:rPr>
              <w:t>CALZADÍAS</w:t>
            </w:r>
            <w:proofErr w:type="spellEnd"/>
          </w:p>
        </w:tc>
      </w:tr>
    </w:tbl>
    <w:p w:rsidR="00DE4EEE" w:rsidRPr="004E7632" w:rsidRDefault="00DE4EEE" w:rsidP="003B5472">
      <w:pPr>
        <w:pStyle w:val="Ttulo3"/>
        <w:ind w:left="284" w:right="284"/>
        <w:rPr>
          <w:u w:val="words"/>
        </w:rPr>
      </w:pPr>
    </w:p>
    <w:sectPr w:rsidR="00DE4EEE" w:rsidRPr="004E7632" w:rsidSect="00184FF7">
      <w:headerReference w:type="default" r:id="rId20"/>
      <w:footerReference w:type="even" r:id="rId21"/>
      <w:footerReference w:type="default" r:id="rId22"/>
      <w:pgSz w:w="12242" w:h="15842" w:code="1"/>
      <w:pgMar w:top="4139" w:right="1644" w:bottom="1361" w:left="1644" w:header="709" w:footer="624"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9A" w:rsidRDefault="0079499A">
      <w:r>
        <w:separator/>
      </w:r>
    </w:p>
  </w:endnote>
  <w:endnote w:type="continuationSeparator" w:id="0">
    <w:p w:rsidR="0079499A" w:rsidRDefault="007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793A31" w:rsidRDefault="00CF7FB8" w:rsidP="0018110B">
    <w:pPr>
      <w:pStyle w:val="Piedepgina"/>
      <w:framePr w:wrap="around" w:vAnchor="text" w:hAnchor="margin" w:xAlign="center" w:y="1"/>
      <w:rPr>
        <w:rStyle w:val="Nmerodepgina"/>
        <w:sz w:val="18"/>
        <w:szCs w:val="18"/>
      </w:rPr>
    </w:pPr>
    <w:r w:rsidRPr="00793A31">
      <w:rPr>
        <w:rStyle w:val="Nmerodepgina"/>
        <w:sz w:val="18"/>
        <w:szCs w:val="18"/>
      </w:rPr>
      <w:fldChar w:fldCharType="begin"/>
    </w:r>
    <w:r w:rsidR="002400EA" w:rsidRPr="00793A31">
      <w:rPr>
        <w:rStyle w:val="Nmerodepgina"/>
        <w:sz w:val="18"/>
        <w:szCs w:val="18"/>
      </w:rPr>
      <w:instrText xml:space="preserve">PAGE  </w:instrText>
    </w:r>
    <w:r w:rsidRPr="00793A31">
      <w:rPr>
        <w:rStyle w:val="Nmerodepgina"/>
        <w:sz w:val="18"/>
        <w:szCs w:val="18"/>
      </w:rPr>
      <w:fldChar w:fldCharType="separate"/>
    </w:r>
    <w:r w:rsidR="00D471E8">
      <w:rPr>
        <w:rStyle w:val="Nmerodepgina"/>
        <w:noProof/>
        <w:sz w:val="18"/>
        <w:szCs w:val="18"/>
      </w:rPr>
      <w:t>31</w:t>
    </w:r>
    <w:r w:rsidRPr="00793A31">
      <w:rPr>
        <w:rStyle w:val="Nmerodepgina"/>
        <w:sz w:val="18"/>
        <w:szCs w:val="18"/>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9A" w:rsidRDefault="0079499A">
      <w:r>
        <w:separator/>
      </w:r>
    </w:p>
  </w:footnote>
  <w:footnote w:type="continuationSeparator" w:id="0">
    <w:p w:rsidR="0079499A" w:rsidRDefault="0079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723476">
      <w:rPr>
        <w:rFonts w:ascii="Century Gothic" w:hAnsi="Century Gothic"/>
        <w:b/>
        <w:sz w:val="24"/>
        <w:szCs w:val="24"/>
        <w:lang w:val="es-MX"/>
      </w:rPr>
      <w:t>APLIE</w:t>
    </w:r>
    <w:proofErr w:type="spellEnd"/>
    <w:r w:rsidR="006A5F74" w:rsidRPr="004D6016">
      <w:rPr>
        <w:rFonts w:ascii="Century Gothic" w:hAnsi="Century Gothic"/>
        <w:b/>
        <w:sz w:val="24"/>
        <w:szCs w:val="24"/>
        <w:lang w:val="es-MX"/>
      </w:rPr>
      <w:t>/0</w:t>
    </w:r>
    <w:r w:rsidR="00EA251A">
      <w:rPr>
        <w:rFonts w:ascii="Century Gothic" w:hAnsi="Century Gothic"/>
        <w:b/>
        <w:sz w:val="24"/>
        <w:szCs w:val="24"/>
        <w:lang w:val="es-MX"/>
      </w:rPr>
      <w:t>1</w:t>
    </w:r>
    <w:r w:rsidR="006A5F74" w:rsidRPr="004D6016">
      <w:rPr>
        <w:rFonts w:ascii="Century Gothic" w:hAnsi="Century Gothic"/>
        <w:b/>
        <w:sz w:val="24"/>
        <w:szCs w:val="24"/>
        <w:lang w:val="es-MX"/>
      </w:rPr>
      <w:t>0</w:t>
    </w:r>
    <w:r w:rsidR="00723476">
      <w:rPr>
        <w:rFonts w:ascii="Century Gothic" w:hAnsi="Century Gothic"/>
        <w:b/>
        <w:sz w:val="24"/>
        <w:szCs w:val="24"/>
        <w:lang w:val="es-MX"/>
      </w:rPr>
      <w:t>9</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4E82"/>
    <w:multiLevelType w:val="hybridMultilevel"/>
    <w:tmpl w:val="18E6A040"/>
    <w:lvl w:ilvl="0" w:tplc="970E67DC">
      <w:start w:val="1"/>
      <w:numFmt w:val="upperRoman"/>
      <w:lvlText w:val="%1."/>
      <w:lvlJc w:val="left"/>
      <w:pPr>
        <w:ind w:left="720" w:hanging="360"/>
      </w:pPr>
      <w:rPr>
        <w:rFonts w:hint="default"/>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92284D"/>
    <w:multiLevelType w:val="hybridMultilevel"/>
    <w:tmpl w:val="319EC0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54EC2"/>
    <w:multiLevelType w:val="hybridMultilevel"/>
    <w:tmpl w:val="D4E60B72"/>
    <w:lvl w:ilvl="0" w:tplc="60C864E4">
      <w:start w:val="1"/>
      <w:numFmt w:val="lowerLetter"/>
      <w:lvlText w:val="%1)"/>
      <w:lvlJc w:val="left"/>
      <w:pPr>
        <w:ind w:left="1440" w:hanging="360"/>
      </w:pPr>
      <w:rPr>
        <w:rFonts w:ascii="Century Gothic" w:hAnsi="Century Gothic" w:hint="default"/>
        <w:b/>
        <w:bCs/>
        <w:i w:val="0"/>
        <w:color w:val="auto"/>
        <w:w w:val="99"/>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27A4"/>
    <w:rsid w:val="00002D21"/>
    <w:rsid w:val="000056CD"/>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87F29"/>
    <w:rsid w:val="000912D8"/>
    <w:rsid w:val="0009521F"/>
    <w:rsid w:val="00097F57"/>
    <w:rsid w:val="000A0596"/>
    <w:rsid w:val="000A09CA"/>
    <w:rsid w:val="000A6EB5"/>
    <w:rsid w:val="000B34A5"/>
    <w:rsid w:val="000C3DF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84FF7"/>
    <w:rsid w:val="00195F83"/>
    <w:rsid w:val="0019664E"/>
    <w:rsid w:val="001A1707"/>
    <w:rsid w:val="001A3A08"/>
    <w:rsid w:val="001C11D2"/>
    <w:rsid w:val="001C1583"/>
    <w:rsid w:val="001C62C4"/>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2CF0"/>
    <w:rsid w:val="002A49C9"/>
    <w:rsid w:val="002A63E2"/>
    <w:rsid w:val="002B07A0"/>
    <w:rsid w:val="002B17F4"/>
    <w:rsid w:val="002B2717"/>
    <w:rsid w:val="002B62EB"/>
    <w:rsid w:val="002B710E"/>
    <w:rsid w:val="002C1695"/>
    <w:rsid w:val="002C3291"/>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3764B"/>
    <w:rsid w:val="00341601"/>
    <w:rsid w:val="00346888"/>
    <w:rsid w:val="00346E01"/>
    <w:rsid w:val="00347E15"/>
    <w:rsid w:val="003509C7"/>
    <w:rsid w:val="00362C47"/>
    <w:rsid w:val="003635C3"/>
    <w:rsid w:val="0036442E"/>
    <w:rsid w:val="003652E5"/>
    <w:rsid w:val="003723D1"/>
    <w:rsid w:val="00377311"/>
    <w:rsid w:val="00380889"/>
    <w:rsid w:val="00381DDF"/>
    <w:rsid w:val="00385CF7"/>
    <w:rsid w:val="003868A6"/>
    <w:rsid w:val="00391D26"/>
    <w:rsid w:val="00393963"/>
    <w:rsid w:val="003A0232"/>
    <w:rsid w:val="003A04EA"/>
    <w:rsid w:val="003A0CA8"/>
    <w:rsid w:val="003B29C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4459"/>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86838"/>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E722D"/>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6C2A"/>
    <w:rsid w:val="00697DFF"/>
    <w:rsid w:val="006A1A71"/>
    <w:rsid w:val="006A4D8E"/>
    <w:rsid w:val="006A545D"/>
    <w:rsid w:val="006A5F74"/>
    <w:rsid w:val="006A6E61"/>
    <w:rsid w:val="006B59C6"/>
    <w:rsid w:val="006C4A3B"/>
    <w:rsid w:val="006C7A2A"/>
    <w:rsid w:val="006D51A7"/>
    <w:rsid w:val="006E05B4"/>
    <w:rsid w:val="006E147E"/>
    <w:rsid w:val="006E272E"/>
    <w:rsid w:val="006F08F1"/>
    <w:rsid w:val="006F45C5"/>
    <w:rsid w:val="006F4AE8"/>
    <w:rsid w:val="006F5E7E"/>
    <w:rsid w:val="007071DB"/>
    <w:rsid w:val="00707F5A"/>
    <w:rsid w:val="00716CA3"/>
    <w:rsid w:val="007212E9"/>
    <w:rsid w:val="00722213"/>
    <w:rsid w:val="00723476"/>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0FEB"/>
    <w:rsid w:val="00751AAE"/>
    <w:rsid w:val="00752076"/>
    <w:rsid w:val="00752E7A"/>
    <w:rsid w:val="00761C88"/>
    <w:rsid w:val="00764893"/>
    <w:rsid w:val="007659DE"/>
    <w:rsid w:val="007709E5"/>
    <w:rsid w:val="0077626A"/>
    <w:rsid w:val="00781A44"/>
    <w:rsid w:val="00782374"/>
    <w:rsid w:val="007832FD"/>
    <w:rsid w:val="0078589C"/>
    <w:rsid w:val="007861FF"/>
    <w:rsid w:val="0079129C"/>
    <w:rsid w:val="00793A31"/>
    <w:rsid w:val="0079499A"/>
    <w:rsid w:val="00795AF6"/>
    <w:rsid w:val="00797294"/>
    <w:rsid w:val="007A213D"/>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0951"/>
    <w:rsid w:val="00871E3B"/>
    <w:rsid w:val="00873427"/>
    <w:rsid w:val="00873F4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0166"/>
    <w:rsid w:val="008D2C3D"/>
    <w:rsid w:val="008D4A3E"/>
    <w:rsid w:val="008D5A7A"/>
    <w:rsid w:val="008E10FD"/>
    <w:rsid w:val="008E2533"/>
    <w:rsid w:val="008E379A"/>
    <w:rsid w:val="008E5777"/>
    <w:rsid w:val="008F1AF9"/>
    <w:rsid w:val="008F6B76"/>
    <w:rsid w:val="008F6DF6"/>
    <w:rsid w:val="008F7E74"/>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3B7F"/>
    <w:rsid w:val="00A079A5"/>
    <w:rsid w:val="00A10E66"/>
    <w:rsid w:val="00A11045"/>
    <w:rsid w:val="00A1626C"/>
    <w:rsid w:val="00A269C8"/>
    <w:rsid w:val="00A30573"/>
    <w:rsid w:val="00A30FC2"/>
    <w:rsid w:val="00A32D8E"/>
    <w:rsid w:val="00A375D8"/>
    <w:rsid w:val="00A37EA7"/>
    <w:rsid w:val="00A512FD"/>
    <w:rsid w:val="00A578CE"/>
    <w:rsid w:val="00A61BCA"/>
    <w:rsid w:val="00A66812"/>
    <w:rsid w:val="00A73525"/>
    <w:rsid w:val="00A74CAF"/>
    <w:rsid w:val="00A7563E"/>
    <w:rsid w:val="00A77A63"/>
    <w:rsid w:val="00A84764"/>
    <w:rsid w:val="00A92D61"/>
    <w:rsid w:val="00A959CE"/>
    <w:rsid w:val="00A965B4"/>
    <w:rsid w:val="00AA3395"/>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E7897"/>
    <w:rsid w:val="00AF2299"/>
    <w:rsid w:val="00AF6799"/>
    <w:rsid w:val="00B00DCB"/>
    <w:rsid w:val="00B13599"/>
    <w:rsid w:val="00B178AF"/>
    <w:rsid w:val="00B218DD"/>
    <w:rsid w:val="00B2292F"/>
    <w:rsid w:val="00B24483"/>
    <w:rsid w:val="00B2477E"/>
    <w:rsid w:val="00B26972"/>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87BB9"/>
    <w:rsid w:val="00B924AF"/>
    <w:rsid w:val="00B93849"/>
    <w:rsid w:val="00B96C38"/>
    <w:rsid w:val="00BA03D9"/>
    <w:rsid w:val="00BA0B0F"/>
    <w:rsid w:val="00BA181D"/>
    <w:rsid w:val="00BB111E"/>
    <w:rsid w:val="00BC336A"/>
    <w:rsid w:val="00BC625C"/>
    <w:rsid w:val="00BC7135"/>
    <w:rsid w:val="00BD158F"/>
    <w:rsid w:val="00BD4BCF"/>
    <w:rsid w:val="00BD6A42"/>
    <w:rsid w:val="00BE15DF"/>
    <w:rsid w:val="00BE2B7F"/>
    <w:rsid w:val="00BE48C7"/>
    <w:rsid w:val="00BE4E71"/>
    <w:rsid w:val="00BE6CBB"/>
    <w:rsid w:val="00BF65B5"/>
    <w:rsid w:val="00C01562"/>
    <w:rsid w:val="00C0258C"/>
    <w:rsid w:val="00C0451E"/>
    <w:rsid w:val="00C073F7"/>
    <w:rsid w:val="00C14918"/>
    <w:rsid w:val="00C206C4"/>
    <w:rsid w:val="00C2391E"/>
    <w:rsid w:val="00C24A53"/>
    <w:rsid w:val="00C258D8"/>
    <w:rsid w:val="00C35B3A"/>
    <w:rsid w:val="00C41339"/>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2FCA"/>
    <w:rsid w:val="00D04F44"/>
    <w:rsid w:val="00D05A2E"/>
    <w:rsid w:val="00D05C89"/>
    <w:rsid w:val="00D10763"/>
    <w:rsid w:val="00D269E5"/>
    <w:rsid w:val="00D27F38"/>
    <w:rsid w:val="00D31BF8"/>
    <w:rsid w:val="00D31DAD"/>
    <w:rsid w:val="00D338FA"/>
    <w:rsid w:val="00D41C97"/>
    <w:rsid w:val="00D471E8"/>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08EC"/>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641B5"/>
    <w:rsid w:val="00E71DC6"/>
    <w:rsid w:val="00E8197B"/>
    <w:rsid w:val="00E83167"/>
    <w:rsid w:val="00E849A1"/>
    <w:rsid w:val="00E86DB4"/>
    <w:rsid w:val="00E8752C"/>
    <w:rsid w:val="00E87818"/>
    <w:rsid w:val="00E95F7F"/>
    <w:rsid w:val="00E9764F"/>
    <w:rsid w:val="00EA015E"/>
    <w:rsid w:val="00EA251A"/>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EF6236"/>
    <w:rsid w:val="00F1041A"/>
    <w:rsid w:val="00F12827"/>
    <w:rsid w:val="00F147D1"/>
    <w:rsid w:val="00F274F6"/>
    <w:rsid w:val="00F333C8"/>
    <w:rsid w:val="00F445A8"/>
    <w:rsid w:val="00F50D1E"/>
    <w:rsid w:val="00F53877"/>
    <w:rsid w:val="00F53D05"/>
    <w:rsid w:val="00F555E8"/>
    <w:rsid w:val="00F56E98"/>
    <w:rsid w:val="00F60E4A"/>
    <w:rsid w:val="00F615B2"/>
    <w:rsid w:val="00F62BE3"/>
    <w:rsid w:val="00F63FAA"/>
    <w:rsid w:val="00F65FF9"/>
    <w:rsid w:val="00F75E5F"/>
    <w:rsid w:val="00F81A81"/>
    <w:rsid w:val="00F85F23"/>
    <w:rsid w:val="00F86140"/>
    <w:rsid w:val="00F966C0"/>
    <w:rsid w:val="00F977DE"/>
    <w:rsid w:val="00FB0D61"/>
    <w:rsid w:val="00FB1885"/>
    <w:rsid w:val="00FB3610"/>
    <w:rsid w:val="00FB3A47"/>
    <w:rsid w:val="00FB5358"/>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FB79-F50E-4485-B7FA-B900633D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4556</Words>
  <Characters>24782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21</cp:revision>
  <cp:lastPrinted>2021-12-20T19:35:00Z</cp:lastPrinted>
  <dcterms:created xsi:type="dcterms:W3CDTF">2021-12-20T16:13:00Z</dcterms:created>
  <dcterms:modified xsi:type="dcterms:W3CDTF">2021-12-20T20:48:00Z</dcterms:modified>
</cp:coreProperties>
</file>