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5C31F0">
        <w:rPr>
          <w:rFonts w:ascii="Century Gothic" w:hAnsi="Century Gothic"/>
          <w:b/>
          <w:sz w:val="25"/>
          <w:szCs w:val="25"/>
          <w:lang w:val="es-MX"/>
        </w:rPr>
        <w:t>RFDEC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2</w:t>
      </w:r>
      <w:r w:rsidR="005C31F0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2D24BD" w:rsidRDefault="00835A33" w:rsidP="00DB27A4">
      <w:pPr>
        <w:pStyle w:val="Textoindependiente3"/>
        <w:rPr>
          <w:rFonts w:ascii="Century Gothic" w:hAnsi="Century Gothic"/>
          <w:sz w:val="16"/>
          <w:szCs w:val="14"/>
        </w:rPr>
      </w:pPr>
    </w:p>
    <w:p w:rsidR="00157EF4" w:rsidRPr="002D24BD" w:rsidRDefault="00157EF4" w:rsidP="00DB27A4">
      <w:pPr>
        <w:pStyle w:val="Textoindependiente3"/>
        <w:rPr>
          <w:rFonts w:ascii="Century Gothic" w:hAnsi="Century Gothic"/>
          <w:sz w:val="16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B24483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B24483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2D24BD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2D24BD" w:rsidRPr="002D24BD" w:rsidRDefault="002D24BD" w:rsidP="002D24BD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PRIMERO.-</w:t>
      </w:r>
      <w:r w:rsidRPr="002D24BD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2D24BD">
        <w:rPr>
          <w:rFonts w:ascii="Century Gothic" w:eastAsia="Calibri" w:hAnsi="Century Gothic"/>
          <w:sz w:val="24"/>
          <w:szCs w:val="22"/>
          <w:lang w:val="es-MX" w:eastAsia="en-US"/>
        </w:rPr>
        <w:t>Se reforma el Decreto No.</w:t>
      </w:r>
      <w:r w:rsidRPr="002D24BD">
        <w:rPr>
          <w:rFonts w:ascii="Century Gothic" w:eastAsia="Calibri" w:hAnsi="Century Gothic"/>
          <w:sz w:val="22"/>
          <w:szCs w:val="22"/>
          <w:lang w:val="es-MX" w:eastAsia="en-US"/>
        </w:rPr>
        <w:t xml:space="preserve"> </w:t>
      </w:r>
      <w:r w:rsidRPr="002D24BD">
        <w:rPr>
          <w:rFonts w:ascii="Century Gothic" w:eastAsia="Calibri" w:hAnsi="Century Gothic"/>
          <w:sz w:val="24"/>
          <w:szCs w:val="22"/>
          <w:lang w:val="es-MX" w:eastAsia="en-US"/>
        </w:rPr>
        <w:t>LXVII/ITGGP/0003/2021  I P.O., para quedar de la siguiente forma: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8"/>
          <w:lang w:val="es-ES_tradnl" w:eastAsia="es-ES_tradnl"/>
        </w:rPr>
      </w:pPr>
    </w:p>
    <w:p w:rsid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</w:pPr>
      <w:r w:rsidRPr="002D24BD"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  <w:t>ARTÍCULO ÚNICO…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2D24BD" w:rsidRDefault="002D24BD" w:rsidP="002D24BD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2D24BD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DEL PARTIDO ACCIÓN NACIONAL</w:t>
      </w:r>
    </w:p>
    <w:p w:rsidR="002D24BD" w:rsidRPr="002D24BD" w:rsidRDefault="002D24BD" w:rsidP="002D24BD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3696"/>
      </w:tblGrid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Arial" w:hAnsi="Century Gothic" w:cs="Arial"/>
                <w:b/>
                <w:sz w:val="24"/>
                <w:szCs w:val="24"/>
                <w:lang w:val="es-MX" w:eastAsia="es-ES_tradnl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lastRenderedPageBreak/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c>
          <w:tcPr>
            <w:tcW w:w="5235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  <w:t>Dip Yesenia Guadalupe Reyes Calzadías</w:t>
            </w:r>
          </w:p>
        </w:tc>
        <w:tc>
          <w:tcPr>
            <w:tcW w:w="3696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Integrante</w:t>
            </w:r>
          </w:p>
        </w:tc>
      </w:tr>
    </w:tbl>
    <w:p w:rsidR="002D24BD" w:rsidRPr="002D24BD" w:rsidRDefault="002D24BD" w:rsidP="002D24BD">
      <w:pPr>
        <w:spacing w:line="360" w:lineRule="auto"/>
        <w:ind w:left="1080"/>
        <w:contextualSpacing/>
        <w:jc w:val="both"/>
        <w:rPr>
          <w:rFonts w:ascii="Century Gothic" w:eastAsia="Calibri" w:hAnsi="Century Gothic" w:cs="Arial"/>
          <w:sz w:val="24"/>
          <w:szCs w:val="24"/>
          <w:lang w:val="es-MX" w:eastAsia="es-ES_tradnl"/>
        </w:rPr>
      </w:pPr>
    </w:p>
    <w:p w:rsidR="002D24BD" w:rsidRPr="002D24BD" w:rsidRDefault="002D24BD" w:rsidP="002D24BD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2D24BD" w:rsidRPr="002D24BD" w:rsidRDefault="002D24BD" w:rsidP="002D24BD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2D24BD" w:rsidRDefault="002D24BD" w:rsidP="002D24BD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2D24BD" w:rsidRPr="002D24BD" w:rsidRDefault="002D24BD" w:rsidP="002D24BD">
      <w:pPr>
        <w:spacing w:line="360" w:lineRule="auto"/>
        <w:jc w:val="both"/>
        <w:rPr>
          <w:rFonts w:ascii="Century Gothic" w:eastAsia="Calibri" w:hAnsi="Century Gothic"/>
          <w:szCs w:val="24"/>
          <w:lang w:val="es-MX" w:eastAsia="en-US"/>
        </w:rPr>
      </w:pPr>
    </w:p>
    <w:p w:rsid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SEGUNDO.-</w:t>
      </w:r>
      <w:r w:rsidRPr="002D24BD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Se reforma el Decreto No. LXVII/ITJCP/0004/2021  I P.O., para quedar de la siguiente manera: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Cs w:val="24"/>
          <w:lang w:val="es-MX" w:eastAsia="en-US"/>
        </w:rPr>
      </w:pPr>
    </w:p>
    <w:p w:rsidR="002D24BD" w:rsidRDefault="002D24BD" w:rsidP="002D24BD">
      <w:pPr>
        <w:spacing w:line="36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_tradnl" w:eastAsia="es-ES_tradnl"/>
        </w:rPr>
      </w:pPr>
      <w:r w:rsidRPr="002D24BD">
        <w:rPr>
          <w:rFonts w:ascii="Century Gothic" w:eastAsia="Calibri" w:hAnsi="Century Gothic" w:cs="Arial"/>
          <w:b/>
          <w:sz w:val="24"/>
          <w:szCs w:val="24"/>
          <w:lang w:val="es-MX" w:eastAsia="es-ES_tradnl"/>
        </w:rPr>
        <w:t>ARTÍCULO ÚNICO</w:t>
      </w:r>
      <w:r w:rsidRPr="002D24BD">
        <w:rPr>
          <w:rFonts w:ascii="Century Gothic" w:eastAsia="Calibri" w:hAnsi="Century Gothic" w:cs="Arial"/>
          <w:b/>
          <w:spacing w:val="30"/>
          <w:sz w:val="24"/>
          <w:szCs w:val="24"/>
          <w:lang w:val="es-MX" w:eastAsia="es-ES_tradnl"/>
        </w:rPr>
        <w:t xml:space="preserve">.- </w:t>
      </w:r>
      <w:r w:rsidRPr="002D24BD">
        <w:rPr>
          <w:rFonts w:ascii="Century Gothic" w:eastAsia="Calibri" w:hAnsi="Century Gothic" w:cs="Arial"/>
          <w:sz w:val="24"/>
          <w:szCs w:val="24"/>
          <w:lang w:val="es-ES_tradnl" w:eastAsia="es-ES_tradnl"/>
        </w:rPr>
        <w:t>...</w:t>
      </w:r>
    </w:p>
    <w:p w:rsidR="002D24BD" w:rsidRPr="002D24BD" w:rsidRDefault="002D24BD" w:rsidP="002D24BD">
      <w:pPr>
        <w:spacing w:line="360" w:lineRule="auto"/>
        <w:contextualSpacing/>
        <w:jc w:val="both"/>
        <w:rPr>
          <w:rFonts w:ascii="Century Gothic" w:eastAsia="Calibri" w:hAnsi="Century Gothic" w:cs="Arial"/>
          <w:szCs w:val="24"/>
          <w:lang w:val="es-ES_tradnl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037"/>
        <w:gridCol w:w="1494"/>
      </w:tblGrid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Diputado (a)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Cargo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Derechos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tabs>
                <w:tab w:val="center" w:pos="1541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lastRenderedPageBreak/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Se deroga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Se deroga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b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Se deroga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2D24BD" w:rsidRPr="002D24BD" w:rsidTr="00BC539A">
        <w:trPr>
          <w:trHeight w:val="454"/>
        </w:trPr>
        <w:tc>
          <w:tcPr>
            <w:tcW w:w="3299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2D24BD" w:rsidRPr="002D24BD" w:rsidRDefault="002D24BD" w:rsidP="002D24BD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2D24BD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</w:tbl>
    <w:p w:rsidR="002D24BD" w:rsidRPr="002D24BD" w:rsidRDefault="002D24BD" w:rsidP="002D24BD">
      <w:pPr>
        <w:spacing w:line="36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_tradnl" w:eastAsia="es-ES_tradnl"/>
        </w:rPr>
      </w:pP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s-MX" w:eastAsia="en-US"/>
        </w:rPr>
        <w:t xml:space="preserve">ARTÍCULO TERCERO.- </w:t>
      </w: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Se reforma el Artículo Cuarto del Decreto No. LXVII/ITCYC/0008/2021  I P.O., para quedar de la siguiente manera: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2D24BD" w:rsidRPr="00BC0CD7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6"/>
          <w:szCs w:val="26"/>
          <w:lang w:val="es-MX" w:eastAsia="en-US"/>
        </w:rPr>
      </w:pPr>
      <w:r w:rsidRPr="00BC0CD7">
        <w:rPr>
          <w:rFonts w:ascii="Century Gothic" w:eastAsia="Calibri" w:hAnsi="Century Gothic"/>
          <w:b/>
          <w:sz w:val="26"/>
          <w:szCs w:val="26"/>
          <w:lang w:val="es-MX" w:eastAsia="en-US"/>
        </w:rPr>
        <w:t>ARTÍCULO CUARTO.-</w:t>
      </w:r>
      <w:r w:rsidRPr="00BC0CD7">
        <w:rPr>
          <w:rFonts w:ascii="Century Gothic" w:eastAsia="Calibri" w:hAnsi="Century Gothic"/>
          <w:sz w:val="26"/>
          <w:szCs w:val="26"/>
          <w:lang w:val="es-MX" w:eastAsia="en-US"/>
        </w:rPr>
        <w:t xml:space="preserve"> …</w:t>
      </w:r>
    </w:p>
    <w:p w:rsidR="008B6636" w:rsidRPr="008B6636" w:rsidRDefault="008B6636" w:rsidP="002D24BD">
      <w:pPr>
        <w:spacing w:line="360" w:lineRule="auto"/>
        <w:ind w:left="284"/>
        <w:jc w:val="both"/>
        <w:rPr>
          <w:rFonts w:ascii="Century Gothic" w:eastAsia="Calibri" w:hAnsi="Century Gothic"/>
          <w:sz w:val="14"/>
          <w:szCs w:val="24"/>
          <w:lang w:val="es-MX" w:eastAsia="en-US"/>
        </w:rPr>
      </w:pP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COMITÉ DE ADMINISTRACIÓN 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PRESIDENTE.- …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SECRETARIO.- …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 xml:space="preserve">VOCAL.- </w:t>
      </w:r>
      <w:r w:rsidRPr="002D24BD">
        <w:rPr>
          <w:rFonts w:ascii="Century Gothic" w:eastAsia="Calibri" w:hAnsi="Century Gothic"/>
          <w:b/>
          <w:sz w:val="24"/>
          <w:szCs w:val="24"/>
          <w:lang w:val="es-MX" w:eastAsia="en-US"/>
        </w:rPr>
        <w:t>Se deroga.</w:t>
      </w:r>
    </w:p>
    <w:p w:rsidR="002D24BD" w:rsidRPr="002D24BD" w:rsidRDefault="002D24BD" w:rsidP="002D24BD">
      <w:pPr>
        <w:spacing w:line="360" w:lineRule="auto"/>
        <w:ind w:left="284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left="284" w:right="79"/>
        <w:jc w:val="both"/>
        <w:rPr>
          <w:rFonts w:ascii="Century Gothic" w:eastAsia="Calibri" w:hAnsi="Century Gothic"/>
          <w:b/>
          <w:sz w:val="24"/>
          <w:szCs w:val="24"/>
          <w:lang w:val="en-US" w:eastAsia="en-US"/>
        </w:rPr>
      </w:pPr>
      <w:r w:rsidRPr="002D24BD">
        <w:rPr>
          <w:rFonts w:ascii="Century Gothic" w:eastAsia="Calibri" w:hAnsi="Century Gothic"/>
          <w:b/>
          <w:sz w:val="24"/>
          <w:szCs w:val="24"/>
          <w:lang w:val="en-US" w:eastAsia="en-US"/>
        </w:rPr>
        <w:t>…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left="284" w:right="79"/>
        <w:jc w:val="both"/>
        <w:rPr>
          <w:rFonts w:ascii="Century Gothic" w:eastAsia="Calibri" w:hAnsi="Century Gothic"/>
          <w:b/>
          <w:sz w:val="24"/>
          <w:szCs w:val="24"/>
          <w:lang w:val="en-US" w:eastAsia="en-US"/>
        </w:rPr>
      </w:pPr>
    </w:p>
    <w:p w:rsid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eastAsia="Calibri" w:hAnsi="Century Gothic"/>
          <w:b/>
          <w:sz w:val="28"/>
          <w:szCs w:val="22"/>
          <w:lang w:val="en-US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n-US" w:eastAsia="en-US"/>
        </w:rPr>
        <w:t>T R A N S I T O R I O S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eastAsia="Calibri" w:hAnsi="Century Gothic"/>
          <w:b/>
          <w:sz w:val="24"/>
          <w:szCs w:val="22"/>
          <w:lang w:val="en-US" w:eastAsia="en-US"/>
        </w:rPr>
      </w:pP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PRIMERO</w:t>
      </w:r>
      <w:r w:rsidRPr="002D24BD">
        <w:rPr>
          <w:rFonts w:ascii="Century Gothic" w:eastAsia="Calibri" w:hAnsi="Century Gothic"/>
          <w:b/>
          <w:bCs/>
          <w:sz w:val="28"/>
          <w:szCs w:val="22"/>
          <w:lang w:val="es-MX" w:eastAsia="en-US"/>
        </w:rPr>
        <w:t>.-</w:t>
      </w:r>
      <w:r w:rsidRPr="002D24BD">
        <w:rPr>
          <w:rFonts w:ascii="Century Gothic" w:eastAsia="Calibri" w:hAnsi="Century Gothic"/>
          <w:bCs/>
          <w:sz w:val="22"/>
          <w:szCs w:val="22"/>
          <w:lang w:val="es-MX" w:eastAsia="en-US"/>
        </w:rPr>
        <w:t xml:space="preserve"> </w:t>
      </w:r>
      <w:r w:rsidRPr="002D24BD">
        <w:rPr>
          <w:rFonts w:ascii="Century Gothic" w:eastAsia="Calibri" w:hAnsi="Century Gothic"/>
          <w:bCs/>
          <w:sz w:val="24"/>
          <w:szCs w:val="24"/>
          <w:lang w:val="es-MX" w:eastAsia="en-US"/>
        </w:rPr>
        <w:t>El presente Decreto entrará en vigor inmediatamente después de su aprobación.</w:t>
      </w: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2D24BD" w:rsidRPr="002D24BD" w:rsidRDefault="002D24BD" w:rsidP="002D24BD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2D24BD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SEGUNDO.-</w:t>
      </w:r>
      <w:r w:rsidRPr="002D24BD">
        <w:rPr>
          <w:rFonts w:ascii="Century Gothic" w:eastAsia="Calibri" w:hAnsi="Century Gothic"/>
          <w:bCs/>
          <w:sz w:val="24"/>
          <w:szCs w:val="22"/>
          <w:lang w:val="es-MX" w:eastAsia="en-US"/>
        </w:rPr>
        <w:t xml:space="preserve"> </w:t>
      </w:r>
      <w:r w:rsidRPr="002D24BD">
        <w:rPr>
          <w:rFonts w:ascii="Century Gothic" w:eastAsia="Calibri" w:hAnsi="Century Gothic"/>
          <w:bCs/>
          <w:sz w:val="24"/>
          <w:szCs w:val="24"/>
          <w:lang w:val="es-MX" w:eastAsia="en-US"/>
        </w:rPr>
        <w:t>Publíquese el presente Decreto en el Periódico Oficial del Estado.</w:t>
      </w:r>
    </w:p>
    <w:p w:rsidR="00157EF4" w:rsidRPr="002D24BD" w:rsidRDefault="00157EF4" w:rsidP="002D24BD">
      <w:pPr>
        <w:spacing w:line="360" w:lineRule="auto"/>
        <w:jc w:val="both"/>
        <w:rPr>
          <w:rFonts w:ascii="Century Gothic" w:eastAsia="Calibri" w:hAnsi="Century Gothic" w:cs="Tahoma"/>
          <w:sz w:val="24"/>
          <w:szCs w:val="24"/>
          <w:lang w:val="es-MX" w:eastAsia="en-US"/>
        </w:rPr>
      </w:pPr>
    </w:p>
    <w:p w:rsidR="00DB27A4" w:rsidRDefault="00DB27A4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2D24BD">
        <w:rPr>
          <w:rFonts w:ascii="Century Gothic" w:hAnsi="Century Gothic"/>
          <w:b/>
          <w:sz w:val="28"/>
          <w:szCs w:val="28"/>
        </w:rPr>
        <w:t>D A D O</w:t>
      </w:r>
      <w:r w:rsidRPr="002D24BD">
        <w:rPr>
          <w:rFonts w:ascii="Century Gothic" w:hAnsi="Century Gothic"/>
          <w:sz w:val="22"/>
          <w:szCs w:val="22"/>
        </w:rPr>
        <w:t xml:space="preserve"> </w:t>
      </w:r>
      <w:r w:rsidRPr="002D24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B52378" w:rsidRPr="002D24BD">
        <w:rPr>
          <w:rFonts w:ascii="Century Gothic" w:hAnsi="Century Gothic"/>
          <w:szCs w:val="24"/>
        </w:rPr>
        <w:t xml:space="preserve">a los </w:t>
      </w:r>
      <w:r w:rsidR="002D24BD" w:rsidRPr="002D24BD">
        <w:rPr>
          <w:rFonts w:ascii="Century Gothic" w:hAnsi="Century Gothic"/>
          <w:szCs w:val="24"/>
        </w:rPr>
        <w:t>once</w:t>
      </w:r>
      <w:r w:rsidR="0008553C" w:rsidRPr="002D24BD">
        <w:rPr>
          <w:rFonts w:ascii="Century Gothic" w:hAnsi="Century Gothic"/>
          <w:szCs w:val="24"/>
        </w:rPr>
        <w:t xml:space="preserve"> día</w:t>
      </w:r>
      <w:r w:rsidR="000D7827" w:rsidRPr="002D24BD">
        <w:rPr>
          <w:rFonts w:ascii="Century Gothic" w:hAnsi="Century Gothic"/>
          <w:szCs w:val="24"/>
        </w:rPr>
        <w:t>s</w:t>
      </w:r>
      <w:r w:rsidR="0008553C" w:rsidRPr="002D24BD">
        <w:rPr>
          <w:rFonts w:ascii="Century Gothic" w:hAnsi="Century Gothic"/>
          <w:szCs w:val="24"/>
        </w:rPr>
        <w:t xml:space="preserve"> del mes de </w:t>
      </w:r>
      <w:r w:rsidR="0090126C" w:rsidRPr="002D24BD">
        <w:rPr>
          <w:rFonts w:ascii="Century Gothic" w:hAnsi="Century Gothic"/>
          <w:szCs w:val="24"/>
        </w:rPr>
        <w:t>noviembre</w:t>
      </w:r>
      <w:r w:rsidR="00C455BA" w:rsidRPr="002D24BD">
        <w:rPr>
          <w:rFonts w:ascii="Century Gothic" w:hAnsi="Century Gothic"/>
          <w:szCs w:val="24"/>
        </w:rPr>
        <w:t xml:space="preserve"> d</w:t>
      </w:r>
      <w:r w:rsidRPr="002D24BD">
        <w:rPr>
          <w:rFonts w:ascii="Century Gothic" w:hAnsi="Century Gothic"/>
          <w:szCs w:val="24"/>
        </w:rPr>
        <w:t xml:space="preserve">el año dos mil </w:t>
      </w:r>
      <w:r w:rsidR="006268EA" w:rsidRPr="002D24BD">
        <w:rPr>
          <w:rFonts w:ascii="Century Gothic" w:hAnsi="Century Gothic"/>
          <w:szCs w:val="24"/>
        </w:rPr>
        <w:t>veintiuno</w:t>
      </w:r>
      <w:r w:rsidRPr="002D24BD">
        <w:rPr>
          <w:rFonts w:ascii="Century Gothic" w:hAnsi="Century Gothic"/>
          <w:szCs w:val="24"/>
        </w:rPr>
        <w:t>.</w:t>
      </w: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D24BD" w:rsidRPr="002D24BD" w:rsidRDefault="002D24BD" w:rsidP="002D24BD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E79C0" w:rsidRPr="007E79C0" w:rsidRDefault="007E79C0" w:rsidP="007E79C0"/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901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5C31F0" w:rsidRDefault="005C31F0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5C31F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5C31F0"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C26EF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2D" w:rsidRDefault="0015342D">
      <w:r>
        <w:separator/>
      </w:r>
    </w:p>
  </w:endnote>
  <w:endnote w:type="continuationSeparator" w:id="0">
    <w:p w:rsidR="0015342D" w:rsidRDefault="0015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26E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2D" w:rsidRDefault="0015342D">
      <w:r>
        <w:separator/>
      </w:r>
    </w:p>
  </w:footnote>
  <w:footnote w:type="continuationSeparator" w:id="0">
    <w:p w:rsidR="0015342D" w:rsidRDefault="0015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C31F0">
      <w:rPr>
        <w:rFonts w:ascii="Century Gothic" w:hAnsi="Century Gothic"/>
        <w:b/>
        <w:sz w:val="24"/>
        <w:szCs w:val="24"/>
        <w:lang w:val="es-MX"/>
      </w:rPr>
      <w:t>RFDEC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5C31F0">
      <w:rPr>
        <w:rFonts w:ascii="Century Gothic" w:hAnsi="Century Gothic"/>
        <w:b/>
        <w:sz w:val="24"/>
        <w:szCs w:val="24"/>
        <w:lang w:val="es-MX"/>
      </w:rPr>
      <w:t>5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26EF"/>
    <w:rsid w:val="000C3DF7"/>
    <w:rsid w:val="000D44D5"/>
    <w:rsid w:val="000D7827"/>
    <w:rsid w:val="000D7DD9"/>
    <w:rsid w:val="000E0FCF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342D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83A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31F0"/>
    <w:rsid w:val="005C4A83"/>
    <w:rsid w:val="005C654B"/>
    <w:rsid w:val="005E2CB9"/>
    <w:rsid w:val="005E4D90"/>
    <w:rsid w:val="005F3C3A"/>
    <w:rsid w:val="005F7AF4"/>
    <w:rsid w:val="006012A7"/>
    <w:rsid w:val="00602F16"/>
    <w:rsid w:val="006116DA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B6636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2395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EA7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C0CD7"/>
    <w:rsid w:val="00BC336A"/>
    <w:rsid w:val="00BC625C"/>
    <w:rsid w:val="00BC7135"/>
    <w:rsid w:val="00BD158F"/>
    <w:rsid w:val="00BD4BCF"/>
    <w:rsid w:val="00BE15DF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87967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42</cp:revision>
  <cp:lastPrinted>2021-11-11T20:27:00Z</cp:lastPrinted>
  <dcterms:created xsi:type="dcterms:W3CDTF">2021-10-05T18:17:00Z</dcterms:created>
  <dcterms:modified xsi:type="dcterms:W3CDTF">2021-11-11T20:27:00Z</dcterms:modified>
</cp:coreProperties>
</file>