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857ED3">
        <w:rPr>
          <w:rFonts w:ascii="Century Gothic" w:hAnsi="Century Gothic"/>
          <w:b/>
          <w:sz w:val="25"/>
          <w:szCs w:val="25"/>
          <w:lang w:val="es-MX"/>
        </w:rPr>
        <w:t>RFLEY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857ED3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571246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857ED3" w:rsidRDefault="00835A33" w:rsidP="00DB27A4">
      <w:pPr>
        <w:pStyle w:val="Textoindependiente3"/>
        <w:rPr>
          <w:rFonts w:ascii="Century Gothic" w:hAnsi="Century Gothic"/>
          <w:sz w:val="16"/>
          <w:szCs w:val="14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857ED3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571246" w:rsidRPr="00857ED3" w:rsidRDefault="00571246" w:rsidP="00054F47">
      <w:pPr>
        <w:pStyle w:val="Textosinformato"/>
        <w:jc w:val="both"/>
        <w:rPr>
          <w:rFonts w:ascii="Century Gothic" w:hAnsi="Century Gothic"/>
          <w:b/>
          <w:sz w:val="16"/>
          <w:szCs w:val="14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ÚNICO.-</w:t>
      </w:r>
      <w:r w:rsidRPr="00000033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Se reforman los artículos 66, fracción IX, segundo párrafo; 96, segundo párrafo, fracciones I, VI, VII, IX, X, XI, XVII, XVIII, XX y XXVI; 97, segundo párrafo; 98, primer párrafo; 113; 118; 119; 120, primer párrafo; 121, fracción II; del Título Quinto, el Capítulo VII, en su denominación; y 123, primer párrafo; se adicionan a los artículos 96, segundo párrafo, la fracción XXXIII; 97, un cuarto párrafo; y 123 Bis, un cuarto párrafo; se derogan de los artículos 96, segundo párrafo, las fracciones II, XXIV, XXVII, XXIX y XXXII; y 123 Bis, primer párrafo, las fracciones IV y V; todos de la Ley Orgánica del Poder Legislativo del Estado de Chihuahua, para quedar redactados de la siguiente forma: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ES_tradnl" w:eastAsia="en-US"/>
        </w:rPr>
        <w:t>ARTÍCULO 66.</w:t>
      </w: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 xml:space="preserve"> …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>I. a VIII. …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lastRenderedPageBreak/>
        <w:t>IX. ...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ind w:left="993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 xml:space="preserve">En dicho proyecto, deberá establecerse el monto que se canalizará para llevar a cabo publicaciones que programe el Consejo Editorial, del Comité </w:t>
      </w:r>
      <w:r w:rsidRPr="00000033">
        <w:rPr>
          <w:rFonts w:ascii="Century Gothic" w:eastAsia="Calibri" w:hAnsi="Century Gothic"/>
          <w:b/>
          <w:sz w:val="24"/>
          <w:szCs w:val="24"/>
          <w:lang w:val="es-ES_tradnl" w:eastAsia="en-US"/>
        </w:rPr>
        <w:t>Editorial y</w:t>
      </w: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 xml:space="preserve"> de Biblioteca. </w:t>
      </w:r>
    </w:p>
    <w:p w:rsidR="00000033" w:rsidRPr="00000033" w:rsidRDefault="00000033" w:rsidP="00000033">
      <w:pPr>
        <w:spacing w:line="360" w:lineRule="auto"/>
        <w:ind w:left="993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>X. a XXII. …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ARTÍCULO 96. 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I.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De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Gobernación y Puntos Constitucionales.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II.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III. a V. ... 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VI. De Educación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,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Cultura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Física y Deporte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VII. De Ciencia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,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Tecnología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e Innovación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lastRenderedPageBreak/>
        <w:t>VIII. ...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IX. De Derechos Humanos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y Atención a Grupos Vulnerables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X. De Obras, Servicios Públicos, y Desarrollo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y Movilidad Urbana.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XI. De Medio Ambiente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,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Ecología y Desarrollo Sustentable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XII. a XVI. ...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XVII. De Participación Ciudadana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y Asuntos Electorales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XVIII. De Desarrollo Rural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y Ganadería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XIX. ...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XX. De Economía,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Industria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y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Comercio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XXI. a XXIII. ... 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XXIV.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lastRenderedPageBreak/>
        <w:t xml:space="preserve">XXV. … 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XXVI.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De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Anticorrupción.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XXVII.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XXVIII. …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XXIX.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. 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XXX. y XXXI. …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XXXII.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70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XXXIII. De Turismo y Cultura. </w:t>
      </w:r>
    </w:p>
    <w:p w:rsidR="00000033" w:rsidRPr="00000033" w:rsidRDefault="00000033" w:rsidP="00000033">
      <w:pPr>
        <w:spacing w:line="360" w:lineRule="auto"/>
        <w:ind w:left="1287"/>
        <w:jc w:val="both"/>
        <w:rPr>
          <w:rFonts w:ascii="Century Gothic" w:eastAsia="Calibri" w:hAnsi="Century Gothic"/>
          <w:strike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ARTÍCULO 97.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...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Se constituirán, a más tardar, en la cuarta sesión posterior a la de instalación de la Legislatura en funciones.  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...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Las Comisiones Ordinarias de dictamen legislativo estarán constituidas con un mínimo de tres integrantes y un máximo de cinco; las contempladas en las fracciones I, III, IV, VIII y XXII del artículo 96 de esta Ley, estarán conformadas con un mínimo de cinco integrantes y un máximo de siete.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ARTÍCULO 98.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Las y los diputados podrán formar parte de hasta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ocho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Comisiones Ordinarias, pero solamente podrán presidir una.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...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ES_tradnl" w:eastAsia="en-US"/>
        </w:rPr>
        <w:t>ARTÍCULO 113.</w:t>
      </w: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 xml:space="preserve"> La Comisión de Fiscalización se conformará con un máximo de </w:t>
      </w:r>
      <w:r w:rsidRPr="00000033">
        <w:rPr>
          <w:rFonts w:ascii="Century Gothic" w:eastAsia="Calibri" w:hAnsi="Century Gothic"/>
          <w:b/>
          <w:sz w:val="24"/>
          <w:szCs w:val="24"/>
          <w:lang w:val="es-ES_tradnl" w:eastAsia="en-US"/>
        </w:rPr>
        <w:t>siete</w:t>
      </w: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 xml:space="preserve"> integrantes y un mínimo de </w:t>
      </w:r>
      <w:r w:rsidRPr="00000033">
        <w:rPr>
          <w:rFonts w:ascii="Century Gothic" w:eastAsia="Calibri" w:hAnsi="Century Gothic"/>
          <w:b/>
          <w:sz w:val="24"/>
          <w:szCs w:val="24"/>
          <w:lang w:val="es-ES_tradnl" w:eastAsia="en-US"/>
        </w:rPr>
        <w:t>cinco</w:t>
      </w: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>, reflejando la composición plural del Congreso.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ARTÍCULO 118.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El Comité 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Editorial y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de Biblioteca se conformará con un máximo de cinco miembros y un mínimo de tres, y el Comité de Administración se integrará hasta por tantos Partidos Políticos se encuentren representados en la Legislatura. En su integración, se reflejará la paridad de g</w:t>
      </w:r>
      <w:r w:rsidRPr="00000033">
        <w:rPr>
          <w:rFonts w:ascii="Century Gothic" w:eastAsia="Calibri" w:hAnsi="Century Gothic" w:cs="Century Gothic"/>
          <w:bCs/>
          <w:sz w:val="24"/>
          <w:szCs w:val="24"/>
          <w:lang w:val="es-MX" w:eastAsia="en-US"/>
        </w:rPr>
        <w:t>é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nero, y tendr</w:t>
      </w:r>
      <w:r w:rsidRPr="00000033">
        <w:rPr>
          <w:rFonts w:ascii="Century Gothic" w:eastAsia="Calibri" w:hAnsi="Century Gothic" w:cs="Century Gothic"/>
          <w:bCs/>
          <w:sz w:val="24"/>
          <w:szCs w:val="24"/>
          <w:lang w:val="es-MX" w:eastAsia="en-US"/>
        </w:rPr>
        <w:t>á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n las atribuciones que esta Ley, sus reglamentos y dem</w:t>
      </w:r>
      <w:r w:rsidRPr="00000033">
        <w:rPr>
          <w:rFonts w:ascii="Century Gothic" w:eastAsia="Calibri" w:hAnsi="Century Gothic" w:cs="Century Gothic"/>
          <w:bCs/>
          <w:sz w:val="24"/>
          <w:szCs w:val="24"/>
          <w:lang w:val="es-MX" w:eastAsia="en-US"/>
        </w:rPr>
        <w:t>á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s normatividad les se</w:t>
      </w:r>
      <w:r w:rsidRPr="00000033">
        <w:rPr>
          <w:rFonts w:ascii="Century Gothic" w:eastAsia="Calibri" w:hAnsi="Century Gothic" w:cs="Century Gothic"/>
          <w:bCs/>
          <w:sz w:val="24"/>
          <w:szCs w:val="24"/>
          <w:lang w:val="es-MX" w:eastAsia="en-US"/>
        </w:rPr>
        <w:t>ñ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alen. 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lastRenderedPageBreak/>
        <w:t xml:space="preserve">ARTÍCULO 119.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Quienes integren los Comités de Administración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,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 y 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Editorial y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de Biblioteca, serán designados por el Pleno, a propuesta de la Junta de Coordinación Política, y desempeñarán sus trabajos durante todo el período de la Legislatura. 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ARTÍCULO 120.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Los Comités de Administración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,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 y 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Editorial y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 de Biblioteca se reunirán, para la atención y desahogo de sus asuntos, en la medida que su carga de trabajo así lo requiera, previa convocatoria emitida por quien presida, conjuntamente con su secretaría.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…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ARTÍCULO 121.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 El Congreso contará con los siguientes Comités: </w:t>
      </w: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 xml:space="preserve">I.  </w:t>
      </w: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ab/>
        <w:t>...</w:t>
      </w: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 xml:space="preserve">II.  </w:t>
      </w: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ab/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ES_tradnl" w:eastAsia="en-US"/>
        </w:rPr>
        <w:t>Editorial y de</w:t>
      </w: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 xml:space="preserve"> Biblioteca.</w:t>
      </w: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NI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III.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ab/>
        <w:t>..</w:t>
      </w:r>
      <w:r w:rsidRPr="00000033">
        <w:rPr>
          <w:rFonts w:ascii="Century Gothic" w:eastAsia="Calibri" w:hAnsi="Century Gothic"/>
          <w:bCs/>
          <w:sz w:val="24"/>
          <w:szCs w:val="24"/>
          <w:lang w:val="es-NI" w:eastAsia="en-US"/>
        </w:rPr>
        <w:t>.</w:t>
      </w:r>
    </w:p>
    <w:p w:rsid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NI" w:eastAsia="en-US"/>
        </w:rPr>
      </w:pPr>
    </w:p>
    <w:p w:rsid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NI" w:eastAsia="en-US"/>
        </w:rPr>
      </w:pPr>
    </w:p>
    <w:p w:rsid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NI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NI" w:eastAsia="en-US"/>
        </w:rPr>
      </w:pPr>
      <w:bookmarkStart w:id="0" w:name="_GoBack"/>
      <w:bookmarkEnd w:id="0"/>
    </w:p>
    <w:p w:rsidR="00000033" w:rsidRPr="00000033" w:rsidRDefault="00000033" w:rsidP="00000033">
      <w:pPr>
        <w:spacing w:line="360" w:lineRule="auto"/>
        <w:jc w:val="center"/>
        <w:rPr>
          <w:rFonts w:ascii="Century Gothic" w:eastAsia="Calibri" w:hAnsi="Century Gothic"/>
          <w:b/>
          <w:bCs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jc w:val="center"/>
        <w:rPr>
          <w:rFonts w:ascii="Century Gothic" w:eastAsia="Calibri" w:hAnsi="Century Gothic"/>
          <w:b/>
          <w:bCs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b/>
          <w:bCs/>
          <w:sz w:val="24"/>
          <w:szCs w:val="24"/>
          <w:lang w:val="es-ES_tradnl" w:eastAsia="en-US"/>
        </w:rPr>
        <w:lastRenderedPageBreak/>
        <w:t>CAPÍTULO VII</w:t>
      </w:r>
    </w:p>
    <w:p w:rsidR="00000033" w:rsidRPr="00000033" w:rsidRDefault="00000033" w:rsidP="00000033">
      <w:pPr>
        <w:spacing w:line="360" w:lineRule="auto"/>
        <w:jc w:val="center"/>
        <w:rPr>
          <w:rFonts w:ascii="Century Gothic" w:eastAsia="Calibri" w:hAnsi="Century Gothic"/>
          <w:bCs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 xml:space="preserve">DEL COMITÉ 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ES_tradnl" w:eastAsia="en-US"/>
        </w:rPr>
        <w:t xml:space="preserve">EDITORIAL Y </w:t>
      </w:r>
      <w:r w:rsidRPr="00000033">
        <w:rPr>
          <w:rFonts w:ascii="Century Gothic" w:eastAsia="Calibri" w:hAnsi="Century Gothic"/>
          <w:bCs/>
          <w:sz w:val="24"/>
          <w:szCs w:val="24"/>
          <w:lang w:val="es-ES_tradnl" w:eastAsia="en-US"/>
        </w:rPr>
        <w:t>DE BIBLIOTECA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ES_tradnl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ARTÍCULO 123.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Son atribuciones del Comité 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Editorial y </w:t>
      </w: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de Biblioteca: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NI" w:eastAsia="en-US"/>
        </w:rPr>
      </w:pPr>
    </w:p>
    <w:p w:rsidR="00000033" w:rsidRPr="00000033" w:rsidRDefault="00000033" w:rsidP="00000033">
      <w:pPr>
        <w:numPr>
          <w:ilvl w:val="0"/>
          <w:numId w:val="1"/>
        </w:num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ES_tradnl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ES_tradnl" w:eastAsia="en-US"/>
        </w:rPr>
        <w:t>a VII. …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ARTÍCULO 123 Bis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 El Comité de Adquisiciones, Arrendamientos y Servicios, se integrará por: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I. a III.  …</w:t>
      </w: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IV.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deroga.</w:t>
      </w: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 xml:space="preserve">V. </w:t>
      </w: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</w:t>
      </w:r>
      <w:r w:rsidRPr="00000033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.</w:t>
      </w: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851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VI.  ...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Cs/>
          <w:sz w:val="24"/>
          <w:szCs w:val="24"/>
          <w:lang w:val="es-MX" w:eastAsia="en-US"/>
        </w:rPr>
        <w:t>...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sz w:val="24"/>
          <w:szCs w:val="24"/>
          <w:lang w:val="es-MX" w:eastAsia="en-US"/>
        </w:rPr>
        <w:t>...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lastRenderedPageBreak/>
        <w:t>Trimestralmente, deberá informar al Comité de Administración respecto al ejercicio de sus funciones, y deberá contener al menos: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1134" w:hanging="283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I.  La información sobre los procedimientos de adjudicación directa, invitación restringida y licitación pública, incluyendo su justificación y resultados; así como los contratos celebrados en el período a informar.</w:t>
      </w:r>
    </w:p>
    <w:p w:rsidR="00000033" w:rsidRPr="00000033" w:rsidRDefault="00000033" w:rsidP="00000033">
      <w:pPr>
        <w:spacing w:line="360" w:lineRule="auto"/>
        <w:ind w:left="1134" w:hanging="283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000033" w:rsidRPr="00000033" w:rsidRDefault="00000033" w:rsidP="00000033">
      <w:pPr>
        <w:spacing w:line="360" w:lineRule="auto"/>
        <w:ind w:left="1134" w:hanging="283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000033">
        <w:rPr>
          <w:rFonts w:ascii="Century Gothic" w:eastAsia="Calibri" w:hAnsi="Century Gothic"/>
          <w:b/>
          <w:sz w:val="24"/>
          <w:szCs w:val="24"/>
          <w:lang w:val="es-MX" w:eastAsia="en-US"/>
        </w:rPr>
        <w:t>II. La agenda de los procesos de contratación conforme a su planeación y programación.</w:t>
      </w:r>
    </w:p>
    <w:p w:rsidR="00000033" w:rsidRPr="00000033" w:rsidRDefault="00000033" w:rsidP="0000003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00033" w:rsidRPr="00000033" w:rsidRDefault="00000033" w:rsidP="00000033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8"/>
          <w:szCs w:val="22"/>
          <w:lang w:val="es-MX" w:eastAsia="en-US"/>
        </w:rPr>
      </w:pPr>
      <w:r w:rsidRPr="00000033">
        <w:rPr>
          <w:rFonts w:ascii="Century Gothic" w:hAnsi="Century Gothic"/>
          <w:b/>
          <w:sz w:val="28"/>
          <w:szCs w:val="22"/>
          <w:lang w:val="es-MX" w:eastAsia="en-US"/>
        </w:rPr>
        <w:t>ARTÍCULO TRANSITORIO</w:t>
      </w:r>
    </w:p>
    <w:p w:rsidR="00000033" w:rsidRPr="00000033" w:rsidRDefault="00000033" w:rsidP="00000033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4"/>
          <w:szCs w:val="22"/>
          <w:lang w:val="es-MX" w:eastAsia="en-US"/>
        </w:rPr>
      </w:pPr>
    </w:p>
    <w:p w:rsidR="00000033" w:rsidRPr="00000033" w:rsidRDefault="00000033" w:rsidP="00000033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  <w:r w:rsidRPr="00000033">
        <w:rPr>
          <w:rFonts w:ascii="Century Gothic" w:hAnsi="Century Gothic"/>
          <w:b/>
          <w:sz w:val="28"/>
          <w:szCs w:val="22"/>
          <w:lang w:val="es-MX" w:eastAsia="en-US"/>
        </w:rPr>
        <w:t>ÚNICO</w:t>
      </w:r>
      <w:r w:rsidRPr="00000033">
        <w:rPr>
          <w:rFonts w:ascii="Century Gothic" w:hAnsi="Century Gothic"/>
          <w:bCs/>
          <w:sz w:val="28"/>
          <w:szCs w:val="22"/>
          <w:lang w:val="es-MX" w:eastAsia="en-US"/>
        </w:rPr>
        <w:t>.-</w:t>
      </w:r>
      <w:r w:rsidRPr="00000033">
        <w:rPr>
          <w:rFonts w:ascii="Century Gothic" w:hAnsi="Century Gothic"/>
          <w:bCs/>
          <w:sz w:val="22"/>
          <w:szCs w:val="22"/>
          <w:lang w:val="es-MX" w:eastAsia="en-US"/>
        </w:rPr>
        <w:t xml:space="preserve"> </w:t>
      </w:r>
      <w:r w:rsidRPr="00000033">
        <w:rPr>
          <w:rFonts w:ascii="Century Gothic" w:hAnsi="Century Gothic"/>
          <w:bCs/>
          <w:sz w:val="24"/>
          <w:szCs w:val="22"/>
          <w:lang w:val="es-MX" w:eastAsia="en-US"/>
        </w:rPr>
        <w:t>El presente Decreto entrará en vigor el día de su publicación en el Periódico Oficial del Estado.</w:t>
      </w:r>
    </w:p>
    <w:p w:rsidR="0093794F" w:rsidRPr="00000033" w:rsidRDefault="0093794F" w:rsidP="00000033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sz w:val="24"/>
          <w:szCs w:val="16"/>
        </w:rPr>
      </w:pPr>
    </w:p>
    <w:p w:rsidR="00DB27A4" w:rsidRPr="00481951" w:rsidRDefault="00DB27A4" w:rsidP="0000003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B52378">
        <w:rPr>
          <w:rFonts w:ascii="Century Gothic" w:hAnsi="Century Gothic"/>
          <w:szCs w:val="24"/>
        </w:rPr>
        <w:t xml:space="preserve">a los </w:t>
      </w:r>
      <w:r w:rsidR="00857ED3">
        <w:rPr>
          <w:rFonts w:ascii="Century Gothic" w:hAnsi="Century Gothic"/>
          <w:szCs w:val="24"/>
        </w:rPr>
        <w:t>catorce</w:t>
      </w:r>
      <w:r w:rsidR="0008553C">
        <w:rPr>
          <w:rFonts w:ascii="Century Gothic" w:hAnsi="Century Gothic"/>
          <w:szCs w:val="24"/>
        </w:rPr>
        <w:t xml:space="preserve"> día</w:t>
      </w:r>
      <w:r w:rsidR="000D7827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857ED3" w:rsidRDefault="00857ED3" w:rsidP="00857ED3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EN FUNCIONES DE </w:t>
      </w:r>
    </w:p>
    <w:p w:rsidR="002F5CF7" w:rsidRPr="005832AF" w:rsidRDefault="002F5CF7" w:rsidP="00857ED3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857ED3">
        <w:rPr>
          <w:rFonts w:ascii="Century Gothic" w:hAnsi="Century Gothic"/>
          <w:b/>
          <w:sz w:val="26"/>
          <w:szCs w:val="26"/>
        </w:rPr>
        <w:t>OMAR BAZÁN FLORES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00033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92" w:rsidRDefault="00610D92">
      <w:r>
        <w:separator/>
      </w:r>
    </w:p>
  </w:endnote>
  <w:endnote w:type="continuationSeparator" w:id="0">
    <w:p w:rsidR="00610D92" w:rsidRDefault="0061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003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92" w:rsidRDefault="00610D92">
      <w:r>
        <w:separator/>
      </w:r>
    </w:p>
  </w:footnote>
  <w:footnote w:type="continuationSeparator" w:id="0">
    <w:p w:rsidR="00610D92" w:rsidRDefault="0061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B52378" w:rsidRPr="004D6016">
      <w:rPr>
        <w:rFonts w:ascii="Century Gothic" w:hAnsi="Century Gothic"/>
        <w:b/>
        <w:sz w:val="24"/>
        <w:szCs w:val="24"/>
        <w:lang w:val="es-MX"/>
      </w:rPr>
      <w:t>R</w:t>
    </w:r>
    <w:r w:rsidR="00857ED3">
      <w:rPr>
        <w:rFonts w:ascii="Century Gothic" w:hAnsi="Century Gothic"/>
        <w:b/>
        <w:sz w:val="24"/>
        <w:szCs w:val="24"/>
        <w:lang w:val="es-MX"/>
      </w:rPr>
      <w:t>FLEY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/000</w:t>
    </w:r>
    <w:r w:rsidR="00857ED3">
      <w:rPr>
        <w:rFonts w:ascii="Century Gothic" w:hAnsi="Century Gothic"/>
        <w:b/>
        <w:sz w:val="24"/>
        <w:szCs w:val="24"/>
        <w:lang w:val="es-MX"/>
      </w:rPr>
      <w:t>7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F77C6"/>
    <w:multiLevelType w:val="hybridMultilevel"/>
    <w:tmpl w:val="1BAA9006"/>
    <w:lvl w:ilvl="0" w:tplc="5AC4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033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7827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44F6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0D92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33279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57ED3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177D"/>
    <w:rsid w:val="008A616E"/>
    <w:rsid w:val="008B4692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94F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D8E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3A7E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2378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E6225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5E28"/>
    <w:rsid w:val="00ED728A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34</cp:revision>
  <cp:lastPrinted>2021-09-14T18:02:00Z</cp:lastPrinted>
  <dcterms:created xsi:type="dcterms:W3CDTF">2018-08-29T18:38:00Z</dcterms:created>
  <dcterms:modified xsi:type="dcterms:W3CDTF">2021-09-14T18:02:00Z</dcterms:modified>
</cp:coreProperties>
</file>