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92D" w:rsidRPr="00481951" w:rsidRDefault="000D292D" w:rsidP="000D292D">
      <w:pPr>
        <w:pStyle w:val="Textoindependiente3"/>
        <w:rPr>
          <w:rFonts w:ascii="Century Gothic" w:hAnsi="Century Gothic"/>
          <w:szCs w:val="24"/>
        </w:rPr>
      </w:pPr>
      <w:r>
        <w:rPr>
          <w:rFonts w:ascii="Century Gothic" w:hAnsi="Century Gothic"/>
          <w:szCs w:val="24"/>
        </w:rPr>
        <w:t>DECRETO No</w:t>
      </w:r>
      <w:r w:rsidRPr="00481951">
        <w:rPr>
          <w:rFonts w:ascii="Century Gothic" w:hAnsi="Century Gothic"/>
          <w:szCs w:val="24"/>
        </w:rPr>
        <w:t xml:space="preserve">.       </w:t>
      </w:r>
    </w:p>
    <w:p w:rsidR="000D292D" w:rsidRPr="000B0BCD" w:rsidRDefault="000D292D" w:rsidP="000D292D">
      <w:pPr>
        <w:ind w:right="284"/>
        <w:jc w:val="both"/>
        <w:rPr>
          <w:rFonts w:ascii="Century Gothic" w:hAnsi="Century Gothic"/>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I/APTVV</w:t>
      </w:r>
      <w:r w:rsidRPr="000B0BCD">
        <w:rPr>
          <w:rFonts w:ascii="Century Gothic" w:hAnsi="Century Gothic"/>
          <w:b/>
          <w:sz w:val="24"/>
          <w:szCs w:val="24"/>
          <w:lang w:val="en-US"/>
        </w:rPr>
        <w:t>/0</w:t>
      </w:r>
      <w:r w:rsidRPr="009A1B83">
        <w:rPr>
          <w:rFonts w:ascii="Century Gothic" w:hAnsi="Century Gothic"/>
          <w:b/>
          <w:noProof/>
          <w:sz w:val="24"/>
          <w:szCs w:val="24"/>
          <w:lang w:val="en-US"/>
        </w:rPr>
        <w:t>470</w:t>
      </w:r>
      <w:r w:rsidRPr="000B0BCD">
        <w:rPr>
          <w:rFonts w:ascii="Century Gothic" w:hAnsi="Century Gothic"/>
          <w:b/>
          <w:sz w:val="24"/>
          <w:szCs w:val="24"/>
          <w:lang w:val="en-US"/>
        </w:rPr>
        <w:t>/</w:t>
      </w:r>
      <w:proofErr w:type="gramStart"/>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w:t>
      </w:r>
      <w:proofErr w:type="gramEnd"/>
      <w:r w:rsidRPr="000B0BCD">
        <w:rPr>
          <w:rFonts w:ascii="Century Gothic" w:hAnsi="Century Gothic"/>
          <w:b/>
          <w:sz w:val="24"/>
          <w:szCs w:val="24"/>
          <w:lang w:val="en-US"/>
        </w:rPr>
        <w:t xml:space="preserve"> P.O. </w:t>
      </w:r>
    </w:p>
    <w:p w:rsidR="000D292D" w:rsidRPr="000B0BCD" w:rsidRDefault="000D292D" w:rsidP="000D292D">
      <w:pPr>
        <w:ind w:left="284" w:right="284"/>
        <w:jc w:val="both"/>
        <w:rPr>
          <w:rFonts w:ascii="Century Gothic" w:hAnsi="Century Gothic"/>
          <w:b/>
          <w:sz w:val="24"/>
          <w:szCs w:val="24"/>
          <w:lang w:val="en-US"/>
        </w:rPr>
      </w:pPr>
    </w:p>
    <w:p w:rsidR="000D292D" w:rsidRPr="000628B4" w:rsidRDefault="000D292D" w:rsidP="000D292D">
      <w:pPr>
        <w:pStyle w:val="Textoindependiente3"/>
        <w:ind w:right="49"/>
        <w:rPr>
          <w:rFonts w:ascii="Century Gothic" w:hAnsi="Century Gothic"/>
          <w:sz w:val="26"/>
          <w:szCs w:val="26"/>
        </w:rPr>
      </w:pPr>
      <w:r w:rsidRPr="000628B4">
        <w:rPr>
          <w:rFonts w:ascii="Century Gothic" w:hAnsi="Century Gothic"/>
          <w:sz w:val="26"/>
          <w:szCs w:val="26"/>
        </w:rPr>
        <w:t xml:space="preserve">LA SEXAGÉSIMA </w:t>
      </w:r>
      <w:r>
        <w:rPr>
          <w:rFonts w:ascii="Century Gothic" w:hAnsi="Century Gothic"/>
          <w:sz w:val="26"/>
          <w:szCs w:val="26"/>
        </w:rPr>
        <w:t>SEXTA</w:t>
      </w:r>
      <w:r w:rsidRPr="000628B4">
        <w:rPr>
          <w:rFonts w:ascii="Century Gothic" w:hAnsi="Century Gothic"/>
          <w:sz w:val="26"/>
          <w:szCs w:val="26"/>
        </w:rPr>
        <w:t xml:space="preserve"> LEGISLATURA DEL HONORABLE CONGRESO DEL ESTADO DE</w:t>
      </w:r>
      <w:r>
        <w:rPr>
          <w:rFonts w:ascii="Century Gothic" w:hAnsi="Century Gothic"/>
          <w:sz w:val="26"/>
          <w:szCs w:val="26"/>
        </w:rPr>
        <w:t xml:space="preserve"> CHIHUAHUA, REUNIDA EN SU PRIMER</w:t>
      </w:r>
      <w:r w:rsidRPr="000628B4">
        <w:rPr>
          <w:rFonts w:ascii="Century Gothic" w:hAnsi="Century Gothic"/>
          <w:sz w:val="26"/>
          <w:szCs w:val="26"/>
        </w:rPr>
        <w:t xml:space="preserve"> PERÍODO ORDINARIO DE SESIONES, DENTRO DE</w:t>
      </w:r>
      <w:r>
        <w:rPr>
          <w:rFonts w:ascii="Century Gothic" w:hAnsi="Century Gothic"/>
          <w:sz w:val="26"/>
          <w:szCs w:val="26"/>
        </w:rPr>
        <w:t>L</w:t>
      </w:r>
      <w:r w:rsidRPr="000628B4">
        <w:rPr>
          <w:rFonts w:ascii="Century Gothic" w:hAnsi="Century Gothic"/>
          <w:sz w:val="26"/>
          <w:szCs w:val="26"/>
        </w:rPr>
        <w:t xml:space="preserve"> </w:t>
      </w:r>
      <w:r>
        <w:rPr>
          <w:rFonts w:ascii="Century Gothic" w:hAnsi="Century Gothic"/>
          <w:sz w:val="26"/>
          <w:szCs w:val="26"/>
        </w:rPr>
        <w:t xml:space="preserve">SEGUNDO </w:t>
      </w:r>
      <w:r w:rsidRPr="000628B4">
        <w:rPr>
          <w:rFonts w:ascii="Century Gothic" w:hAnsi="Century Gothic"/>
          <w:sz w:val="26"/>
          <w:szCs w:val="26"/>
        </w:rPr>
        <w:t>AÑO DE EJERCICIO CONSTITUCIONAL,</w:t>
      </w:r>
    </w:p>
    <w:p w:rsidR="000D292D" w:rsidRPr="000635DF" w:rsidRDefault="000D292D" w:rsidP="000D292D">
      <w:pPr>
        <w:pStyle w:val="Textoindependiente3"/>
        <w:rPr>
          <w:rFonts w:ascii="Century Gothic" w:hAnsi="Century Gothic"/>
          <w:sz w:val="16"/>
          <w:szCs w:val="16"/>
        </w:rPr>
      </w:pPr>
    </w:p>
    <w:p w:rsidR="000D292D" w:rsidRPr="000635DF" w:rsidRDefault="000D292D" w:rsidP="000D292D">
      <w:pPr>
        <w:pStyle w:val="Textoindependiente3"/>
        <w:rPr>
          <w:rFonts w:ascii="Century Gothic" w:hAnsi="Century Gothic"/>
          <w:sz w:val="16"/>
          <w:szCs w:val="16"/>
        </w:rPr>
      </w:pPr>
    </w:p>
    <w:p w:rsidR="000D292D" w:rsidRDefault="000D292D" w:rsidP="000D292D">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0D292D" w:rsidRPr="000635DF" w:rsidRDefault="000D292D" w:rsidP="000D292D">
      <w:pPr>
        <w:pStyle w:val="Textoindependiente3"/>
        <w:ind w:right="23"/>
        <w:jc w:val="center"/>
        <w:rPr>
          <w:rFonts w:ascii="Century Gothic" w:hAnsi="Century Gothic"/>
          <w:sz w:val="16"/>
          <w:szCs w:val="16"/>
        </w:rPr>
      </w:pPr>
    </w:p>
    <w:p w:rsidR="000D292D" w:rsidRPr="000635DF" w:rsidRDefault="000D292D" w:rsidP="000D292D">
      <w:pPr>
        <w:pStyle w:val="Textoindependiente3"/>
        <w:ind w:right="23"/>
        <w:jc w:val="center"/>
        <w:rPr>
          <w:rFonts w:ascii="Century Gothic" w:hAnsi="Century Gothic"/>
          <w:sz w:val="16"/>
          <w:szCs w:val="16"/>
        </w:rPr>
      </w:pPr>
    </w:p>
    <w:p w:rsidR="000D292D" w:rsidRPr="00BA2732" w:rsidRDefault="000D292D" w:rsidP="000D292D">
      <w:pPr>
        <w:shd w:val="clear" w:color="auto" w:fill="FFFFFF"/>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sz w:val="24"/>
          <w:szCs w:val="24"/>
        </w:rPr>
        <w:t xml:space="preserve"> Se aprueban las Tablas de Valores Unitarios de Suelo y Construcción, </w:t>
      </w:r>
      <w:r>
        <w:rPr>
          <w:rFonts w:ascii="Century Gothic" w:hAnsi="Century Gothic" w:cs="Arial"/>
          <w:sz w:val="24"/>
          <w:szCs w:val="24"/>
        </w:rPr>
        <w:t>propuestas</w:t>
      </w:r>
      <w:r w:rsidRPr="00BA2732">
        <w:rPr>
          <w:rFonts w:ascii="Century Gothic" w:hAnsi="Century Gothic" w:cs="Arial"/>
          <w:sz w:val="24"/>
          <w:szCs w:val="24"/>
        </w:rPr>
        <w:t xml:space="preserve"> por </w:t>
      </w:r>
      <w:r>
        <w:rPr>
          <w:rFonts w:ascii="Century Gothic" w:hAnsi="Century Gothic" w:cs="Arial"/>
          <w:sz w:val="24"/>
          <w:szCs w:val="24"/>
        </w:rPr>
        <w:t>e</w:t>
      </w:r>
      <w:r w:rsidRPr="00BA2732">
        <w:rPr>
          <w:rFonts w:ascii="Century Gothic" w:hAnsi="Century Gothic" w:cs="Arial"/>
          <w:sz w:val="24"/>
          <w:szCs w:val="24"/>
        </w:rPr>
        <w:t>l</w:t>
      </w:r>
      <w:r>
        <w:rPr>
          <w:rFonts w:ascii="Century Gothic" w:hAnsi="Century Gothic" w:cs="Arial"/>
          <w:sz w:val="24"/>
          <w:szCs w:val="24"/>
        </w:rPr>
        <w:t xml:space="preserve"> H. Ayuntamiento</w:t>
      </w:r>
      <w:r w:rsidRPr="00BA2732">
        <w:rPr>
          <w:rFonts w:ascii="Century Gothic" w:hAnsi="Century Gothic" w:cs="Arial"/>
          <w:sz w:val="24"/>
          <w:szCs w:val="24"/>
        </w:rPr>
        <w:t xml:space="preserve"> de </w:t>
      </w:r>
      <w:r w:rsidRPr="009A1B83">
        <w:rPr>
          <w:rFonts w:ascii="Century Gothic" w:hAnsi="Century Gothic" w:cs="Arial"/>
          <w:b/>
          <w:noProof/>
          <w:sz w:val="24"/>
          <w:szCs w:val="24"/>
        </w:rPr>
        <w:t>Guachochi</w:t>
      </w:r>
      <w:r w:rsidRPr="00584000">
        <w:rPr>
          <w:rFonts w:ascii="Century Gothic" w:hAnsi="Century Gothic" w:cs="Arial"/>
          <w:b/>
          <w:sz w:val="24"/>
          <w:szCs w:val="24"/>
        </w:rPr>
        <w:t>,</w:t>
      </w:r>
      <w:r>
        <w:rPr>
          <w:rFonts w:ascii="Century Gothic" w:hAnsi="Century Gothic" w:cs="Arial"/>
          <w:sz w:val="24"/>
          <w:szCs w:val="24"/>
        </w:rPr>
        <w:t xml:space="preserve"> </w:t>
      </w:r>
      <w:r w:rsidRPr="00BA2732">
        <w:rPr>
          <w:rFonts w:ascii="Century Gothic" w:hAnsi="Century Gothic" w:cs="Arial"/>
          <w:sz w:val="24"/>
          <w:szCs w:val="24"/>
        </w:rPr>
        <w:t>mismas que servirán de base para la determinación del valor catastral y el cálculo de las contribuciones en materia de propiedad inmobiliaria, durante el ejercicio fiscal comprendido del 1° de enero al 31 de diciembre de 2020, las cuales se anexan al presente Decreto y pasan a formar parte del mismo.</w:t>
      </w:r>
    </w:p>
    <w:p w:rsidR="000D292D" w:rsidRPr="00BA2732" w:rsidRDefault="000D292D" w:rsidP="000D292D">
      <w:pPr>
        <w:spacing w:line="360" w:lineRule="auto"/>
        <w:jc w:val="both"/>
        <w:rPr>
          <w:rFonts w:ascii="Century Gothic" w:eastAsia="Calibri" w:hAnsi="Century Gothic" w:cs="Arial"/>
          <w:sz w:val="24"/>
          <w:szCs w:val="24"/>
          <w:highlight w:val="yellow"/>
          <w:lang w:val="es-MX" w:eastAsia="en-US"/>
        </w:rPr>
      </w:pPr>
    </w:p>
    <w:p w:rsidR="000D292D" w:rsidRPr="00BA2732" w:rsidRDefault="000D292D" w:rsidP="000D292D">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SEGUNDO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 xml:space="preserve">En su caso, aquellos Municipios que así lo hayan determinado y en los términos autorizados, se faculta, así mismo, para efecto del cálculo del Impuesto Predial para el Ejercicio Fiscal 2020, utilizar el mismo valor base que sirvió para el cálculo del citado impuesto al 31 de diciembre </w:t>
      </w:r>
      <w:proofErr w:type="gramStart"/>
      <w:r w:rsidRPr="00BA2732">
        <w:rPr>
          <w:rFonts w:ascii="Century Gothic" w:eastAsia="Calibri" w:hAnsi="Century Gothic" w:cs="Arial"/>
          <w:sz w:val="24"/>
          <w:szCs w:val="24"/>
          <w:lang w:val="es-MX" w:eastAsia="en-US"/>
        </w:rPr>
        <w:t>de</w:t>
      </w:r>
      <w:proofErr w:type="gramEnd"/>
      <w:r w:rsidRPr="00BA2732">
        <w:rPr>
          <w:rFonts w:ascii="Century Gothic" w:eastAsia="Calibri" w:hAnsi="Century Gothic" w:cs="Arial"/>
          <w:sz w:val="24"/>
          <w:szCs w:val="24"/>
          <w:lang w:val="es-MX" w:eastAsia="en-US"/>
        </w:rPr>
        <w:t xml:space="preserve"> 2018 o 2019, según corresponda.</w:t>
      </w:r>
    </w:p>
    <w:p w:rsidR="000D292D" w:rsidRPr="00BA2732" w:rsidRDefault="000D292D" w:rsidP="000D292D">
      <w:pPr>
        <w:spacing w:line="360" w:lineRule="auto"/>
        <w:jc w:val="both"/>
        <w:rPr>
          <w:rFonts w:ascii="Century Gothic" w:eastAsia="Calibri" w:hAnsi="Century Gothic" w:cs="Arial"/>
          <w:sz w:val="24"/>
          <w:szCs w:val="24"/>
          <w:highlight w:val="yellow"/>
          <w:lang w:val="es-MX" w:eastAsia="en-US"/>
        </w:rPr>
      </w:pPr>
    </w:p>
    <w:p w:rsidR="000D292D" w:rsidRPr="00BA2732" w:rsidRDefault="000D292D" w:rsidP="000D292D">
      <w:pPr>
        <w:spacing w:line="360" w:lineRule="auto"/>
        <w:jc w:val="both"/>
        <w:rPr>
          <w:rFonts w:ascii="Century Gothic" w:eastAsia="Calibri" w:hAnsi="Century Gothic" w:cs="Arial"/>
          <w:sz w:val="28"/>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TERCERO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s-MX"/>
        </w:rPr>
        <w:t>De conformidad con el artículo 28, fracción I, de la Ley de Catastro del Estado de Chihuahua, a partir del 1° de enero del año 2020, deberá actualizarse el valor de cada una de las cuentas del padrón catastral con base en las Tablas autorizadas, sujetándose a las reglas establecidas en la referida Ley y este Decreto.</w:t>
      </w:r>
    </w:p>
    <w:p w:rsidR="000D292D" w:rsidRPr="00BA2732" w:rsidRDefault="000D292D" w:rsidP="000D292D">
      <w:pPr>
        <w:spacing w:line="360" w:lineRule="auto"/>
        <w:jc w:val="both"/>
        <w:rPr>
          <w:rFonts w:ascii="Century Gothic" w:eastAsia="Calibri" w:hAnsi="Century Gothic" w:cs="Arial"/>
          <w:sz w:val="24"/>
          <w:szCs w:val="24"/>
          <w:highlight w:val="yellow"/>
          <w:lang w:val="es-MX" w:eastAsia="es-MX"/>
        </w:rPr>
      </w:pPr>
    </w:p>
    <w:p w:rsidR="000D292D" w:rsidRPr="00BA2732" w:rsidRDefault="000D292D" w:rsidP="000D292D">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lastRenderedPageBreak/>
        <w:t xml:space="preserve">ARTÍCULO </w:t>
      </w:r>
      <w:r>
        <w:rPr>
          <w:rFonts w:ascii="Century Gothic" w:eastAsia="Calibri" w:hAnsi="Century Gothic" w:cs="Arial"/>
          <w:b/>
          <w:sz w:val="28"/>
          <w:szCs w:val="24"/>
          <w:lang w:val="es-MX" w:eastAsia="en-US"/>
        </w:rPr>
        <w:t>CUARTO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Durante el ejercicio fiscal de 2020, no será aplicable lo dispuesto por el artículo 152 del Código Municipal para el Estado de Chihuahua.</w:t>
      </w:r>
    </w:p>
    <w:p w:rsidR="000D292D" w:rsidRPr="00BA2732" w:rsidRDefault="000D292D" w:rsidP="000D292D">
      <w:pPr>
        <w:spacing w:line="360" w:lineRule="auto"/>
        <w:jc w:val="both"/>
        <w:rPr>
          <w:rFonts w:ascii="Century Gothic" w:eastAsia="Calibri" w:hAnsi="Century Gothic" w:cs="Arial"/>
          <w:sz w:val="24"/>
          <w:szCs w:val="24"/>
          <w:lang w:val="es-MX" w:eastAsia="en-US"/>
        </w:rPr>
      </w:pPr>
    </w:p>
    <w:p w:rsidR="000D292D" w:rsidRPr="00BA2732" w:rsidRDefault="000D292D" w:rsidP="000D292D">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QUINTO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Para la determinación de la base del Impuesto sobre Traslación de Dominio de Bienes Inmuebles, a que se refiere el Libro II, Título III, Capítulo IV, del Código Municipal para el Estado de Chihuahua, durante el ejercicio fiscal 2020, se omitirá la aplicación de la fracción II del artículo 158 del referido ordenamiento jurídico.</w:t>
      </w:r>
    </w:p>
    <w:p w:rsidR="000D292D" w:rsidRPr="00BA2732" w:rsidRDefault="000D292D" w:rsidP="000D292D">
      <w:pPr>
        <w:spacing w:line="360" w:lineRule="auto"/>
        <w:jc w:val="both"/>
        <w:rPr>
          <w:rFonts w:ascii="Century Gothic" w:eastAsia="Calibri" w:hAnsi="Century Gothic" w:cs="Arial"/>
          <w:sz w:val="24"/>
          <w:szCs w:val="24"/>
          <w:highlight w:val="yellow"/>
          <w:lang w:val="es-MX" w:eastAsia="en-US"/>
        </w:rPr>
      </w:pPr>
    </w:p>
    <w:p w:rsidR="000D292D" w:rsidRPr="00BA2732" w:rsidRDefault="000D292D" w:rsidP="000D292D">
      <w:pPr>
        <w:spacing w:line="360" w:lineRule="auto"/>
        <w:jc w:val="center"/>
        <w:outlineLvl w:val="0"/>
        <w:rPr>
          <w:rFonts w:ascii="Century Gothic" w:hAnsi="Century Gothic" w:cs="Arial"/>
          <w:b/>
          <w:sz w:val="28"/>
          <w:szCs w:val="24"/>
        </w:rPr>
      </w:pP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A</w:t>
      </w:r>
      <w:r>
        <w:rPr>
          <w:rFonts w:ascii="Century Gothic" w:hAnsi="Century Gothic" w:cs="Arial"/>
          <w:b/>
          <w:sz w:val="28"/>
          <w:szCs w:val="24"/>
        </w:rPr>
        <w:t xml:space="preserve"> </w:t>
      </w:r>
      <w:r w:rsidRPr="00BA2732">
        <w:rPr>
          <w:rFonts w:ascii="Century Gothic" w:hAnsi="Century Gothic" w:cs="Arial"/>
          <w:b/>
          <w:sz w:val="28"/>
          <w:szCs w:val="24"/>
        </w:rPr>
        <w:t>N</w:t>
      </w:r>
      <w:r>
        <w:rPr>
          <w:rFonts w:ascii="Century Gothic" w:hAnsi="Century Gothic" w:cs="Arial"/>
          <w:b/>
          <w:sz w:val="28"/>
          <w:szCs w:val="24"/>
        </w:rPr>
        <w:t xml:space="preserve"> </w:t>
      </w:r>
      <w:r w:rsidRPr="00BA2732">
        <w:rPr>
          <w:rFonts w:ascii="Century Gothic" w:hAnsi="Century Gothic" w:cs="Arial"/>
          <w:b/>
          <w:sz w:val="28"/>
          <w:szCs w:val="24"/>
        </w:rPr>
        <w:t>S</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S</w:t>
      </w:r>
    </w:p>
    <w:p w:rsidR="000D292D" w:rsidRPr="00BA2732" w:rsidRDefault="000D292D" w:rsidP="000D292D">
      <w:pPr>
        <w:spacing w:line="360" w:lineRule="auto"/>
        <w:jc w:val="center"/>
        <w:outlineLvl w:val="0"/>
        <w:rPr>
          <w:rFonts w:ascii="Century Gothic" w:hAnsi="Century Gothic" w:cs="Arial"/>
          <w:b/>
          <w:color w:val="FF0000"/>
          <w:sz w:val="24"/>
          <w:szCs w:val="24"/>
        </w:rPr>
      </w:pPr>
    </w:p>
    <w:p w:rsidR="000D292D" w:rsidRPr="00BA2732" w:rsidRDefault="000D292D" w:rsidP="000D292D">
      <w:pPr>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b/>
          <w:sz w:val="24"/>
          <w:szCs w:val="24"/>
        </w:rPr>
        <w:t xml:space="preserve"> </w:t>
      </w:r>
      <w:r w:rsidRPr="00BA2732">
        <w:rPr>
          <w:rFonts w:ascii="Century Gothic" w:hAnsi="Century Gothic" w:cs="Arial"/>
          <w:sz w:val="24"/>
          <w:szCs w:val="24"/>
        </w:rPr>
        <w:t>El presente Decreto entrará en vigor el día primero de enero del año 2020.</w:t>
      </w:r>
    </w:p>
    <w:p w:rsidR="000D292D" w:rsidRPr="00BA2732" w:rsidRDefault="000D292D" w:rsidP="000D292D">
      <w:pPr>
        <w:spacing w:line="360" w:lineRule="auto"/>
        <w:jc w:val="both"/>
        <w:rPr>
          <w:rFonts w:ascii="Century Gothic" w:hAnsi="Century Gothic" w:cs="Arial"/>
          <w:sz w:val="24"/>
          <w:szCs w:val="24"/>
        </w:rPr>
      </w:pPr>
    </w:p>
    <w:p w:rsidR="000D292D" w:rsidRPr="00BA2732" w:rsidRDefault="000D292D" w:rsidP="000D292D">
      <w:pPr>
        <w:spacing w:line="360" w:lineRule="auto"/>
        <w:jc w:val="both"/>
        <w:rPr>
          <w:rFonts w:ascii="Century Gothic" w:eastAsia="Calibri" w:hAnsi="Century Gothic" w:cs="Arial"/>
          <w:b/>
          <w:sz w:val="24"/>
          <w:szCs w:val="24"/>
          <w:lang w:val="es-MX" w:eastAsia="en-US"/>
        </w:rPr>
      </w:pPr>
      <w:r w:rsidRPr="00BA2732">
        <w:rPr>
          <w:rFonts w:ascii="Century Gothic" w:eastAsia="Calibri" w:hAnsi="Century Gothic" w:cs="Arial"/>
          <w:b/>
          <w:sz w:val="28"/>
          <w:szCs w:val="24"/>
          <w:lang w:val="es-MX" w:eastAsia="en-US"/>
        </w:rPr>
        <w:t>ARTÍCULO SEGUNDO.-</w:t>
      </w:r>
      <w:r w:rsidRPr="00BA2732">
        <w:rPr>
          <w:rFonts w:ascii="Century Gothic" w:eastAsia="Calibri" w:hAnsi="Century Gothic" w:cs="Arial"/>
          <w:b/>
          <w:sz w:val="24"/>
          <w:szCs w:val="24"/>
          <w:lang w:val="es-MX" w:eastAsia="en-US"/>
        </w:rPr>
        <w:t xml:space="preserve"> </w:t>
      </w:r>
      <w:r w:rsidRPr="00BA2732">
        <w:rPr>
          <w:rFonts w:ascii="Century Gothic" w:eastAsia="Calibri" w:hAnsi="Century Gothic" w:cs="Arial"/>
          <w:bCs/>
          <w:sz w:val="24"/>
          <w:szCs w:val="24"/>
          <w:lang w:val="es-MX" w:eastAsia="en-US"/>
        </w:rPr>
        <w:t xml:space="preserve">Los Municipios de la Entidad </w:t>
      </w:r>
      <w:r w:rsidRPr="00BA2732">
        <w:rPr>
          <w:rFonts w:ascii="Century Gothic" w:eastAsia="Calibri" w:hAnsi="Century Gothic" w:cs="Arial"/>
          <w:sz w:val="24"/>
          <w:szCs w:val="24"/>
          <w:lang w:val="es-MX" w:eastAsia="en-US"/>
        </w:rPr>
        <w:t>deberán actualizar, durante el año 2020, el padrón catastral y las Tablas de Valores Unitarios de Suelo y Construcción.</w:t>
      </w:r>
      <w:r w:rsidRPr="00BA2732">
        <w:rPr>
          <w:rFonts w:ascii="Century Gothic" w:eastAsia="Calibri" w:hAnsi="Century Gothic" w:cs="Arial"/>
          <w:b/>
          <w:sz w:val="24"/>
          <w:szCs w:val="24"/>
          <w:lang w:val="es-MX" w:eastAsia="en-US"/>
        </w:rPr>
        <w:t xml:space="preserve">  </w:t>
      </w:r>
    </w:p>
    <w:p w:rsidR="000D292D" w:rsidRPr="00BA2732" w:rsidRDefault="000D292D" w:rsidP="000D292D">
      <w:pPr>
        <w:spacing w:line="360" w:lineRule="auto"/>
        <w:jc w:val="both"/>
        <w:rPr>
          <w:rFonts w:ascii="Century Gothic" w:hAnsi="Century Gothic" w:cs="Arial"/>
          <w:b/>
          <w:sz w:val="24"/>
          <w:szCs w:val="24"/>
        </w:rPr>
      </w:pPr>
    </w:p>
    <w:p w:rsidR="000D292D" w:rsidRPr="00BA2732" w:rsidRDefault="000D292D" w:rsidP="000D292D">
      <w:pPr>
        <w:spacing w:line="360" w:lineRule="auto"/>
        <w:jc w:val="both"/>
        <w:rPr>
          <w:rFonts w:ascii="Century Gothic" w:hAnsi="Century Gothic" w:cs="Arial"/>
          <w:sz w:val="24"/>
          <w:szCs w:val="24"/>
        </w:rPr>
      </w:pPr>
      <w:r w:rsidRPr="00BA2732">
        <w:rPr>
          <w:rFonts w:ascii="Century Gothic" w:hAnsi="Century Gothic" w:cs="Arial"/>
          <w:bCs/>
          <w:sz w:val="24"/>
          <w:szCs w:val="24"/>
        </w:rPr>
        <w:t>La actualización a los valores unitarios, en términos porcentuales, deberá ser proporcional y acorde a las c</w:t>
      </w:r>
      <w:r w:rsidRPr="00BA2732">
        <w:rPr>
          <w:rFonts w:ascii="Century Gothic" w:hAnsi="Century Gothic" w:cs="Arial"/>
          <w:sz w:val="24"/>
          <w:szCs w:val="24"/>
        </w:rPr>
        <w:t xml:space="preserve">aracterísticas constructivas, geográficas, socioeconómicas y de valoración de la propiedad inmobiliaria existentes en cada Municipio. </w:t>
      </w:r>
    </w:p>
    <w:p w:rsidR="000D292D" w:rsidRPr="00BA2732" w:rsidRDefault="000D292D" w:rsidP="000D292D">
      <w:pPr>
        <w:spacing w:line="360" w:lineRule="auto"/>
        <w:jc w:val="both"/>
        <w:rPr>
          <w:rFonts w:ascii="Century Gothic" w:hAnsi="Century Gothic" w:cs="Arial"/>
          <w:sz w:val="24"/>
          <w:szCs w:val="24"/>
        </w:rPr>
      </w:pPr>
    </w:p>
    <w:p w:rsidR="000D292D" w:rsidRPr="00BA2732" w:rsidRDefault="000D292D" w:rsidP="000D292D">
      <w:pPr>
        <w:spacing w:line="360" w:lineRule="auto"/>
        <w:jc w:val="both"/>
        <w:rPr>
          <w:rFonts w:ascii="Century Gothic" w:hAnsi="Century Gothic" w:cs="Arial"/>
          <w:sz w:val="24"/>
          <w:szCs w:val="24"/>
        </w:rPr>
      </w:pPr>
      <w:r w:rsidRPr="00BA2732">
        <w:rPr>
          <w:rFonts w:ascii="Century Gothic" w:hAnsi="Century Gothic" w:cs="Arial"/>
          <w:b/>
          <w:bCs/>
          <w:sz w:val="28"/>
          <w:szCs w:val="24"/>
        </w:rPr>
        <w:t xml:space="preserve">ARTÍCULO TERCERO.- </w:t>
      </w:r>
      <w:r w:rsidRPr="00BA2732">
        <w:rPr>
          <w:rFonts w:ascii="Century Gothic" w:hAnsi="Century Gothic" w:cs="Arial"/>
          <w:bCs/>
          <w:sz w:val="24"/>
          <w:szCs w:val="24"/>
        </w:rPr>
        <w:t xml:space="preserve">Todos los Municipios de la Entidad </w:t>
      </w:r>
      <w:r w:rsidRPr="00BA2732">
        <w:rPr>
          <w:rFonts w:ascii="Century Gothic" w:hAnsi="Century Gothic" w:cs="Arial"/>
          <w:sz w:val="24"/>
          <w:szCs w:val="24"/>
        </w:rPr>
        <w:t xml:space="preserve">deberán informar a la Dirección de Catastro del Estado, de los resultados obtenidos del diagnóstico, realizado durante el año 2019 y, con la participación de peritos </w:t>
      </w:r>
      <w:r w:rsidRPr="00BA2732">
        <w:rPr>
          <w:rFonts w:ascii="Century Gothic" w:hAnsi="Century Gothic" w:cs="Arial"/>
          <w:sz w:val="24"/>
          <w:szCs w:val="24"/>
        </w:rPr>
        <w:lastRenderedPageBreak/>
        <w:t>valuadores autorizados, sobre el estado que guardan los valores unitarios de suelo y construcción de ese ejercicio, respecto del valor de mercado.</w:t>
      </w:r>
    </w:p>
    <w:p w:rsidR="000D292D" w:rsidRPr="0073087C" w:rsidRDefault="000D292D" w:rsidP="000D292D">
      <w:pPr>
        <w:spacing w:line="360" w:lineRule="auto"/>
        <w:jc w:val="both"/>
        <w:rPr>
          <w:rFonts w:ascii="Century Gothic" w:hAnsi="Century Gothic"/>
          <w:sz w:val="24"/>
          <w:szCs w:val="24"/>
          <w:lang w:val="es-MX" w:eastAsia="es-MX"/>
        </w:rPr>
      </w:pPr>
    </w:p>
    <w:p w:rsidR="000D292D" w:rsidRPr="006152F6" w:rsidRDefault="000D292D" w:rsidP="000D292D">
      <w:pPr>
        <w:spacing w:line="360" w:lineRule="auto"/>
        <w:ind w:right="23"/>
        <w:jc w:val="both"/>
        <w:rPr>
          <w:rFonts w:ascii="Century Gothic" w:hAnsi="Century Gothic"/>
          <w:sz w:val="24"/>
          <w:szCs w:val="24"/>
        </w:rPr>
      </w:pPr>
      <w:r w:rsidRPr="006152F6">
        <w:rPr>
          <w:rFonts w:ascii="Century Gothic" w:hAnsi="Century Gothic"/>
          <w:b/>
          <w:sz w:val="28"/>
          <w:szCs w:val="28"/>
        </w:rPr>
        <w:t>D A D O</w:t>
      </w:r>
      <w:r w:rsidRPr="006152F6">
        <w:rPr>
          <w:rFonts w:ascii="Century Gothic" w:hAnsi="Century Gothic"/>
          <w:b/>
          <w:sz w:val="22"/>
          <w:szCs w:val="22"/>
        </w:rPr>
        <w:t xml:space="preserve"> </w:t>
      </w:r>
      <w:r w:rsidRPr="006152F6">
        <w:rPr>
          <w:rFonts w:ascii="Century Gothic" w:hAnsi="Century Gothic"/>
          <w:sz w:val="24"/>
          <w:szCs w:val="24"/>
        </w:rPr>
        <w:t xml:space="preserve">en el Salón de Sesiones del Poder Legislativo, en la ciudad de Chihuahua, </w:t>
      </w:r>
      <w:proofErr w:type="spellStart"/>
      <w:r w:rsidRPr="006152F6">
        <w:rPr>
          <w:rFonts w:ascii="Century Gothic" w:hAnsi="Century Gothic"/>
          <w:sz w:val="24"/>
          <w:szCs w:val="24"/>
        </w:rPr>
        <w:t>Chih</w:t>
      </w:r>
      <w:proofErr w:type="spellEnd"/>
      <w:r w:rsidRPr="006152F6">
        <w:rPr>
          <w:rFonts w:ascii="Century Gothic" w:hAnsi="Century Gothic"/>
          <w:sz w:val="24"/>
          <w:szCs w:val="24"/>
        </w:rPr>
        <w:t xml:space="preserve">., a los </w:t>
      </w:r>
      <w:r>
        <w:rPr>
          <w:rFonts w:ascii="Century Gothic" w:hAnsi="Century Gothic"/>
          <w:sz w:val="24"/>
          <w:szCs w:val="24"/>
        </w:rPr>
        <w:t>cinco</w:t>
      </w:r>
      <w:r w:rsidRPr="006152F6">
        <w:rPr>
          <w:rFonts w:ascii="Century Gothic" w:hAnsi="Century Gothic"/>
          <w:sz w:val="24"/>
          <w:szCs w:val="24"/>
        </w:rPr>
        <w:t xml:space="preserve"> días del mes de </w:t>
      </w:r>
      <w:r>
        <w:rPr>
          <w:rFonts w:ascii="Century Gothic" w:hAnsi="Century Gothic"/>
          <w:sz w:val="24"/>
          <w:szCs w:val="24"/>
        </w:rPr>
        <w:t>diciembre</w:t>
      </w:r>
      <w:r w:rsidRPr="006152F6">
        <w:rPr>
          <w:rFonts w:ascii="Century Gothic" w:hAnsi="Century Gothic"/>
          <w:sz w:val="24"/>
          <w:szCs w:val="24"/>
        </w:rPr>
        <w:t xml:space="preserve"> del año dos mil diecinueve.</w:t>
      </w:r>
    </w:p>
    <w:p w:rsidR="000D292D" w:rsidRDefault="000D292D" w:rsidP="000D292D">
      <w:pPr>
        <w:pStyle w:val="Prrafodelista"/>
        <w:spacing w:after="0" w:line="312" w:lineRule="auto"/>
        <w:ind w:left="0"/>
        <w:jc w:val="both"/>
        <w:rPr>
          <w:rFonts w:ascii="Century Gothic" w:hAnsi="Century Gothic"/>
          <w:sz w:val="24"/>
          <w:szCs w:val="24"/>
        </w:rPr>
      </w:pPr>
    </w:p>
    <w:p w:rsidR="000D292D" w:rsidRDefault="000D292D" w:rsidP="000D292D">
      <w:pPr>
        <w:pStyle w:val="Prrafodelista"/>
        <w:spacing w:after="0" w:line="312" w:lineRule="auto"/>
        <w:ind w:left="0"/>
        <w:jc w:val="both"/>
        <w:rPr>
          <w:rFonts w:ascii="Century Gothic" w:hAnsi="Century Gothic"/>
          <w:sz w:val="24"/>
          <w:szCs w:val="24"/>
        </w:rPr>
      </w:pPr>
    </w:p>
    <w:p w:rsidR="000D292D" w:rsidRDefault="000D292D" w:rsidP="000D292D">
      <w:pPr>
        <w:pStyle w:val="Prrafodelista"/>
        <w:spacing w:after="0" w:line="312" w:lineRule="auto"/>
        <w:ind w:left="0"/>
        <w:jc w:val="both"/>
        <w:rPr>
          <w:rFonts w:ascii="Century Gothic" w:hAnsi="Century Gothic"/>
          <w:sz w:val="24"/>
          <w:szCs w:val="24"/>
        </w:rPr>
      </w:pPr>
    </w:p>
    <w:p w:rsidR="000D292D" w:rsidRDefault="000D292D" w:rsidP="000D292D">
      <w:pPr>
        <w:pStyle w:val="Prrafodelista"/>
        <w:spacing w:after="0" w:line="312" w:lineRule="auto"/>
        <w:ind w:left="0"/>
        <w:jc w:val="both"/>
        <w:rPr>
          <w:rFonts w:ascii="Century Gothic" w:hAnsi="Century Gothic"/>
          <w:sz w:val="24"/>
          <w:szCs w:val="24"/>
        </w:rPr>
      </w:pPr>
    </w:p>
    <w:p w:rsidR="000D292D" w:rsidRPr="007B4CCE" w:rsidRDefault="000D292D" w:rsidP="000D292D">
      <w:pPr>
        <w:pStyle w:val="Ttulo3"/>
        <w:ind w:left="284" w:right="284"/>
        <w:rPr>
          <w:rFonts w:ascii="Century Gothic" w:hAnsi="Century Gothic"/>
          <w:sz w:val="26"/>
          <w:szCs w:val="26"/>
        </w:rPr>
      </w:pPr>
      <w:r w:rsidRPr="007B4CCE">
        <w:rPr>
          <w:rFonts w:ascii="Century Gothic" w:hAnsi="Century Gothic"/>
          <w:sz w:val="26"/>
          <w:szCs w:val="26"/>
        </w:rPr>
        <w:t>PRESIDENTE</w:t>
      </w:r>
    </w:p>
    <w:p w:rsidR="000D292D" w:rsidRDefault="000D292D" w:rsidP="000D292D">
      <w:pPr>
        <w:rPr>
          <w:rFonts w:ascii="Century Gothic" w:hAnsi="Century Gothic"/>
          <w:b/>
          <w:sz w:val="22"/>
          <w:szCs w:val="22"/>
        </w:rPr>
      </w:pPr>
    </w:p>
    <w:p w:rsidR="000D292D" w:rsidRPr="003B5472" w:rsidRDefault="000D292D" w:rsidP="000D292D">
      <w:pPr>
        <w:rPr>
          <w:rFonts w:ascii="Century Gothic" w:hAnsi="Century Gothic"/>
          <w:b/>
          <w:sz w:val="22"/>
          <w:szCs w:val="22"/>
        </w:rPr>
      </w:pPr>
    </w:p>
    <w:p w:rsidR="000D292D" w:rsidRPr="003B5472" w:rsidRDefault="000D292D" w:rsidP="000D292D">
      <w:pPr>
        <w:jc w:val="center"/>
        <w:rPr>
          <w:rFonts w:ascii="Century Gothic" w:hAnsi="Century Gothic"/>
          <w:b/>
          <w:sz w:val="22"/>
          <w:szCs w:val="22"/>
        </w:rPr>
      </w:pPr>
    </w:p>
    <w:p w:rsidR="000D292D" w:rsidRPr="003B5472" w:rsidRDefault="000D292D" w:rsidP="000D292D">
      <w:pPr>
        <w:rPr>
          <w:rFonts w:ascii="Century Gothic" w:hAnsi="Century Gothic"/>
          <w:b/>
          <w:sz w:val="22"/>
          <w:szCs w:val="22"/>
        </w:rPr>
      </w:pPr>
    </w:p>
    <w:p w:rsidR="000D292D" w:rsidRPr="003B5472" w:rsidRDefault="000D292D" w:rsidP="000D292D">
      <w:pPr>
        <w:rPr>
          <w:rFonts w:ascii="Century Gothic" w:hAnsi="Century Gothic"/>
          <w:b/>
          <w:sz w:val="22"/>
          <w:szCs w:val="22"/>
        </w:rPr>
      </w:pPr>
    </w:p>
    <w:p w:rsidR="000D292D" w:rsidRPr="003B5472" w:rsidRDefault="000D292D" w:rsidP="000D292D">
      <w:pPr>
        <w:rPr>
          <w:rFonts w:ascii="Century Gothic" w:hAnsi="Century Gothic"/>
          <w:b/>
          <w:sz w:val="24"/>
          <w:szCs w:val="24"/>
        </w:rPr>
      </w:pPr>
    </w:p>
    <w:p w:rsidR="000D292D" w:rsidRPr="007B4CCE" w:rsidRDefault="000D292D" w:rsidP="000D292D">
      <w:pPr>
        <w:jc w:val="center"/>
        <w:rPr>
          <w:rFonts w:ascii="Century Gothic" w:hAnsi="Century Gothic"/>
          <w:b/>
          <w:sz w:val="26"/>
          <w:szCs w:val="26"/>
        </w:rPr>
      </w:pPr>
      <w:r w:rsidRPr="007B4CCE">
        <w:rPr>
          <w:rFonts w:ascii="Century Gothic" w:hAnsi="Century Gothic"/>
          <w:b/>
          <w:sz w:val="26"/>
          <w:szCs w:val="26"/>
        </w:rPr>
        <w:t xml:space="preserve">DIP. </w:t>
      </w:r>
      <w:r>
        <w:rPr>
          <w:rFonts w:ascii="Century Gothic" w:hAnsi="Century Gothic"/>
          <w:b/>
          <w:sz w:val="26"/>
          <w:szCs w:val="26"/>
        </w:rPr>
        <w:t>RENÉ FRÍAS BENCOMO</w:t>
      </w:r>
    </w:p>
    <w:p w:rsidR="000D292D" w:rsidRDefault="000D292D" w:rsidP="000D292D">
      <w:pPr>
        <w:rPr>
          <w:rFonts w:ascii="Century Gothic" w:hAnsi="Century Gothic"/>
          <w:b/>
          <w:sz w:val="24"/>
          <w:szCs w:val="24"/>
        </w:rPr>
      </w:pPr>
    </w:p>
    <w:p w:rsidR="000D292D" w:rsidRPr="003B5472" w:rsidRDefault="000D292D" w:rsidP="000D292D">
      <w:pPr>
        <w:rPr>
          <w:rFonts w:ascii="Century Gothic" w:hAnsi="Century Gothic"/>
          <w:b/>
          <w:sz w:val="24"/>
          <w:szCs w:val="24"/>
        </w:rPr>
      </w:pPr>
    </w:p>
    <w:p w:rsidR="000D292D" w:rsidRPr="003B5472" w:rsidRDefault="000D292D" w:rsidP="000D292D">
      <w:pPr>
        <w:rPr>
          <w:rFonts w:ascii="Century Gothic" w:hAnsi="Century Gothic"/>
          <w:b/>
          <w:sz w:val="24"/>
          <w:szCs w:val="24"/>
        </w:rPr>
      </w:pPr>
    </w:p>
    <w:p w:rsidR="000D292D" w:rsidRDefault="000D292D" w:rsidP="000D292D">
      <w:pPr>
        <w:rPr>
          <w:rFonts w:ascii="Century Gothic" w:hAnsi="Century Gothic"/>
          <w:b/>
          <w:sz w:val="24"/>
          <w:szCs w:val="24"/>
        </w:rPr>
      </w:pPr>
    </w:p>
    <w:p w:rsidR="000D292D" w:rsidRPr="003B5472" w:rsidRDefault="000D292D" w:rsidP="000D292D">
      <w:pPr>
        <w:rPr>
          <w:rFonts w:ascii="Century Gothic" w:hAnsi="Century Gothic"/>
          <w:b/>
          <w:sz w:val="24"/>
          <w:szCs w:val="24"/>
        </w:rPr>
      </w:pPr>
    </w:p>
    <w:p w:rsidR="000D292D" w:rsidRPr="003B5472" w:rsidRDefault="000D292D" w:rsidP="000D292D">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0D292D" w:rsidRPr="002A09A0" w:rsidTr="00261BA2">
        <w:trPr>
          <w:jc w:val="center"/>
        </w:trPr>
        <w:tc>
          <w:tcPr>
            <w:tcW w:w="4610" w:type="dxa"/>
          </w:tcPr>
          <w:p w:rsidR="000D292D" w:rsidRPr="007B4CCE" w:rsidRDefault="000D292D"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A</w:t>
            </w:r>
          </w:p>
          <w:p w:rsidR="000D292D" w:rsidRPr="000E6FC5" w:rsidRDefault="000D292D" w:rsidP="00261BA2">
            <w:pPr>
              <w:pStyle w:val="Textoindependiente"/>
              <w:spacing w:before="60"/>
              <w:ind w:right="40"/>
              <w:jc w:val="both"/>
              <w:rPr>
                <w:rFonts w:ascii="Century Gothic" w:hAnsi="Century Gothic" w:cs="Arial"/>
                <w:iCs/>
                <w:sz w:val="2"/>
                <w:szCs w:val="2"/>
              </w:rPr>
            </w:pPr>
          </w:p>
          <w:p w:rsidR="000D292D" w:rsidRPr="000E6FC5" w:rsidRDefault="000D292D" w:rsidP="00261BA2">
            <w:pPr>
              <w:pStyle w:val="Textoindependiente"/>
              <w:spacing w:before="60"/>
              <w:ind w:right="40"/>
              <w:jc w:val="both"/>
              <w:rPr>
                <w:rFonts w:ascii="Century Gothic" w:hAnsi="Century Gothic" w:cs="Arial"/>
                <w:iCs/>
                <w:sz w:val="2"/>
                <w:szCs w:val="2"/>
              </w:rPr>
            </w:pPr>
          </w:p>
          <w:p w:rsidR="000D292D" w:rsidRDefault="000D292D" w:rsidP="00261BA2">
            <w:pPr>
              <w:pStyle w:val="Textoindependiente"/>
              <w:spacing w:before="60"/>
              <w:ind w:right="40"/>
              <w:jc w:val="both"/>
              <w:rPr>
                <w:rFonts w:ascii="Century Gothic" w:hAnsi="Century Gothic" w:cs="Arial"/>
                <w:iCs/>
                <w:sz w:val="2"/>
                <w:szCs w:val="2"/>
              </w:rPr>
            </w:pPr>
          </w:p>
          <w:p w:rsidR="000D292D" w:rsidRDefault="000D292D" w:rsidP="00261BA2">
            <w:pPr>
              <w:pStyle w:val="Textoindependiente"/>
              <w:spacing w:before="60"/>
              <w:ind w:right="40"/>
              <w:jc w:val="both"/>
              <w:rPr>
                <w:rFonts w:ascii="Century Gothic" w:hAnsi="Century Gothic" w:cs="Arial"/>
                <w:iCs/>
                <w:sz w:val="2"/>
                <w:szCs w:val="2"/>
              </w:rPr>
            </w:pPr>
          </w:p>
          <w:p w:rsidR="000D292D" w:rsidRDefault="000D292D" w:rsidP="00261BA2">
            <w:pPr>
              <w:pStyle w:val="Textoindependiente"/>
              <w:spacing w:before="60"/>
              <w:ind w:right="40"/>
              <w:jc w:val="both"/>
              <w:rPr>
                <w:rFonts w:ascii="Century Gothic" w:hAnsi="Century Gothic" w:cs="Arial"/>
                <w:iCs/>
                <w:sz w:val="2"/>
                <w:szCs w:val="2"/>
              </w:rPr>
            </w:pPr>
          </w:p>
          <w:p w:rsidR="000D292D" w:rsidRDefault="000D292D" w:rsidP="00261BA2">
            <w:pPr>
              <w:pStyle w:val="Textoindependiente"/>
              <w:spacing w:before="60"/>
              <w:ind w:right="40"/>
              <w:jc w:val="both"/>
              <w:rPr>
                <w:rFonts w:ascii="Century Gothic" w:hAnsi="Century Gothic" w:cs="Arial"/>
                <w:iCs/>
                <w:sz w:val="2"/>
                <w:szCs w:val="2"/>
              </w:rPr>
            </w:pPr>
          </w:p>
          <w:p w:rsidR="000D292D" w:rsidRDefault="000D292D" w:rsidP="00261BA2">
            <w:pPr>
              <w:pStyle w:val="Textoindependiente"/>
              <w:spacing w:before="60"/>
              <w:ind w:right="40"/>
              <w:jc w:val="both"/>
              <w:rPr>
                <w:rFonts w:ascii="Century Gothic" w:hAnsi="Century Gothic" w:cs="Arial"/>
                <w:iCs/>
                <w:sz w:val="2"/>
                <w:szCs w:val="2"/>
              </w:rPr>
            </w:pPr>
          </w:p>
          <w:p w:rsidR="000D292D" w:rsidRDefault="000D292D" w:rsidP="00261BA2">
            <w:pPr>
              <w:pStyle w:val="Textoindependiente"/>
              <w:spacing w:before="60"/>
              <w:ind w:right="40"/>
              <w:jc w:val="both"/>
              <w:rPr>
                <w:rFonts w:ascii="Century Gothic" w:hAnsi="Century Gothic" w:cs="Arial"/>
                <w:iCs/>
                <w:sz w:val="2"/>
                <w:szCs w:val="2"/>
              </w:rPr>
            </w:pPr>
          </w:p>
          <w:p w:rsidR="000D292D" w:rsidRDefault="000D292D" w:rsidP="00261BA2">
            <w:pPr>
              <w:pStyle w:val="Textoindependiente"/>
              <w:spacing w:before="60"/>
              <w:ind w:right="40"/>
              <w:jc w:val="both"/>
              <w:rPr>
                <w:rFonts w:ascii="Century Gothic" w:hAnsi="Century Gothic" w:cs="Arial"/>
                <w:iCs/>
                <w:sz w:val="2"/>
                <w:szCs w:val="2"/>
              </w:rPr>
            </w:pPr>
          </w:p>
          <w:p w:rsidR="000D292D" w:rsidRDefault="000D292D" w:rsidP="00261BA2">
            <w:pPr>
              <w:pStyle w:val="Textoindependiente"/>
              <w:spacing w:before="60"/>
              <w:ind w:right="40"/>
              <w:jc w:val="both"/>
              <w:rPr>
                <w:rFonts w:ascii="Century Gothic" w:hAnsi="Century Gothic" w:cs="Arial"/>
                <w:iCs/>
                <w:sz w:val="2"/>
                <w:szCs w:val="2"/>
              </w:rPr>
            </w:pPr>
          </w:p>
          <w:p w:rsidR="000D292D" w:rsidRDefault="000D292D" w:rsidP="00261BA2">
            <w:pPr>
              <w:pStyle w:val="Textoindependiente"/>
              <w:spacing w:before="60"/>
              <w:ind w:right="40"/>
              <w:jc w:val="center"/>
              <w:rPr>
                <w:rFonts w:ascii="Century Gothic" w:hAnsi="Century Gothic" w:cs="Arial"/>
                <w:b/>
                <w:iCs/>
                <w:sz w:val="26"/>
                <w:szCs w:val="26"/>
              </w:rPr>
            </w:pPr>
          </w:p>
          <w:p w:rsidR="000D292D" w:rsidRPr="007B4CCE" w:rsidRDefault="000D292D" w:rsidP="00261BA2">
            <w:pPr>
              <w:pStyle w:val="Textoindependiente"/>
              <w:spacing w:before="60"/>
              <w:ind w:right="40"/>
              <w:jc w:val="center"/>
              <w:rPr>
                <w:rFonts w:ascii="Century Gothic" w:hAnsi="Century Gothic"/>
                <w:b/>
                <w:sz w:val="26"/>
                <w:szCs w:val="26"/>
              </w:rPr>
            </w:pPr>
            <w:r w:rsidRPr="007B4CCE">
              <w:rPr>
                <w:rFonts w:ascii="Century Gothic" w:hAnsi="Century Gothic" w:cs="Arial"/>
                <w:b/>
                <w:iCs/>
                <w:sz w:val="26"/>
                <w:szCs w:val="26"/>
              </w:rPr>
              <w:t>DIP.</w:t>
            </w:r>
            <w:r w:rsidRPr="007B4CCE">
              <w:rPr>
                <w:rFonts w:ascii="Century Gothic" w:hAnsi="Century Gothic"/>
                <w:b/>
                <w:sz w:val="26"/>
                <w:szCs w:val="26"/>
              </w:rPr>
              <w:t xml:space="preserve"> </w:t>
            </w:r>
            <w:r>
              <w:rPr>
                <w:rFonts w:ascii="Century Gothic" w:hAnsi="Century Gothic"/>
                <w:b/>
                <w:sz w:val="26"/>
                <w:szCs w:val="26"/>
              </w:rPr>
              <w:t>CARMEN ROCÍO GONZÁLEZ ALONSO</w:t>
            </w:r>
          </w:p>
        </w:tc>
        <w:tc>
          <w:tcPr>
            <w:tcW w:w="4957" w:type="dxa"/>
          </w:tcPr>
          <w:p w:rsidR="000D292D" w:rsidRPr="007B4CCE" w:rsidRDefault="000D292D"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O</w:t>
            </w:r>
          </w:p>
          <w:p w:rsidR="000D292D" w:rsidRPr="000E6FC5" w:rsidRDefault="000D292D" w:rsidP="00261BA2">
            <w:pPr>
              <w:pStyle w:val="Textoindependiente"/>
              <w:spacing w:before="60"/>
              <w:ind w:right="40"/>
              <w:jc w:val="both"/>
              <w:rPr>
                <w:rFonts w:ascii="Century Gothic" w:hAnsi="Century Gothic" w:cs="Arial"/>
                <w:iCs/>
                <w:sz w:val="2"/>
                <w:szCs w:val="2"/>
              </w:rPr>
            </w:pPr>
          </w:p>
          <w:p w:rsidR="000D292D" w:rsidRPr="000E6FC5" w:rsidRDefault="000D292D" w:rsidP="00261BA2">
            <w:pPr>
              <w:pStyle w:val="Textoindependiente"/>
              <w:spacing w:before="60"/>
              <w:ind w:right="40"/>
              <w:jc w:val="both"/>
              <w:rPr>
                <w:rFonts w:ascii="Century Gothic" w:hAnsi="Century Gothic" w:cs="Arial"/>
                <w:iCs/>
                <w:sz w:val="2"/>
                <w:szCs w:val="2"/>
              </w:rPr>
            </w:pPr>
          </w:p>
          <w:p w:rsidR="000D292D" w:rsidRPr="000E6FC5" w:rsidRDefault="000D292D" w:rsidP="00261BA2">
            <w:pPr>
              <w:pStyle w:val="Textoindependiente"/>
              <w:spacing w:before="60"/>
              <w:ind w:right="40"/>
              <w:jc w:val="both"/>
              <w:rPr>
                <w:rFonts w:ascii="Century Gothic" w:hAnsi="Century Gothic" w:cs="Arial"/>
                <w:iCs/>
                <w:sz w:val="2"/>
                <w:szCs w:val="2"/>
              </w:rPr>
            </w:pPr>
          </w:p>
          <w:p w:rsidR="000D292D" w:rsidRDefault="000D292D" w:rsidP="00261BA2">
            <w:pPr>
              <w:pStyle w:val="Textoindependiente"/>
              <w:spacing w:before="60"/>
              <w:ind w:right="40"/>
              <w:jc w:val="both"/>
              <w:rPr>
                <w:rFonts w:ascii="Century Gothic" w:hAnsi="Century Gothic" w:cs="Arial"/>
                <w:iCs/>
                <w:sz w:val="2"/>
                <w:szCs w:val="2"/>
              </w:rPr>
            </w:pPr>
          </w:p>
          <w:p w:rsidR="000D292D" w:rsidRDefault="000D292D" w:rsidP="00261BA2">
            <w:pPr>
              <w:pStyle w:val="Textoindependiente"/>
              <w:spacing w:before="60"/>
              <w:ind w:right="40"/>
              <w:jc w:val="both"/>
              <w:rPr>
                <w:rFonts w:ascii="Century Gothic" w:hAnsi="Century Gothic" w:cs="Arial"/>
                <w:iCs/>
                <w:sz w:val="2"/>
                <w:szCs w:val="2"/>
              </w:rPr>
            </w:pPr>
          </w:p>
          <w:p w:rsidR="000D292D" w:rsidRPr="000E6FC5" w:rsidRDefault="000D292D" w:rsidP="00261BA2">
            <w:pPr>
              <w:pStyle w:val="Textoindependiente"/>
              <w:spacing w:before="60"/>
              <w:ind w:right="40"/>
              <w:jc w:val="both"/>
              <w:rPr>
                <w:rFonts w:ascii="Century Gothic" w:hAnsi="Century Gothic" w:cs="Arial"/>
                <w:iCs/>
                <w:sz w:val="2"/>
                <w:szCs w:val="2"/>
              </w:rPr>
            </w:pPr>
          </w:p>
          <w:p w:rsidR="000D292D" w:rsidRPr="000E6FC5" w:rsidRDefault="000D292D" w:rsidP="00261BA2">
            <w:pPr>
              <w:pStyle w:val="Textoindependiente"/>
              <w:spacing w:before="60"/>
              <w:ind w:right="40"/>
              <w:jc w:val="both"/>
              <w:rPr>
                <w:rFonts w:ascii="Century Gothic" w:hAnsi="Century Gothic" w:cs="Arial"/>
                <w:iCs/>
                <w:sz w:val="2"/>
                <w:szCs w:val="2"/>
              </w:rPr>
            </w:pPr>
          </w:p>
          <w:p w:rsidR="000D292D" w:rsidRPr="000E6FC5" w:rsidRDefault="000D292D" w:rsidP="00261BA2">
            <w:pPr>
              <w:pStyle w:val="Textoindependiente"/>
              <w:spacing w:before="60"/>
              <w:ind w:right="40"/>
              <w:jc w:val="both"/>
              <w:rPr>
                <w:rFonts w:ascii="Century Gothic" w:hAnsi="Century Gothic" w:cs="Arial"/>
                <w:iCs/>
                <w:sz w:val="2"/>
                <w:szCs w:val="2"/>
              </w:rPr>
            </w:pPr>
          </w:p>
          <w:p w:rsidR="000D292D" w:rsidRDefault="000D292D" w:rsidP="00261BA2">
            <w:pPr>
              <w:pStyle w:val="Textoindependiente"/>
              <w:spacing w:before="60"/>
              <w:ind w:right="40"/>
              <w:jc w:val="both"/>
              <w:rPr>
                <w:rFonts w:ascii="Century Gothic" w:hAnsi="Century Gothic" w:cs="Arial"/>
                <w:iCs/>
                <w:sz w:val="2"/>
                <w:szCs w:val="2"/>
              </w:rPr>
            </w:pPr>
          </w:p>
          <w:p w:rsidR="000D292D" w:rsidRDefault="000D292D" w:rsidP="00261BA2">
            <w:pPr>
              <w:pStyle w:val="Textoindependiente"/>
              <w:spacing w:before="60"/>
              <w:ind w:right="40"/>
              <w:jc w:val="both"/>
              <w:rPr>
                <w:rFonts w:ascii="Century Gothic" w:hAnsi="Century Gothic" w:cs="Arial"/>
                <w:iCs/>
                <w:sz w:val="2"/>
                <w:szCs w:val="2"/>
              </w:rPr>
            </w:pPr>
          </w:p>
          <w:p w:rsidR="000D292D" w:rsidRDefault="000D292D" w:rsidP="00261BA2">
            <w:pPr>
              <w:pStyle w:val="Textoindependiente"/>
              <w:spacing w:before="60"/>
              <w:ind w:right="40"/>
              <w:jc w:val="both"/>
              <w:rPr>
                <w:rFonts w:ascii="Century Gothic" w:hAnsi="Century Gothic" w:cs="Arial"/>
                <w:iCs/>
                <w:sz w:val="2"/>
                <w:szCs w:val="2"/>
              </w:rPr>
            </w:pPr>
          </w:p>
          <w:p w:rsidR="000D292D" w:rsidRDefault="000D292D" w:rsidP="00261BA2">
            <w:pPr>
              <w:pStyle w:val="Textoindependiente"/>
              <w:spacing w:before="60"/>
              <w:ind w:right="40"/>
              <w:jc w:val="both"/>
              <w:rPr>
                <w:rFonts w:ascii="Century Gothic" w:hAnsi="Century Gothic" w:cs="Arial"/>
                <w:iCs/>
                <w:sz w:val="2"/>
                <w:szCs w:val="2"/>
              </w:rPr>
            </w:pPr>
          </w:p>
          <w:p w:rsidR="000D292D" w:rsidRPr="000E6FC5" w:rsidRDefault="000D292D" w:rsidP="00261BA2">
            <w:pPr>
              <w:pStyle w:val="Textoindependiente"/>
              <w:spacing w:before="60"/>
              <w:ind w:right="40"/>
              <w:jc w:val="both"/>
              <w:rPr>
                <w:rFonts w:ascii="Century Gothic" w:hAnsi="Century Gothic" w:cs="Arial"/>
                <w:iCs/>
                <w:sz w:val="2"/>
                <w:szCs w:val="2"/>
              </w:rPr>
            </w:pPr>
          </w:p>
          <w:p w:rsidR="000D292D" w:rsidRPr="007B4CCE" w:rsidRDefault="000D292D" w:rsidP="00261BA2">
            <w:pPr>
              <w:jc w:val="center"/>
              <w:rPr>
                <w:rFonts w:ascii="Century Gothic" w:hAnsi="Century Gothic"/>
                <w:b/>
                <w:sz w:val="26"/>
                <w:szCs w:val="26"/>
              </w:rPr>
            </w:pPr>
            <w:r w:rsidRPr="007B4CCE">
              <w:rPr>
                <w:rFonts w:ascii="Century Gothic" w:hAnsi="Century Gothic" w:cs="Arial"/>
                <w:b/>
                <w:iCs/>
                <w:sz w:val="26"/>
                <w:szCs w:val="26"/>
              </w:rPr>
              <w:t xml:space="preserve">DIP. </w:t>
            </w:r>
            <w:r>
              <w:rPr>
                <w:rFonts w:ascii="Century Gothic" w:hAnsi="Century Gothic" w:cs="Arial"/>
                <w:b/>
                <w:iCs/>
                <w:sz w:val="26"/>
                <w:szCs w:val="26"/>
              </w:rPr>
              <w:t>LORENZO ARTURO PARGA AMADO</w:t>
            </w:r>
          </w:p>
        </w:tc>
      </w:tr>
    </w:tbl>
    <w:p w:rsidR="00E91F82" w:rsidRPr="000D292D" w:rsidRDefault="00E91F82" w:rsidP="000D292D"/>
    <w:sectPr w:rsidR="00E91F82" w:rsidRPr="000D292D">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03E" w:rsidRDefault="00C1303E">
      <w:r>
        <w:separator/>
      </w:r>
    </w:p>
  </w:endnote>
  <w:endnote w:type="continuationSeparator" w:id="0">
    <w:p w:rsidR="00C1303E" w:rsidRDefault="00C1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0D292D"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F2065" w:rsidRDefault="00C1303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0D292D"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E3981">
      <w:rPr>
        <w:rStyle w:val="Nmerodepgina"/>
        <w:noProof/>
      </w:rPr>
      <w:t>1</w:t>
    </w:r>
    <w:r>
      <w:rPr>
        <w:rStyle w:val="Nmerodepgina"/>
      </w:rPr>
      <w:fldChar w:fldCharType="end"/>
    </w:r>
  </w:p>
  <w:p w:rsidR="008F2065" w:rsidRDefault="00C1303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981" w:rsidRDefault="002E39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03E" w:rsidRDefault="00C1303E">
      <w:r>
        <w:separator/>
      </w:r>
    </w:p>
  </w:footnote>
  <w:footnote w:type="continuationSeparator" w:id="0">
    <w:p w:rsidR="00C1303E" w:rsidRDefault="00C13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981" w:rsidRDefault="002E398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Pr="00DB27A4" w:rsidRDefault="000D292D" w:rsidP="00DB27A4">
    <w:pPr>
      <w:pStyle w:val="Encabezado"/>
      <w:jc w:val="right"/>
      <w:rPr>
        <w:rFonts w:ascii="Century Gothic" w:hAnsi="Century Gothic"/>
        <w:b/>
        <w:sz w:val="24"/>
        <w:szCs w:val="24"/>
        <w:lang w:val="es-MX"/>
      </w:rPr>
    </w:pPr>
    <w:r w:rsidRPr="00DB27A4">
      <w:rPr>
        <w:rFonts w:ascii="Century Gothic" w:hAnsi="Century Gothic"/>
        <w:b/>
        <w:sz w:val="24"/>
        <w:szCs w:val="24"/>
        <w:lang w:val="es-MX"/>
      </w:rPr>
      <w:t>DECRETO No.</w:t>
    </w:r>
  </w:p>
  <w:p w:rsidR="008F2065" w:rsidRPr="000B0BCD" w:rsidRDefault="000D292D" w:rsidP="00052D6F">
    <w:pPr>
      <w:tabs>
        <w:tab w:val="left" w:pos="8931"/>
      </w:tabs>
      <w:ind w:right="23"/>
      <w:jc w:val="right"/>
      <w:rPr>
        <w:rFonts w:ascii="Century Gothic" w:hAnsi="Century Gothic"/>
        <w:b/>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w:t>
    </w:r>
    <w:r w:rsidRPr="000B0BCD">
      <w:rPr>
        <w:rFonts w:ascii="Century Gothic" w:hAnsi="Century Gothic"/>
        <w:b/>
        <w:sz w:val="24"/>
        <w:szCs w:val="24"/>
        <w:lang w:val="en-US"/>
      </w:rPr>
      <w:t>/</w:t>
    </w:r>
    <w:r>
      <w:rPr>
        <w:rFonts w:ascii="Century Gothic" w:hAnsi="Century Gothic"/>
        <w:b/>
        <w:sz w:val="24"/>
        <w:szCs w:val="24"/>
        <w:lang w:val="en-US"/>
      </w:rPr>
      <w:t>APTVV</w:t>
    </w:r>
    <w:r w:rsidRPr="000B0BCD">
      <w:rPr>
        <w:rFonts w:ascii="Century Gothic" w:hAnsi="Century Gothic"/>
        <w:b/>
        <w:sz w:val="24"/>
        <w:szCs w:val="24"/>
        <w:lang w:val="en-US"/>
      </w:rPr>
      <w:t>/0</w:t>
    </w:r>
    <w:r w:rsidR="002E3981">
      <w:rPr>
        <w:rFonts w:ascii="Century Gothic" w:hAnsi="Century Gothic"/>
        <w:b/>
        <w:noProof/>
        <w:sz w:val="24"/>
        <w:szCs w:val="24"/>
        <w:lang w:val="en-US"/>
      </w:rPr>
      <w:t>470</w:t>
    </w:r>
    <w:bookmarkStart w:id="0" w:name="_GoBack"/>
    <w:bookmarkEnd w:id="0"/>
    <w:r>
      <w:rPr>
        <w:rFonts w:ascii="Century Gothic" w:hAnsi="Century Gothic"/>
        <w:b/>
        <w:sz w:val="24"/>
        <w:szCs w:val="24"/>
        <w:lang w:val="en-US"/>
      </w:rPr>
      <w:t>/</w:t>
    </w:r>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 P.O.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981" w:rsidRDefault="002E398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2"/>
    <w:rsid w:val="000874F5"/>
    <w:rsid w:val="00090B4B"/>
    <w:rsid w:val="000C79A5"/>
    <w:rsid w:val="000D292D"/>
    <w:rsid w:val="00123FE5"/>
    <w:rsid w:val="00293B5C"/>
    <w:rsid w:val="002E3981"/>
    <w:rsid w:val="0030112F"/>
    <w:rsid w:val="00511D16"/>
    <w:rsid w:val="005150A4"/>
    <w:rsid w:val="00546B76"/>
    <w:rsid w:val="005E7795"/>
    <w:rsid w:val="0065051D"/>
    <w:rsid w:val="00786B7F"/>
    <w:rsid w:val="0082214D"/>
    <w:rsid w:val="009B54EB"/>
    <w:rsid w:val="00A40D04"/>
    <w:rsid w:val="00A42E95"/>
    <w:rsid w:val="00AD2A32"/>
    <w:rsid w:val="00B52815"/>
    <w:rsid w:val="00B82708"/>
    <w:rsid w:val="00BE591D"/>
    <w:rsid w:val="00C11F04"/>
    <w:rsid w:val="00C1303E"/>
    <w:rsid w:val="00C27513"/>
    <w:rsid w:val="00CD0BFE"/>
    <w:rsid w:val="00D720D4"/>
    <w:rsid w:val="00DB3E28"/>
    <w:rsid w:val="00DC6E03"/>
    <w:rsid w:val="00E91F82"/>
    <w:rsid w:val="00F53E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C7993-43BC-4D0B-83D2-88D6C2C7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32"/>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AD2A32"/>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D2A32"/>
    <w:rPr>
      <w:rFonts w:ascii="Arial" w:eastAsia="Times New Roman" w:hAnsi="Arial" w:cs="Times New Roman"/>
      <w:b/>
      <w:sz w:val="24"/>
      <w:szCs w:val="20"/>
      <w:lang w:val="es-ES" w:eastAsia="es-ES"/>
    </w:rPr>
  </w:style>
  <w:style w:type="paragraph" w:styleId="Textoindependiente3">
    <w:name w:val="Body Text 3"/>
    <w:basedOn w:val="Normal"/>
    <w:link w:val="Textoindependiente3Car"/>
    <w:rsid w:val="00AD2A32"/>
    <w:pPr>
      <w:ind w:right="284"/>
      <w:jc w:val="both"/>
    </w:pPr>
    <w:rPr>
      <w:rFonts w:ascii="Arial" w:hAnsi="Arial"/>
      <w:b/>
      <w:sz w:val="24"/>
    </w:rPr>
  </w:style>
  <w:style w:type="character" w:customStyle="1" w:styleId="Textoindependiente3Car">
    <w:name w:val="Texto independiente 3 Car"/>
    <w:basedOn w:val="Fuentedeprrafopredeter"/>
    <w:link w:val="Textoindependiente3"/>
    <w:rsid w:val="00AD2A32"/>
    <w:rPr>
      <w:rFonts w:ascii="Arial" w:eastAsia="Times New Roman" w:hAnsi="Arial" w:cs="Times New Roman"/>
      <w:b/>
      <w:sz w:val="24"/>
      <w:szCs w:val="20"/>
      <w:lang w:val="es-ES" w:eastAsia="es-ES"/>
    </w:rPr>
  </w:style>
  <w:style w:type="paragraph" w:styleId="Textoindependiente">
    <w:name w:val="Body Text"/>
    <w:basedOn w:val="Normal"/>
    <w:link w:val="TextoindependienteCar"/>
    <w:rsid w:val="00AD2A32"/>
    <w:pPr>
      <w:spacing w:after="120"/>
    </w:pPr>
  </w:style>
  <w:style w:type="character" w:customStyle="1" w:styleId="TextoindependienteCar">
    <w:name w:val="Texto independiente Car"/>
    <w:basedOn w:val="Fuentedeprrafopredeter"/>
    <w:link w:val="Textoindependiente"/>
    <w:rsid w:val="00AD2A32"/>
    <w:rPr>
      <w:rFonts w:ascii="Times New Roman" w:eastAsia="Times New Roman" w:hAnsi="Times New Roman" w:cs="Times New Roman"/>
      <w:sz w:val="20"/>
      <w:szCs w:val="20"/>
      <w:lang w:val="es-ES" w:eastAsia="es-ES"/>
    </w:rPr>
  </w:style>
  <w:style w:type="paragraph" w:styleId="Encabezado">
    <w:name w:val="header"/>
    <w:basedOn w:val="Normal"/>
    <w:link w:val="EncabezadoCar"/>
    <w:rsid w:val="00AD2A32"/>
    <w:pPr>
      <w:tabs>
        <w:tab w:val="center" w:pos="4252"/>
        <w:tab w:val="right" w:pos="8504"/>
      </w:tabs>
    </w:pPr>
  </w:style>
  <w:style w:type="character" w:customStyle="1" w:styleId="EncabezadoCar">
    <w:name w:val="Encabezado Car"/>
    <w:basedOn w:val="Fuentedeprrafopredeter"/>
    <w:link w:val="Encabezado"/>
    <w:rsid w:val="00AD2A32"/>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D2A32"/>
    <w:pPr>
      <w:tabs>
        <w:tab w:val="center" w:pos="4252"/>
        <w:tab w:val="right" w:pos="8504"/>
      </w:tabs>
    </w:pPr>
  </w:style>
  <w:style w:type="character" w:customStyle="1" w:styleId="PiedepginaCar">
    <w:name w:val="Pie de página Car"/>
    <w:basedOn w:val="Fuentedeprrafopredeter"/>
    <w:link w:val="Piedepgina"/>
    <w:rsid w:val="00AD2A32"/>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D2A32"/>
  </w:style>
  <w:style w:type="paragraph" w:styleId="Prrafodelista">
    <w:name w:val="List Paragraph"/>
    <w:basedOn w:val="Normal"/>
    <w:uiPriority w:val="34"/>
    <w:qFormat/>
    <w:rsid w:val="00AD2A32"/>
    <w:pPr>
      <w:spacing w:after="200" w:line="276" w:lineRule="auto"/>
      <w:ind w:left="720"/>
      <w:contextualSpacing/>
    </w:pPr>
    <w:rPr>
      <w:rFonts w:ascii="Calibri" w:eastAsia="Calibri" w:hAnsi="Calibri"/>
      <w:sz w:val="22"/>
      <w:szCs w:val="22"/>
      <w:lang w:val="es-MX" w:eastAsia="en-US"/>
    </w:rPr>
  </w:style>
  <w:style w:type="paragraph" w:styleId="Sinespaciado">
    <w:name w:val="No Spacing"/>
    <w:link w:val="SinespaciadoCar"/>
    <w:uiPriority w:val="1"/>
    <w:qFormat/>
    <w:rsid w:val="000C79A5"/>
    <w:pPr>
      <w:spacing w:after="0" w:line="240" w:lineRule="auto"/>
    </w:pPr>
    <w:rPr>
      <w:rFonts w:ascii="Calibri" w:eastAsia="Calibri" w:hAnsi="Calibri" w:cs="Times New Roman"/>
    </w:rPr>
  </w:style>
  <w:style w:type="paragraph" w:customStyle="1" w:styleId="ecxmsonormal">
    <w:name w:val="ecxmsonormal"/>
    <w:basedOn w:val="Normal"/>
    <w:rsid w:val="000C79A5"/>
    <w:rPr>
      <w:sz w:val="24"/>
      <w:szCs w:val="24"/>
    </w:rPr>
  </w:style>
  <w:style w:type="character" w:customStyle="1" w:styleId="SinespaciadoCar">
    <w:name w:val="Sin espaciado Car"/>
    <w:link w:val="Sinespaciado"/>
    <w:uiPriority w:val="1"/>
    <w:rsid w:val="000C79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479</Words>
  <Characters>2639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Sarahi Gonzalez Dominguez</dc:creator>
  <cp:keywords/>
  <dc:description/>
  <cp:lastModifiedBy>Brenda Sarahi Gonzalez Dominguez</cp:lastModifiedBy>
  <cp:revision>3</cp:revision>
  <dcterms:created xsi:type="dcterms:W3CDTF">2020-01-09T16:20:00Z</dcterms:created>
  <dcterms:modified xsi:type="dcterms:W3CDTF">2020-01-09T17:04:00Z</dcterms:modified>
</cp:coreProperties>
</file>