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C4" w:rsidRPr="00B163C9" w:rsidRDefault="009A3BF8" w:rsidP="00601BC4">
      <w:pPr>
        <w:pStyle w:val="Textoindependiente3"/>
        <w:rPr>
          <w:rFonts w:ascii="Century Gothic" w:hAnsi="Century Gothic" w:cs="Tahoma"/>
          <w:sz w:val="26"/>
          <w:szCs w:val="26"/>
          <w:lang w:val="es-MX"/>
        </w:rPr>
      </w:pPr>
      <w:r>
        <w:rPr>
          <w:rFonts w:ascii="Century Gothic" w:hAnsi="Century Gothic" w:cs="Tahoma"/>
          <w:sz w:val="26"/>
          <w:szCs w:val="26"/>
          <w:lang w:val="es-MX"/>
        </w:rPr>
        <w:t>DECRETO No</w:t>
      </w:r>
      <w:r w:rsidR="00601BC4" w:rsidRPr="00B163C9">
        <w:rPr>
          <w:rFonts w:ascii="Century Gothic" w:hAnsi="Century Gothic" w:cs="Tahoma"/>
          <w:sz w:val="26"/>
          <w:szCs w:val="26"/>
          <w:lang w:val="es-MX"/>
        </w:rPr>
        <w:t>.</w:t>
      </w:r>
    </w:p>
    <w:p w:rsidR="00601BC4" w:rsidRPr="009A3BF8" w:rsidRDefault="00601BC4" w:rsidP="00601BC4">
      <w:pPr>
        <w:pStyle w:val="Textoindependiente3"/>
        <w:rPr>
          <w:rFonts w:ascii="Century Gothic" w:hAnsi="Century Gothic" w:cs="Tahoma"/>
          <w:sz w:val="28"/>
          <w:szCs w:val="28"/>
          <w:lang w:val="en-US"/>
        </w:rPr>
      </w:pPr>
      <w:r w:rsidRPr="009A3BF8">
        <w:rPr>
          <w:rFonts w:ascii="Century Gothic" w:hAnsi="Century Gothic" w:cs="Tahoma"/>
          <w:sz w:val="26"/>
          <w:szCs w:val="26"/>
          <w:lang w:val="en-US"/>
        </w:rPr>
        <w:t>LXVI/APLIM/0</w:t>
      </w:r>
      <w:r w:rsidR="009A3BF8" w:rsidRPr="009A3BF8">
        <w:rPr>
          <w:rFonts w:ascii="Century Gothic" w:hAnsi="Century Gothic" w:cs="Tahoma"/>
          <w:sz w:val="26"/>
          <w:szCs w:val="26"/>
          <w:lang w:val="en-US"/>
        </w:rPr>
        <w:t>577</w:t>
      </w:r>
      <w:r w:rsidRPr="009A3BF8">
        <w:rPr>
          <w:rFonts w:ascii="Century Gothic" w:hAnsi="Century Gothic" w:cs="Tahoma"/>
          <w:sz w:val="26"/>
          <w:szCs w:val="26"/>
          <w:lang w:val="en-US"/>
        </w:rPr>
        <w:t>/201</w:t>
      </w:r>
      <w:r w:rsidR="009A3BF8" w:rsidRPr="009A3BF8">
        <w:rPr>
          <w:rFonts w:ascii="Century Gothic" w:hAnsi="Century Gothic" w:cs="Tahoma"/>
          <w:sz w:val="26"/>
          <w:szCs w:val="26"/>
          <w:lang w:val="en-US"/>
        </w:rPr>
        <w:t>9</w:t>
      </w:r>
      <w:r w:rsidRPr="009A3BF8">
        <w:rPr>
          <w:rFonts w:ascii="Century Gothic" w:hAnsi="Century Gothic" w:cs="Tahoma"/>
          <w:sz w:val="26"/>
          <w:szCs w:val="26"/>
          <w:lang w:val="en-US"/>
        </w:rPr>
        <w:t xml:space="preserve"> I P.O.</w:t>
      </w:r>
    </w:p>
    <w:p w:rsidR="00601BC4" w:rsidRPr="009A3BF8" w:rsidRDefault="00601BC4" w:rsidP="00601BC4">
      <w:pPr>
        <w:pStyle w:val="Textoindependiente3"/>
        <w:ind w:right="49"/>
        <w:rPr>
          <w:rFonts w:ascii="Century Gothic" w:hAnsi="Century Gothic"/>
          <w:sz w:val="26"/>
          <w:szCs w:val="26"/>
          <w:lang w:val="en-US"/>
        </w:rPr>
      </w:pPr>
    </w:p>
    <w:p w:rsidR="00601BC4" w:rsidRDefault="00601BC4" w:rsidP="00601BC4">
      <w:pPr>
        <w:pStyle w:val="Textoindependiente3"/>
        <w:ind w:right="49"/>
        <w:rPr>
          <w:rFonts w:ascii="Century Gothic" w:hAnsi="Century Gothic"/>
          <w:sz w:val="26"/>
          <w:szCs w:val="26"/>
          <w:lang w:val="es-MX"/>
        </w:rPr>
      </w:pPr>
      <w:r w:rsidRPr="00086F6E">
        <w:rPr>
          <w:rFonts w:ascii="Century Gothic" w:hAnsi="Century Gothic"/>
          <w:sz w:val="26"/>
          <w:szCs w:val="26"/>
          <w:lang w:val="es-MX"/>
        </w:rPr>
        <w:t xml:space="preserve">LA SEXAGÉSIMA </w:t>
      </w:r>
      <w:r>
        <w:rPr>
          <w:rFonts w:ascii="Century Gothic" w:hAnsi="Century Gothic"/>
          <w:sz w:val="26"/>
          <w:szCs w:val="26"/>
          <w:lang w:val="es-MX"/>
        </w:rPr>
        <w:t>SEXTA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LEGISLATURA DEL HONORABLE CONGRESO DEL ESTADO DE CHIHUAHUA, REUNIDA EN SU PRIMER PERÍODO ORD</w:t>
      </w:r>
      <w:r>
        <w:rPr>
          <w:rFonts w:ascii="Century Gothic" w:hAnsi="Century Gothic"/>
          <w:sz w:val="26"/>
          <w:szCs w:val="26"/>
          <w:lang w:val="es-MX"/>
        </w:rPr>
        <w:t>INARIO DE SESIONES, DENTRO DEL SEGUNDO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AÑO DE EJERCICIO CONSTITUCIONAL,</w:t>
      </w:r>
    </w:p>
    <w:p w:rsidR="00601BC4" w:rsidRPr="00086F6E" w:rsidRDefault="00601BC4" w:rsidP="00601BC4">
      <w:pPr>
        <w:pStyle w:val="Textoindependiente3"/>
        <w:ind w:right="49"/>
        <w:rPr>
          <w:rFonts w:ascii="Century Gothic" w:hAnsi="Century Gothic"/>
          <w:sz w:val="26"/>
          <w:szCs w:val="26"/>
          <w:lang w:val="es-MX"/>
        </w:rPr>
      </w:pPr>
    </w:p>
    <w:p w:rsidR="00601BC4" w:rsidRPr="00086F6E" w:rsidRDefault="00601BC4" w:rsidP="00601BC4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</w:p>
    <w:p w:rsidR="00601BC4" w:rsidRPr="00086F6E" w:rsidRDefault="00601BC4" w:rsidP="00601BC4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  <w:r w:rsidRPr="00086F6E">
        <w:rPr>
          <w:rFonts w:ascii="Century Gothic" w:hAnsi="Century Gothic"/>
          <w:sz w:val="28"/>
          <w:szCs w:val="26"/>
          <w:lang w:val="es-MX"/>
        </w:rPr>
        <w:t>D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C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R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T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A</w:t>
      </w:r>
    </w:p>
    <w:p w:rsidR="00601BC4" w:rsidRDefault="00601BC4" w:rsidP="00601BC4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A913A8" w:rsidRPr="00C959C1" w:rsidRDefault="00A913A8" w:rsidP="00C959C1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LEY DE INGRESOS DEL MUNICIPIO DE TEMÓSACHIC</w:t>
      </w:r>
    </w:p>
    <w:p w:rsidR="00A913A8" w:rsidRPr="00C959C1" w:rsidRDefault="00AA57ED" w:rsidP="00C959C1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PARA EL EJERCICIO FISCAL DE 2020</w:t>
      </w:r>
    </w:p>
    <w:p w:rsidR="00A913A8" w:rsidRPr="00C959C1" w:rsidRDefault="00A913A8" w:rsidP="00C959C1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913A8" w:rsidRPr="00C959C1" w:rsidRDefault="00A913A8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 xml:space="preserve">ARTÍCULO PRIMERO.- </w:t>
      </w:r>
      <w:r w:rsidRPr="00C959C1">
        <w:rPr>
          <w:rFonts w:ascii="Century Gothic" w:hAnsi="Century Gothic"/>
          <w:sz w:val="24"/>
          <w:szCs w:val="24"/>
        </w:rPr>
        <w:t>Para que el Municipio de Temósachic pueda cubrir los gastos previstos en su presupuesto de egresos, durante el ejercicio fiscal comprendido del 1° de enero a</w:t>
      </w:r>
      <w:r w:rsidR="00AA57ED" w:rsidRPr="00C959C1">
        <w:rPr>
          <w:rFonts w:ascii="Century Gothic" w:hAnsi="Century Gothic"/>
          <w:sz w:val="24"/>
          <w:szCs w:val="24"/>
        </w:rPr>
        <w:t>l 31 de diciembre de 2020</w:t>
      </w:r>
      <w:r w:rsidRPr="00C959C1">
        <w:rPr>
          <w:rFonts w:ascii="Century Gothic" w:hAnsi="Century Gothic"/>
          <w:sz w:val="24"/>
          <w:szCs w:val="24"/>
        </w:rPr>
        <w:t>, percibirá los ingresos ordinarios y extraordinarios siguientes:</w:t>
      </w:r>
    </w:p>
    <w:p w:rsidR="009446ED" w:rsidRPr="00C959C1" w:rsidRDefault="009446ED" w:rsidP="00C959C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A913A8" w:rsidRDefault="00A913A8" w:rsidP="002E472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I.- IMPUESTOS Y CONTRIBUCIONES ESPECIALES</w:t>
      </w:r>
    </w:p>
    <w:p w:rsidR="00480510" w:rsidRPr="00C959C1" w:rsidRDefault="00480510" w:rsidP="0048051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13A8" w:rsidRDefault="00E033CD" w:rsidP="00C959C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a) I</w:t>
      </w:r>
      <w:r w:rsidR="00A913A8" w:rsidRPr="00C959C1">
        <w:rPr>
          <w:rFonts w:ascii="Century Gothic" w:hAnsi="Century Gothic"/>
          <w:sz w:val="24"/>
          <w:szCs w:val="24"/>
        </w:rPr>
        <w:t>mpuestos</w:t>
      </w:r>
    </w:p>
    <w:p w:rsidR="00601BC4" w:rsidRDefault="00601BC4" w:rsidP="0048051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913A8" w:rsidRPr="00C959C1" w:rsidRDefault="00A913A8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1.- Sobre espectáculos públicos, los cuales se causarán conforme a las siguientes tasas:</w:t>
      </w:r>
    </w:p>
    <w:tbl>
      <w:tblPr>
        <w:tblStyle w:val="Tablaconcuadrcula"/>
        <w:tblW w:w="8534" w:type="dxa"/>
        <w:tblInd w:w="250" w:type="dxa"/>
        <w:tblLook w:val="04A0" w:firstRow="1" w:lastRow="0" w:firstColumn="1" w:lastColumn="0" w:noHBand="0" w:noVBand="1"/>
      </w:tblPr>
      <w:tblGrid>
        <w:gridCol w:w="7542"/>
        <w:gridCol w:w="992"/>
      </w:tblGrid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CONCEPTO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TASA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Becerradas, novillos y jaripeos 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10%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Box y lucha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Carreras: de caballos, perros, automóviles, motocicletas y otras   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Cinematográficas 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8%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Circos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5%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Corridas de toros y peleas de gallos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15%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Espectáculos teatrales, revistas, variedades, conciertos y conferencias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5%</w:t>
            </w:r>
          </w:p>
          <w:p w:rsidR="00946961" w:rsidRPr="00C959C1" w:rsidRDefault="00946961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Exhibiciones y concursos 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10</w:t>
            </w:r>
            <w:r w:rsidR="00946961" w:rsidRPr="00C959C1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Espectáculos deportivos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5%</w:t>
            </w:r>
          </w:p>
        </w:tc>
      </w:tr>
      <w:tr w:rsidR="00586D1A" w:rsidRPr="00C959C1" w:rsidTr="00480510">
        <w:tc>
          <w:tcPr>
            <w:tcW w:w="7542" w:type="dxa"/>
          </w:tcPr>
          <w:p w:rsidR="00586D1A" w:rsidRPr="00C959C1" w:rsidRDefault="00586D1A" w:rsidP="00C959C1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Los demás </w:t>
            </w:r>
            <w:r w:rsidR="009446ED" w:rsidRPr="00C959C1">
              <w:rPr>
                <w:rFonts w:ascii="Century Gothic" w:hAnsi="Century Gothic"/>
                <w:sz w:val="24"/>
                <w:szCs w:val="24"/>
              </w:rPr>
              <w:t>espectáculos</w:t>
            </w:r>
          </w:p>
        </w:tc>
        <w:tc>
          <w:tcPr>
            <w:tcW w:w="992" w:type="dxa"/>
          </w:tcPr>
          <w:p w:rsidR="00586D1A" w:rsidRPr="00C959C1" w:rsidRDefault="00586D1A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10%</w:t>
            </w:r>
          </w:p>
        </w:tc>
      </w:tr>
    </w:tbl>
    <w:p w:rsidR="00E5131E" w:rsidRPr="00C959C1" w:rsidRDefault="00E5131E" w:rsidP="00C959C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E5131E" w:rsidRPr="00C959C1" w:rsidRDefault="009446ED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2.- Sobre juegos, rifas o loterías permitidas por la ley; las cuales se causarán conforme a la tasa prevista en el artículo 144 de Código Municipal.</w:t>
      </w:r>
    </w:p>
    <w:p w:rsidR="009446ED" w:rsidRPr="00C959C1" w:rsidRDefault="009446ED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446ED" w:rsidRDefault="009446ED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3.- Predial.</w:t>
      </w:r>
    </w:p>
    <w:p w:rsidR="00C57121" w:rsidRPr="00C959C1" w:rsidRDefault="00C57121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446ED" w:rsidRPr="00C959C1" w:rsidRDefault="009446ED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4.- Sobre traslación de dominio de bienes inmuebles.</w:t>
      </w:r>
    </w:p>
    <w:p w:rsidR="009446ED" w:rsidRPr="00C959C1" w:rsidRDefault="009446ED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446ED" w:rsidRPr="00C959C1" w:rsidRDefault="009446ED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lastRenderedPageBreak/>
        <w:t xml:space="preserve">5.- Tasa Adicional para los </w:t>
      </w:r>
      <w:r w:rsidR="00480510">
        <w:rPr>
          <w:rFonts w:ascii="Century Gothic" w:hAnsi="Century Gothic"/>
          <w:sz w:val="24"/>
          <w:szCs w:val="24"/>
        </w:rPr>
        <w:t>I</w:t>
      </w:r>
      <w:r w:rsidRPr="00C959C1">
        <w:rPr>
          <w:rFonts w:ascii="Century Gothic" w:hAnsi="Century Gothic"/>
          <w:sz w:val="24"/>
          <w:szCs w:val="24"/>
        </w:rPr>
        <w:t>mpuestos Predial y Sobre Traslación de Dominio de Bienes Inmuebles, la cual se cobrará con una sobretasa del 4% aplicable al monto que deberá ent</w:t>
      </w:r>
      <w:r w:rsidR="00E033CD" w:rsidRPr="00C959C1">
        <w:rPr>
          <w:rFonts w:ascii="Century Gothic" w:hAnsi="Century Gothic"/>
          <w:sz w:val="24"/>
          <w:szCs w:val="24"/>
        </w:rPr>
        <w:t>e</w:t>
      </w:r>
      <w:r w:rsidRPr="00C959C1">
        <w:rPr>
          <w:rFonts w:ascii="Century Gothic" w:hAnsi="Century Gothic"/>
          <w:sz w:val="24"/>
          <w:szCs w:val="24"/>
        </w:rPr>
        <w:t>rar el contribuyente por dichos impuestos.</w:t>
      </w:r>
    </w:p>
    <w:p w:rsidR="009446ED" w:rsidRPr="00C959C1" w:rsidRDefault="009446ED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446ED" w:rsidRPr="00C959C1" w:rsidRDefault="009446ED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La Tasa Adicional se pagará en la misma forma y términos en que deben pagarse los impuestos mencionados y su rendimiento de la Universidad Autónoma de Chihuahua y de la Universidad Autónoma de Ciudad Juárez, en partes iguales, en los términos del artículo</w:t>
      </w:r>
      <w:r w:rsidR="00C50393" w:rsidRPr="00C959C1">
        <w:rPr>
          <w:rFonts w:ascii="Century Gothic" w:hAnsi="Century Gothic"/>
          <w:sz w:val="24"/>
          <w:szCs w:val="24"/>
        </w:rPr>
        <w:t xml:space="preserve"> 165 Bis del Código Municipal</w:t>
      </w:r>
      <w:r w:rsidR="00480510">
        <w:rPr>
          <w:rFonts w:ascii="Century Gothic" w:hAnsi="Century Gothic"/>
          <w:sz w:val="24"/>
          <w:szCs w:val="24"/>
        </w:rPr>
        <w:t>.</w:t>
      </w:r>
    </w:p>
    <w:p w:rsidR="00C50393" w:rsidRPr="00C959C1" w:rsidRDefault="00C50393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50B5E" w:rsidRPr="00C959C1" w:rsidRDefault="00C50393" w:rsidP="00C959C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57121">
        <w:rPr>
          <w:rFonts w:ascii="Century Gothic" w:hAnsi="Century Gothic"/>
          <w:sz w:val="24"/>
          <w:szCs w:val="24"/>
        </w:rPr>
        <w:t>b) Contribuciones</w:t>
      </w:r>
    </w:p>
    <w:p w:rsidR="00C50393" w:rsidRPr="00C959C1" w:rsidRDefault="00C50393" w:rsidP="00C959C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C50393" w:rsidRPr="00C959C1" w:rsidRDefault="00C50393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1.- Sobre pavimentación de calles y demás áreas públicas.</w:t>
      </w:r>
    </w:p>
    <w:p w:rsidR="00C50393" w:rsidRPr="00C959C1" w:rsidRDefault="00C50393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C50393" w:rsidRPr="00C959C1" w:rsidRDefault="00250B5E" w:rsidP="002E472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II.- DER</w:t>
      </w:r>
      <w:r w:rsidR="00C50393" w:rsidRPr="00C959C1">
        <w:rPr>
          <w:rFonts w:ascii="Century Gothic" w:hAnsi="Century Gothic"/>
          <w:b/>
          <w:sz w:val="24"/>
          <w:szCs w:val="24"/>
        </w:rPr>
        <w:t>ECHOS</w:t>
      </w:r>
    </w:p>
    <w:p w:rsidR="00250B5E" w:rsidRPr="00C959C1" w:rsidRDefault="00250B5E" w:rsidP="0048051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9C4890" w:rsidRPr="00C959C1" w:rsidRDefault="00C50393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1.- Por alineamiento de periodos, asignación de número</w:t>
      </w:r>
      <w:r w:rsidR="009C4890" w:rsidRPr="00C959C1">
        <w:rPr>
          <w:rFonts w:ascii="Century Gothic" w:hAnsi="Century Gothic"/>
          <w:sz w:val="24"/>
          <w:szCs w:val="24"/>
        </w:rPr>
        <w:t xml:space="preserve"> oficial, licencias de construcción y pruebas de estabilidad.</w:t>
      </w:r>
    </w:p>
    <w:p w:rsidR="00250B5E" w:rsidRPr="00C959C1" w:rsidRDefault="00250B5E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9446ED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2.- Por Supervisión y autorización de obras de urbanización en fraccionamientos.</w:t>
      </w:r>
    </w:p>
    <w:p w:rsidR="009C4890" w:rsidRPr="00C959C1" w:rsidRDefault="009C4890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C4890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lastRenderedPageBreak/>
        <w:t>3.- por servicios generales en los rastros.</w:t>
      </w:r>
    </w:p>
    <w:p w:rsidR="009C4890" w:rsidRPr="00C959C1" w:rsidRDefault="009C4890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C4890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4.- Por legalización de firmas, certificadas y expedición de documentos municipales.</w:t>
      </w:r>
    </w:p>
    <w:p w:rsidR="009C4890" w:rsidRPr="00C959C1" w:rsidRDefault="009C4890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C4890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5.- Cementerios municipales.</w:t>
      </w:r>
    </w:p>
    <w:p w:rsidR="009C4890" w:rsidRPr="00C959C1" w:rsidRDefault="009C4890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C4890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6.- Por ocupación de la vía pública para estacionamiento de vehículos y vendedores ambulantes.</w:t>
      </w:r>
    </w:p>
    <w:p w:rsidR="009C4890" w:rsidRPr="00C959C1" w:rsidRDefault="009C4890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9C4890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7.- Por la fijación de anuncios y propaganda comercial.</w:t>
      </w:r>
    </w:p>
    <w:p w:rsidR="009C4890" w:rsidRPr="00C959C1" w:rsidRDefault="009C4890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42754" w:rsidRPr="00C959C1" w:rsidRDefault="009C489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 xml:space="preserve">8.- por los servicios </w:t>
      </w:r>
      <w:r w:rsidR="00342754" w:rsidRPr="00C959C1">
        <w:rPr>
          <w:rFonts w:ascii="Century Gothic" w:hAnsi="Century Gothic"/>
          <w:sz w:val="24"/>
          <w:szCs w:val="24"/>
        </w:rPr>
        <w:t>públicos siguientes:</w:t>
      </w:r>
    </w:p>
    <w:p w:rsidR="009C4890" w:rsidRPr="00C959C1" w:rsidRDefault="00342754" w:rsidP="00480510">
      <w:pPr>
        <w:spacing w:after="0" w:line="36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a) Alumbrado público;</w:t>
      </w:r>
    </w:p>
    <w:p w:rsidR="00342754" w:rsidRPr="00C959C1" w:rsidRDefault="00342754" w:rsidP="00480510">
      <w:pPr>
        <w:spacing w:after="0" w:line="36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b) Aseo, recolección y transporte de basura;</w:t>
      </w:r>
    </w:p>
    <w:p w:rsidR="00342754" w:rsidRPr="00C959C1" w:rsidRDefault="00480510" w:rsidP="00480510">
      <w:pPr>
        <w:spacing w:after="0" w:line="360" w:lineRule="auto"/>
        <w:ind w:firstLine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Servicios de Bomberos;</w:t>
      </w:r>
    </w:p>
    <w:p w:rsidR="00342754" w:rsidRPr="00C959C1" w:rsidRDefault="00342754" w:rsidP="00480510">
      <w:pPr>
        <w:spacing w:after="0" w:line="360" w:lineRule="auto"/>
        <w:ind w:firstLine="284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d) Mercados y centrales de abasto.</w:t>
      </w:r>
    </w:p>
    <w:p w:rsidR="00342754" w:rsidRPr="00C959C1" w:rsidRDefault="00342754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250B5E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9.- Los demás que establezcan la ley.</w:t>
      </w:r>
    </w:p>
    <w:p w:rsidR="00480510" w:rsidRPr="00C959C1" w:rsidRDefault="00480510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42754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lastRenderedPageBreak/>
        <w:t xml:space="preserve">Para el cobro de los derechos indicados en la relación precedente, el Municipio se ajustará a la tarifa aprobada </w:t>
      </w:r>
      <w:r w:rsidR="00AA57ED" w:rsidRPr="00C959C1">
        <w:rPr>
          <w:rFonts w:ascii="Century Gothic" w:hAnsi="Century Gothic"/>
          <w:sz w:val="24"/>
          <w:szCs w:val="24"/>
        </w:rPr>
        <w:t>para el ejercicio fiscal de 2020</w:t>
      </w:r>
      <w:r w:rsidRPr="00C959C1">
        <w:rPr>
          <w:rFonts w:ascii="Century Gothic" w:hAnsi="Century Gothic"/>
          <w:sz w:val="24"/>
          <w:szCs w:val="24"/>
        </w:rPr>
        <w:t xml:space="preserve">, misma que forma parte como anexo, de la presente </w:t>
      </w:r>
      <w:r w:rsidR="00480510">
        <w:rPr>
          <w:rFonts w:ascii="Century Gothic" w:hAnsi="Century Gothic"/>
          <w:sz w:val="24"/>
          <w:szCs w:val="24"/>
        </w:rPr>
        <w:t>L</w:t>
      </w:r>
      <w:r w:rsidRPr="00C959C1">
        <w:rPr>
          <w:rFonts w:ascii="Century Gothic" w:hAnsi="Century Gothic"/>
          <w:sz w:val="24"/>
          <w:szCs w:val="24"/>
        </w:rPr>
        <w:t>ey.</w:t>
      </w:r>
    </w:p>
    <w:p w:rsidR="00342754" w:rsidRPr="00C959C1" w:rsidRDefault="00342754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42754" w:rsidRPr="00C959C1" w:rsidRDefault="00480510" w:rsidP="002E472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III.- PRODUCTOS</w:t>
      </w:r>
    </w:p>
    <w:p w:rsidR="00250B5E" w:rsidRPr="00C959C1" w:rsidRDefault="00250B5E" w:rsidP="0048051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42754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1.- De la enajenación, arrendamiento o explotación de sus bienes.</w:t>
      </w:r>
    </w:p>
    <w:p w:rsidR="00342754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2.- Rendimientos financieros.</w:t>
      </w:r>
    </w:p>
    <w:p w:rsidR="00342754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3.- Por publicaciones al precio fijado por la Presidencia Municipal.</w:t>
      </w:r>
    </w:p>
    <w:p w:rsidR="00342754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4.- De sus establecimientos y empresas.</w:t>
      </w:r>
    </w:p>
    <w:p w:rsidR="00C57121" w:rsidRPr="00C959C1" w:rsidRDefault="00C57121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342754" w:rsidRPr="00C959C1" w:rsidRDefault="00250B5E" w:rsidP="002E472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IV.- APROV</w:t>
      </w:r>
      <w:r w:rsidR="00342754" w:rsidRPr="00C959C1">
        <w:rPr>
          <w:rFonts w:ascii="Century Gothic" w:hAnsi="Century Gothic"/>
          <w:b/>
          <w:sz w:val="24"/>
          <w:szCs w:val="24"/>
        </w:rPr>
        <w:t>ECHAMIENTOS</w:t>
      </w:r>
    </w:p>
    <w:p w:rsidR="00250B5E" w:rsidRPr="00C959C1" w:rsidRDefault="00250B5E" w:rsidP="0048051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42754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1.- Multas.</w:t>
      </w:r>
    </w:p>
    <w:p w:rsidR="00342754" w:rsidRPr="00C959C1" w:rsidRDefault="00342754" w:rsidP="00C959C1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2.- Recargos y gastos de ejecución.</w:t>
      </w:r>
    </w:p>
    <w:p w:rsidR="004A0770" w:rsidRPr="00C959C1" w:rsidRDefault="00342754" w:rsidP="00C959C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 xml:space="preserve">3.- </w:t>
      </w:r>
      <w:r w:rsidR="004A0770" w:rsidRPr="00C959C1">
        <w:rPr>
          <w:rFonts w:ascii="Century Gothic" w:hAnsi="Century Gothic"/>
          <w:sz w:val="24"/>
          <w:szCs w:val="24"/>
        </w:rPr>
        <w:t>Cualquier otro ingreso no clasificable como impuesto, contribución especial, derecho, producto o participación.</w:t>
      </w:r>
    </w:p>
    <w:p w:rsidR="004A0770" w:rsidRPr="00C959C1" w:rsidRDefault="004A0770" w:rsidP="00C959C1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342754" w:rsidRPr="00C959C1" w:rsidRDefault="00480510" w:rsidP="002E472C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V.- PARTICIPACIONES</w:t>
      </w:r>
    </w:p>
    <w:p w:rsidR="00250B5E" w:rsidRPr="00C959C1" w:rsidRDefault="00250B5E" w:rsidP="0048051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57121" w:rsidRDefault="00C57121" w:rsidP="00C5712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sz w:val="24"/>
          <w:szCs w:val="24"/>
          <w:lang w:val="es-ES_tradnl"/>
        </w:rPr>
        <w:t xml:space="preserve">Las que correspondan al municipio, de conformidad con las leyes federales y locales que las establezcan y resulten de aplicar los procedimientos de distribución a que se refiere el Capítulo I “De las </w:t>
      </w:r>
      <w:r w:rsidRPr="00EF389E">
        <w:rPr>
          <w:rFonts w:ascii="Century Gothic" w:hAnsi="Century Gothic" w:cs="Arial"/>
          <w:sz w:val="24"/>
          <w:szCs w:val="24"/>
          <w:lang w:val="es-ES_tradnl"/>
        </w:rPr>
        <w:lastRenderedPageBreak/>
        <w:t>Participaciones de los Estados, Municipios y Distrito Federal en Ingresos Federales”, d</w:t>
      </w:r>
      <w:r w:rsidR="003E38DB">
        <w:rPr>
          <w:rFonts w:ascii="Century Gothic" w:hAnsi="Century Gothic" w:cs="Arial"/>
          <w:sz w:val="24"/>
          <w:szCs w:val="24"/>
          <w:lang w:val="es-ES_tradnl"/>
        </w:rPr>
        <w:t xml:space="preserve">e la Ley de Coordinación Fiscal; </w:t>
      </w:r>
      <w:r w:rsidRPr="00EF389E">
        <w:rPr>
          <w:rFonts w:ascii="Century Gothic" w:hAnsi="Century Gothic" w:cs="Arial"/>
          <w:sz w:val="24"/>
          <w:szCs w:val="24"/>
          <w:lang w:val="es-ES_tradnl"/>
        </w:rPr>
        <w:t>y el Título Cuarto “Del Sistema Estatal de Participaciones y Fondos de Aportaciones</w:t>
      </w:r>
      <w:r w:rsidR="003E38DB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EF389E">
        <w:rPr>
          <w:rFonts w:ascii="Century Gothic" w:hAnsi="Century Gothic" w:cs="Arial"/>
          <w:sz w:val="24"/>
          <w:szCs w:val="24"/>
          <w:lang w:val="es-ES_tradnl"/>
        </w:rPr>
        <w:t>, Capítulo I, “Del Sistema Estatal de Participaciones”, de la Ley de Coordinación Fiscal del Estado de Chihuahua y sus Municipios, siendo los coeficientes de distribución sobre el producto total, para el ejercicio de 20</w:t>
      </w:r>
      <w:r w:rsidR="003E38DB">
        <w:rPr>
          <w:rFonts w:ascii="Century Gothic" w:hAnsi="Century Gothic" w:cs="Arial"/>
          <w:sz w:val="24"/>
          <w:szCs w:val="24"/>
          <w:lang w:val="es-ES_tradnl"/>
        </w:rPr>
        <w:t>20</w:t>
      </w:r>
      <w:r w:rsidRPr="00EF389E">
        <w:rPr>
          <w:rFonts w:ascii="Century Gothic" w:hAnsi="Century Gothic" w:cs="Arial"/>
          <w:sz w:val="24"/>
          <w:szCs w:val="24"/>
          <w:lang w:val="es-ES_tradnl"/>
        </w:rPr>
        <w:t>, los siguientes: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4237"/>
      </w:tblGrid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601BC4" w:rsidP="00480510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Temósachic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3E38DB" w:rsidP="00480510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601BC4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0.482052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(FFM)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3E38DB" w:rsidP="00601BC4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482052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3E38DB" w:rsidP="00601BC4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139252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3E38DB" w:rsidP="00601BC4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482052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Fiscalización y Recaudación (FOFIR)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601BC4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482052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Impuestos Sobre Autos Nuevos (ISAN)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601BC4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482052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601BC4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482052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601BC4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0.180651</w:t>
            </w:r>
          </w:p>
        </w:tc>
      </w:tr>
      <w:tr w:rsidR="003E38DB" w:rsidRPr="00601BC4" w:rsidTr="00480510">
        <w:trPr>
          <w:trHeight w:val="426"/>
        </w:trPr>
        <w:tc>
          <w:tcPr>
            <w:tcW w:w="4268" w:type="dxa"/>
            <w:shd w:val="clear" w:color="auto" w:fill="auto"/>
            <w:vAlign w:val="center"/>
          </w:tcPr>
          <w:p w:rsidR="003E38DB" w:rsidRPr="00601BC4" w:rsidRDefault="003E38DB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30%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3E38DB" w:rsidRPr="00601BC4" w:rsidRDefault="003E38DB" w:rsidP="00601BC4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601BC4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332933</w:t>
            </w:r>
          </w:p>
        </w:tc>
      </w:tr>
    </w:tbl>
    <w:p w:rsidR="003E38DB" w:rsidRDefault="003E38DB" w:rsidP="00480510">
      <w:pPr>
        <w:spacing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C57121" w:rsidRDefault="00C57121" w:rsidP="00480510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b/>
          <w:bCs/>
          <w:sz w:val="24"/>
          <w:szCs w:val="24"/>
          <w:lang w:val="es-ES_tradnl"/>
        </w:rPr>
        <w:t>VI.- APORTACIONES</w:t>
      </w:r>
    </w:p>
    <w:p w:rsidR="00480510" w:rsidRPr="00EF389E" w:rsidRDefault="00480510" w:rsidP="00480510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C57121" w:rsidRDefault="00C57121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sz w:val="24"/>
          <w:szCs w:val="24"/>
          <w:lang w:val="es-ES_tradnl"/>
        </w:rPr>
        <w:t>Son aportaciones los recursos que la Federación o los Estados  transfieren a las haciendas públicas de los Municipios, los cuales serán distribuidos conforme a lo previsto en el Capítulo V “De los Fondos de Aportaciones Federales”, de la Ley de Coordinación Fiscal</w:t>
      </w:r>
      <w:r w:rsidR="003E38DB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EF389E">
        <w:rPr>
          <w:rFonts w:ascii="Century Gothic" w:hAnsi="Century Gothic" w:cs="Arial"/>
          <w:sz w:val="24"/>
          <w:szCs w:val="24"/>
          <w:lang w:val="es-ES_tradnl"/>
        </w:rPr>
        <w:t xml:space="preserve"> y en el Título Cuarto “Del Sistema Estatal de Participaciones y Fondos de Aportaciones</w:t>
      </w:r>
      <w:r w:rsidR="003E38DB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EF389E">
        <w:rPr>
          <w:rFonts w:ascii="Century Gothic" w:hAnsi="Century Gothic" w:cs="Arial"/>
          <w:sz w:val="24"/>
          <w:szCs w:val="24"/>
          <w:lang w:val="es-ES_tradnl"/>
        </w:rPr>
        <w:t>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3E38DB" w:rsidRDefault="00C57121" w:rsidP="00C5712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sz w:val="24"/>
          <w:szCs w:val="24"/>
          <w:lang w:val="es-ES_tradnl"/>
        </w:rPr>
        <w:lastRenderedPageBreak/>
        <w:t>1.- Fondo de Aportaciones para la Infraestructura Social Municipal y de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3E38DB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8DB" w:rsidRPr="00FB4285" w:rsidRDefault="003E38DB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3E38DB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8DB" w:rsidRPr="00FB4285" w:rsidRDefault="003E38DB" w:rsidP="00601BC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601BC4">
              <w:rPr>
                <w:rFonts w:ascii="Century Gothic" w:hAnsi="Century Gothic" w:cs="Arial"/>
                <w:sz w:val="24"/>
                <w:szCs w:val="24"/>
              </w:rPr>
              <w:t>600769</w:t>
            </w:r>
          </w:p>
        </w:tc>
      </w:tr>
    </w:tbl>
    <w:p w:rsidR="00480510" w:rsidRDefault="00480510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E38DB" w:rsidRPr="00EF389E" w:rsidRDefault="00C57121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sz w:val="24"/>
          <w:szCs w:val="24"/>
          <w:lang w:val="es-ES_tradnl"/>
        </w:rPr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3E38DB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8DB" w:rsidRPr="00FB4285" w:rsidRDefault="003E38DB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3E38DB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8DB" w:rsidRPr="00FB4285" w:rsidRDefault="003E38DB" w:rsidP="00601BC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601BC4">
              <w:rPr>
                <w:rFonts w:ascii="Century Gothic" w:hAnsi="Century Gothic" w:cs="Arial"/>
                <w:sz w:val="24"/>
                <w:szCs w:val="24"/>
              </w:rPr>
              <w:t>180651</w:t>
            </w:r>
          </w:p>
        </w:tc>
      </w:tr>
    </w:tbl>
    <w:p w:rsidR="00480510" w:rsidRDefault="00480510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3E38DB" w:rsidRPr="00EF389E" w:rsidRDefault="00C57121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sz w:val="24"/>
          <w:szCs w:val="24"/>
          <w:lang w:val="es-ES_tradnl"/>
        </w:rPr>
        <w:t>3.- Fondo para el Desarrollo Socioeconómico Municipal</w:t>
      </w:r>
      <w:r w:rsidR="003E38DB">
        <w:rPr>
          <w:rFonts w:ascii="Century Gothic" w:hAnsi="Century Gothic" w:cs="Arial"/>
          <w:sz w:val="24"/>
          <w:szCs w:val="24"/>
          <w:lang w:val="es-ES_tradnl"/>
        </w:rPr>
        <w:t xml:space="preserve"> (FODESEM).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3E38DB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8DB" w:rsidRPr="00FB4285" w:rsidRDefault="003E38DB" w:rsidP="00480510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3E38DB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8DB" w:rsidRPr="00FB4285" w:rsidRDefault="00601BC4" w:rsidP="00C97B4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0.549048</w:t>
            </w:r>
          </w:p>
        </w:tc>
      </w:tr>
    </w:tbl>
    <w:p w:rsidR="00480510" w:rsidRDefault="00480510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C57121" w:rsidRPr="00EF389E" w:rsidRDefault="00C57121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sz w:val="24"/>
          <w:szCs w:val="24"/>
          <w:lang w:val="es-ES_tradnl"/>
        </w:rPr>
        <w:t>4.- Otras aportaciones federales.</w:t>
      </w:r>
    </w:p>
    <w:p w:rsidR="00601BC4" w:rsidRDefault="00601BC4" w:rsidP="002E472C">
      <w:pPr>
        <w:spacing w:line="36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C57121" w:rsidRPr="00EF389E" w:rsidRDefault="00C57121" w:rsidP="002E472C">
      <w:pPr>
        <w:spacing w:line="36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EF389E">
        <w:rPr>
          <w:rFonts w:ascii="Century Gothic" w:hAnsi="Century Gothic" w:cs="Arial"/>
          <w:b/>
          <w:bCs/>
          <w:sz w:val="24"/>
          <w:szCs w:val="24"/>
          <w:lang w:val="es-ES_tradnl"/>
        </w:rPr>
        <w:t>VII.- CONVENIOS, APOYOS Y TRANSFERENCIAS</w:t>
      </w:r>
    </w:p>
    <w:p w:rsidR="00C57121" w:rsidRPr="00EF389E" w:rsidRDefault="00C57121" w:rsidP="00C57121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1</w:t>
      </w:r>
      <w:r w:rsidRPr="00EF389E">
        <w:rPr>
          <w:rFonts w:ascii="Century Gothic" w:hAnsi="Century Gothic" w:cs="Arial"/>
          <w:bCs/>
          <w:sz w:val="24"/>
          <w:szCs w:val="24"/>
          <w:lang w:val="es-ES_tradnl"/>
        </w:rPr>
        <w:t>.- Convenios.</w:t>
      </w:r>
    </w:p>
    <w:p w:rsidR="00C57121" w:rsidRPr="00EF389E" w:rsidRDefault="00C57121" w:rsidP="00C57121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lastRenderedPageBreak/>
        <w:t>2</w:t>
      </w:r>
      <w:r w:rsidRPr="00EF389E">
        <w:rPr>
          <w:rFonts w:ascii="Century Gothic" w:hAnsi="Century Gothic" w:cs="Arial"/>
          <w:bCs/>
          <w:sz w:val="24"/>
          <w:szCs w:val="24"/>
          <w:lang w:val="es-ES_tradnl"/>
        </w:rPr>
        <w:t>.- Subsidios.</w:t>
      </w:r>
    </w:p>
    <w:p w:rsidR="00C57121" w:rsidRPr="004E454A" w:rsidRDefault="00C57121" w:rsidP="00480510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>
        <w:rPr>
          <w:rFonts w:ascii="Century Gothic" w:hAnsi="Century Gothic" w:cs="Arial"/>
          <w:bCs/>
          <w:sz w:val="24"/>
          <w:szCs w:val="24"/>
          <w:lang w:val="es-ES_tradnl"/>
        </w:rPr>
        <w:t>3</w:t>
      </w:r>
      <w:r w:rsidRPr="00EF389E">
        <w:rPr>
          <w:rFonts w:ascii="Century Gothic" w:hAnsi="Century Gothic" w:cs="Arial"/>
          <w:bCs/>
          <w:sz w:val="24"/>
          <w:szCs w:val="24"/>
          <w:lang w:val="es-ES_tradnl"/>
        </w:rPr>
        <w:t>.- Otros apoyos y transferencias.</w:t>
      </w:r>
    </w:p>
    <w:p w:rsidR="00C57121" w:rsidRDefault="00C57121" w:rsidP="00480510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C57121" w:rsidRDefault="00C57121" w:rsidP="00480510">
      <w:pPr>
        <w:spacing w:after="0" w:line="36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B3F0F">
        <w:rPr>
          <w:rFonts w:ascii="Century Gothic" w:hAnsi="Century Gothic" w:cs="Arial"/>
          <w:b/>
          <w:bCs/>
          <w:sz w:val="24"/>
          <w:szCs w:val="24"/>
          <w:lang w:val="es-ES_tradnl"/>
        </w:rPr>
        <w:t>VI</w:t>
      </w: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I</w:t>
      </w:r>
      <w:r w:rsidRPr="00BB3F0F">
        <w:rPr>
          <w:rFonts w:ascii="Century Gothic" w:hAnsi="Century Gothic" w:cs="Arial"/>
          <w:b/>
          <w:bCs/>
          <w:sz w:val="24"/>
          <w:szCs w:val="24"/>
          <w:lang w:val="es-ES_tradnl"/>
        </w:rPr>
        <w:t>I.- EXTRAORDINARIOS</w:t>
      </w:r>
    </w:p>
    <w:p w:rsidR="00480510" w:rsidRDefault="00480510" w:rsidP="00480510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C57121" w:rsidRDefault="00C57121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B3F0F">
        <w:rPr>
          <w:rFonts w:ascii="Century Gothic" w:hAnsi="Century Gothic" w:cs="Arial"/>
          <w:sz w:val="24"/>
          <w:szCs w:val="24"/>
          <w:lang w:val="es-ES_tradnl"/>
        </w:rPr>
        <w:t>1.- Empréstitos.</w:t>
      </w:r>
    </w:p>
    <w:p w:rsidR="00C57121" w:rsidRDefault="00C57121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B3F0F">
        <w:rPr>
          <w:rFonts w:ascii="Century Gothic" w:hAnsi="Century Gothic" w:cs="Arial"/>
          <w:sz w:val="24"/>
          <w:szCs w:val="24"/>
          <w:lang w:val="es-ES_tradnl"/>
        </w:rPr>
        <w:t>2.- Derivados de bonos y obligaciones</w:t>
      </w:r>
      <w:r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480510" w:rsidRDefault="00480510" w:rsidP="0048051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BC06BF" w:rsidRPr="00C959C1" w:rsidRDefault="0022207F" w:rsidP="00480510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 xml:space="preserve">ARTÍCULO </w:t>
      </w:r>
      <w:r w:rsidR="00601BC4">
        <w:rPr>
          <w:rFonts w:ascii="Century Gothic" w:hAnsi="Century Gothic"/>
          <w:b/>
          <w:sz w:val="24"/>
          <w:szCs w:val="24"/>
        </w:rPr>
        <w:t xml:space="preserve">SEGUNDO.- </w:t>
      </w:r>
      <w:r w:rsidR="00BC06BF" w:rsidRPr="00C959C1">
        <w:rPr>
          <w:rFonts w:ascii="Century Gothic" w:hAnsi="Century Gothic"/>
          <w:sz w:val="24"/>
          <w:szCs w:val="24"/>
        </w:rPr>
        <w:t>Forma parte de</w:t>
      </w:r>
      <w:r w:rsidR="00480510">
        <w:rPr>
          <w:rFonts w:ascii="Century Gothic" w:hAnsi="Century Gothic"/>
          <w:sz w:val="24"/>
          <w:szCs w:val="24"/>
        </w:rPr>
        <w:t xml:space="preserve"> esta L</w:t>
      </w:r>
      <w:r w:rsidR="00BC06BF" w:rsidRPr="00C959C1">
        <w:rPr>
          <w:rFonts w:ascii="Century Gothic" w:hAnsi="Century Gothic"/>
          <w:sz w:val="24"/>
          <w:szCs w:val="24"/>
        </w:rPr>
        <w:t xml:space="preserve">ey, </w:t>
      </w:r>
      <w:r w:rsidR="00480510">
        <w:rPr>
          <w:rFonts w:ascii="Century Gothic" w:hAnsi="Century Gothic"/>
          <w:sz w:val="24"/>
          <w:szCs w:val="24"/>
        </w:rPr>
        <w:t>e</w:t>
      </w:r>
      <w:r w:rsidR="00BC06BF" w:rsidRPr="00C959C1">
        <w:rPr>
          <w:rFonts w:ascii="Century Gothic" w:hAnsi="Century Gothic"/>
          <w:sz w:val="24"/>
          <w:szCs w:val="24"/>
        </w:rPr>
        <w:t>l anexo correspondiente al Municipio, en el que se estiman sus ingre</w:t>
      </w:r>
      <w:r w:rsidR="00B05600" w:rsidRPr="00C959C1">
        <w:rPr>
          <w:rFonts w:ascii="Century Gothic" w:hAnsi="Century Gothic"/>
          <w:sz w:val="24"/>
          <w:szCs w:val="24"/>
        </w:rPr>
        <w:t>sos durante el ejercicio de 2020</w:t>
      </w:r>
      <w:r w:rsidR="00BC06BF" w:rsidRPr="00C959C1">
        <w:rPr>
          <w:rFonts w:ascii="Century Gothic" w:hAnsi="Century Gothic"/>
          <w:sz w:val="24"/>
          <w:szCs w:val="24"/>
        </w:rPr>
        <w:t>, para los efectos y en los términos de los artículos 115, fracción IV, inciso c),</w:t>
      </w:r>
      <w:r w:rsidR="00CF38B2" w:rsidRPr="00C959C1">
        <w:rPr>
          <w:rFonts w:ascii="Century Gothic" w:hAnsi="Century Gothic"/>
          <w:sz w:val="24"/>
          <w:szCs w:val="24"/>
        </w:rPr>
        <w:t xml:space="preserve"> ú</w:t>
      </w:r>
      <w:r w:rsidR="00BC06BF" w:rsidRPr="00C959C1">
        <w:rPr>
          <w:rFonts w:ascii="Century Gothic" w:hAnsi="Century Gothic"/>
          <w:sz w:val="24"/>
          <w:szCs w:val="24"/>
        </w:rPr>
        <w:t xml:space="preserve">ltimo párrafo, de la Constitución Política del Estado de Chihuahua; y 28, fracción Xll del </w:t>
      </w:r>
      <w:r w:rsidR="00EE5B90" w:rsidRPr="00C959C1">
        <w:rPr>
          <w:rFonts w:ascii="Century Gothic" w:hAnsi="Century Gothic"/>
          <w:sz w:val="24"/>
          <w:szCs w:val="24"/>
        </w:rPr>
        <w:t>Código Municipal para el Estado.</w:t>
      </w:r>
    </w:p>
    <w:p w:rsidR="00EE5B90" w:rsidRPr="00C959C1" w:rsidRDefault="00EE5B90" w:rsidP="00480510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EE5B90" w:rsidRPr="00C959C1" w:rsidRDefault="00601BC4" w:rsidP="00480510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ARTÍ</w:t>
      </w:r>
      <w:r w:rsidR="00EE5B90" w:rsidRPr="00C959C1">
        <w:rPr>
          <w:rFonts w:ascii="Century Gothic" w:hAnsi="Century Gothic"/>
          <w:b/>
          <w:sz w:val="24"/>
          <w:szCs w:val="24"/>
        </w:rPr>
        <w:t>CULO TERCERO</w:t>
      </w:r>
      <w:r>
        <w:rPr>
          <w:rFonts w:ascii="Century Gothic" w:hAnsi="Century Gothic"/>
          <w:b/>
          <w:sz w:val="24"/>
          <w:szCs w:val="24"/>
        </w:rPr>
        <w:t xml:space="preserve">.- </w:t>
      </w:r>
      <w:r w:rsidR="00EE5B90" w:rsidRPr="00C959C1">
        <w:rPr>
          <w:rFonts w:ascii="Century Gothic" w:hAnsi="Century Gothic"/>
          <w:sz w:val="24"/>
          <w:szCs w:val="24"/>
        </w:rPr>
        <w:t>En tanto el Estado de Chihuahua, se encuentra adherido al Sistema Nacional de Coordinación Fiscal, en los términos de los Convenios de Adhesión y Colaboración Administrativa, así como sus anexos, el Municipio no podrá gravar con contribución alguna a la producción, enajenación o consumo de cerveza, salvo modificaciones a la normatividad que lo permiten.</w:t>
      </w:r>
    </w:p>
    <w:p w:rsidR="00EE5B90" w:rsidRDefault="00EE5B90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8501BE" w:rsidRDefault="008501BE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8501BE" w:rsidRPr="00C959C1" w:rsidRDefault="008501BE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EE5B90" w:rsidRPr="00C959C1" w:rsidRDefault="00EE5B90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 xml:space="preserve">Por lo que se refiere a los derechos, quedan es suspenso todos aquellos a que se refiere el artículo 10-A de la Ley de Coordinación </w:t>
      </w:r>
      <w:r w:rsidR="00CB5F24" w:rsidRPr="00C959C1">
        <w:rPr>
          <w:rFonts w:ascii="Century Gothic" w:hAnsi="Century Gothic"/>
          <w:sz w:val="24"/>
          <w:szCs w:val="24"/>
        </w:rPr>
        <w:t>Fiscal Federal</w:t>
      </w:r>
      <w:r w:rsidRPr="00C959C1">
        <w:rPr>
          <w:rFonts w:ascii="Century Gothic" w:hAnsi="Century Gothic"/>
          <w:sz w:val="24"/>
          <w:szCs w:val="24"/>
        </w:rPr>
        <w:t xml:space="preserve">, durante el lapso que el Estado de Chihuahua permanezca </w:t>
      </w:r>
      <w:r w:rsidR="00CB5F24" w:rsidRPr="00C959C1">
        <w:rPr>
          <w:rFonts w:ascii="Century Gothic" w:hAnsi="Century Gothic"/>
          <w:sz w:val="24"/>
          <w:szCs w:val="24"/>
        </w:rPr>
        <w:t>coordinando en esa materia.</w:t>
      </w:r>
    </w:p>
    <w:p w:rsidR="00CB5F24" w:rsidRPr="00C959C1" w:rsidRDefault="00CB5F24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CB5F24" w:rsidRPr="00C959C1" w:rsidRDefault="002E472C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ARTÍCULO CUARTO.-</w:t>
      </w:r>
      <w:r w:rsidR="00601BC4">
        <w:rPr>
          <w:rFonts w:ascii="Century Gothic" w:hAnsi="Century Gothic"/>
          <w:b/>
          <w:sz w:val="24"/>
          <w:szCs w:val="24"/>
        </w:rPr>
        <w:t xml:space="preserve"> </w:t>
      </w:r>
      <w:r w:rsidR="00CB5F24" w:rsidRPr="00C959C1">
        <w:rPr>
          <w:rFonts w:ascii="Century Gothic" w:hAnsi="Century Gothic"/>
          <w:sz w:val="24"/>
          <w:szCs w:val="24"/>
        </w:rPr>
        <w:t>Los contribuyentes o responsables solidarios, que paguen los créditos fiscales que les sean exigibles, deberán cubrir recargos por concepto de mora, a razón de un 2.5% por mes o fracción, hasta por cinco años a partir de la fecha de exigibilidad del crédito adeudado.</w:t>
      </w:r>
    </w:p>
    <w:p w:rsidR="00CB5F24" w:rsidRPr="00C959C1" w:rsidRDefault="00CB5F24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CB5F24" w:rsidRPr="00C959C1" w:rsidRDefault="00CB5F24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Cuando se concedan prórrogas para el pago de créditos fiscales, se causarán un interés del 2% mensual, sobre el monto total de dichos créditos.</w:t>
      </w:r>
    </w:p>
    <w:p w:rsidR="00CB5F24" w:rsidRPr="00C959C1" w:rsidRDefault="00CB5F24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0C0300" w:rsidRPr="00C959C1" w:rsidRDefault="003E38DB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ARTÍCULO QUINTO.-</w:t>
      </w:r>
      <w:r w:rsidR="00601BC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Se</w:t>
      </w:r>
      <w:r w:rsidR="000C0300" w:rsidRPr="00C959C1">
        <w:rPr>
          <w:rFonts w:ascii="Century Gothic" w:hAnsi="Century Gothic"/>
          <w:sz w:val="24"/>
          <w:szCs w:val="24"/>
        </w:rPr>
        <w:t xml:space="preserve"> podrá reducir el importe por el concepto de </w:t>
      </w:r>
      <w:r w:rsidR="00697A0B" w:rsidRPr="00C959C1">
        <w:rPr>
          <w:rFonts w:ascii="Century Gothic" w:hAnsi="Century Gothic"/>
          <w:sz w:val="24"/>
          <w:szCs w:val="24"/>
        </w:rPr>
        <w:t xml:space="preserve">Impuesto Predial </w:t>
      </w:r>
      <w:r w:rsidR="000C0300" w:rsidRPr="00C959C1">
        <w:rPr>
          <w:rFonts w:ascii="Century Gothic" w:hAnsi="Century Gothic"/>
          <w:sz w:val="24"/>
          <w:szCs w:val="24"/>
        </w:rPr>
        <w:t>en un 15%, con efectos generales, en los casos de pago</w:t>
      </w:r>
      <w:r w:rsidR="00697A0B">
        <w:rPr>
          <w:rFonts w:ascii="Century Gothic" w:hAnsi="Century Gothic"/>
          <w:sz w:val="24"/>
          <w:szCs w:val="24"/>
        </w:rPr>
        <w:t xml:space="preserve"> anticipado de todo año, si este</w:t>
      </w:r>
      <w:r w:rsidR="000C0300" w:rsidRPr="00C959C1">
        <w:rPr>
          <w:rFonts w:ascii="Century Gothic" w:hAnsi="Century Gothic"/>
          <w:sz w:val="24"/>
          <w:szCs w:val="24"/>
        </w:rPr>
        <w:t xml:space="preserve"> se efectúa el mes de enero; 10%, en el mes de febrero; y 5%, en el mes de marzo.</w:t>
      </w:r>
    </w:p>
    <w:p w:rsidR="000C0300" w:rsidRPr="00C959C1" w:rsidRDefault="000C0300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0C0300" w:rsidRPr="00C959C1" w:rsidRDefault="000C0300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 xml:space="preserve">Tratándose de pensionados, jubilados, madres solteras y mujeres jefas de familia, estos gozarán de una reducción del 50%, por concepto de </w:t>
      </w:r>
      <w:r w:rsidR="00697A0B" w:rsidRPr="00C959C1">
        <w:rPr>
          <w:rFonts w:ascii="Century Gothic" w:hAnsi="Century Gothic"/>
          <w:sz w:val="24"/>
          <w:szCs w:val="24"/>
        </w:rPr>
        <w:lastRenderedPageBreak/>
        <w:t xml:space="preserve">Impuestos Predial, </w:t>
      </w:r>
      <w:r w:rsidRPr="00C959C1">
        <w:rPr>
          <w:rFonts w:ascii="Century Gothic" w:hAnsi="Century Gothic"/>
          <w:sz w:val="24"/>
          <w:szCs w:val="24"/>
        </w:rPr>
        <w:t>con efectos generales, en los casos de pago anticipado de todo el año, o bien, dentro de</w:t>
      </w:r>
      <w:r w:rsidR="00697A0B">
        <w:rPr>
          <w:rFonts w:ascii="Century Gothic" w:hAnsi="Century Gothic"/>
          <w:sz w:val="24"/>
          <w:szCs w:val="24"/>
        </w:rPr>
        <w:t xml:space="preserve"> </w:t>
      </w:r>
      <w:r w:rsidRPr="00C959C1">
        <w:rPr>
          <w:rFonts w:ascii="Century Gothic" w:hAnsi="Century Gothic"/>
          <w:sz w:val="24"/>
          <w:szCs w:val="24"/>
        </w:rPr>
        <w:t>l</w:t>
      </w:r>
      <w:r w:rsidR="00697A0B">
        <w:rPr>
          <w:rFonts w:ascii="Century Gothic" w:hAnsi="Century Gothic"/>
          <w:sz w:val="24"/>
          <w:szCs w:val="24"/>
        </w:rPr>
        <w:t>os</w:t>
      </w:r>
      <w:r w:rsidRPr="00C959C1">
        <w:rPr>
          <w:rFonts w:ascii="Century Gothic" w:hAnsi="Century Gothic"/>
          <w:sz w:val="24"/>
          <w:szCs w:val="24"/>
        </w:rPr>
        <w:t xml:space="preserve"> </w:t>
      </w:r>
      <w:r w:rsidR="00697A0B">
        <w:rPr>
          <w:rFonts w:ascii="Century Gothic" w:hAnsi="Century Gothic"/>
          <w:sz w:val="24"/>
          <w:szCs w:val="24"/>
        </w:rPr>
        <w:t>bimestres del año, para u</w:t>
      </w:r>
      <w:r w:rsidRPr="00C959C1">
        <w:rPr>
          <w:rFonts w:ascii="Century Gothic" w:hAnsi="Century Gothic"/>
          <w:sz w:val="24"/>
          <w:szCs w:val="24"/>
        </w:rPr>
        <w:t>n solo inmueble,</w:t>
      </w:r>
      <w:r w:rsidR="00697A0B">
        <w:rPr>
          <w:rFonts w:ascii="Century Gothic" w:hAnsi="Century Gothic"/>
          <w:sz w:val="24"/>
          <w:szCs w:val="24"/>
        </w:rPr>
        <w:t xml:space="preserve"> siempre que</w:t>
      </w:r>
      <w:r w:rsidRPr="00C959C1">
        <w:rPr>
          <w:rFonts w:ascii="Century Gothic" w:hAnsi="Century Gothic"/>
          <w:sz w:val="24"/>
          <w:szCs w:val="24"/>
        </w:rPr>
        <w:t xml:space="preserve"> este destinado a vivienda, sea habitado por dichos contribuyentes y la</w:t>
      </w:r>
      <w:r w:rsidR="00601BC4">
        <w:rPr>
          <w:rFonts w:ascii="Century Gothic" w:hAnsi="Century Gothic"/>
          <w:sz w:val="24"/>
          <w:szCs w:val="24"/>
        </w:rPr>
        <w:t xml:space="preserve"> </w:t>
      </w:r>
      <w:r w:rsidRPr="00C959C1">
        <w:rPr>
          <w:rFonts w:ascii="Century Gothic" w:hAnsi="Century Gothic"/>
          <w:sz w:val="24"/>
          <w:szCs w:val="24"/>
        </w:rPr>
        <w:t>propiedad no exceda de un valor catastral de $350,000.00 (trescientos cincuenta mil pesos 00/100 M.N</w:t>
      </w:r>
      <w:r w:rsidR="008501BE">
        <w:rPr>
          <w:rFonts w:ascii="Century Gothic" w:hAnsi="Century Gothic"/>
          <w:sz w:val="24"/>
          <w:szCs w:val="24"/>
        </w:rPr>
        <w:t>.</w:t>
      </w:r>
      <w:r w:rsidRPr="00C959C1">
        <w:rPr>
          <w:rFonts w:ascii="Century Gothic" w:hAnsi="Century Gothic"/>
          <w:sz w:val="24"/>
          <w:szCs w:val="24"/>
        </w:rPr>
        <w:t>).</w:t>
      </w:r>
    </w:p>
    <w:p w:rsidR="000C0300" w:rsidRPr="00C959C1" w:rsidRDefault="000C0300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0C0300" w:rsidRPr="00C959C1" w:rsidRDefault="000C0300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 xml:space="preserve">Este mismo beneficio operará </w:t>
      </w:r>
      <w:r w:rsidR="003510AD" w:rsidRPr="00C959C1">
        <w:rPr>
          <w:rFonts w:ascii="Century Gothic" w:hAnsi="Century Gothic"/>
          <w:sz w:val="24"/>
          <w:szCs w:val="24"/>
        </w:rPr>
        <w:t xml:space="preserve"> a favor de las personas mayores de 65 años de precaria situación económica, siempre y cuando acrediten fehacientemente estas circunstancias ante las autoridades municipales, mediante elementos de convicción idóneos y se encuentra, además, en los siguientes supuestos: sean propietarios de un solo inmueble, este se destine a vivienda, sea habitado por dichos contribuyentes y la propiedad no exceda de un valor catastral de $ 450,000.00 (cuatrocientos  cincuenta mil pesos 00/100 M.N.).</w:t>
      </w:r>
    </w:p>
    <w:p w:rsidR="003510AD" w:rsidRPr="008501BE" w:rsidRDefault="003510AD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32"/>
          <w:szCs w:val="32"/>
        </w:rPr>
      </w:pPr>
    </w:p>
    <w:p w:rsidR="003510AD" w:rsidRPr="00C959C1" w:rsidRDefault="003510AD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ARTÍCULO SEXTO.-</w:t>
      </w:r>
      <w:r w:rsidR="00601BC4">
        <w:rPr>
          <w:rFonts w:ascii="Century Gothic" w:hAnsi="Century Gothic"/>
          <w:b/>
          <w:sz w:val="24"/>
          <w:szCs w:val="24"/>
        </w:rPr>
        <w:t xml:space="preserve"> </w:t>
      </w:r>
      <w:r w:rsidRPr="00C959C1">
        <w:rPr>
          <w:rFonts w:ascii="Century Gothic" w:hAnsi="Century Gothic"/>
          <w:sz w:val="24"/>
          <w:szCs w:val="24"/>
        </w:rPr>
        <w:t>En</w:t>
      </w:r>
      <w:r w:rsidR="00C57121">
        <w:rPr>
          <w:rFonts w:ascii="Century Gothic" w:hAnsi="Century Gothic"/>
          <w:sz w:val="24"/>
          <w:szCs w:val="24"/>
        </w:rPr>
        <w:t xml:space="preserve"> términos </w:t>
      </w:r>
      <w:r w:rsidR="00697A0B">
        <w:rPr>
          <w:rFonts w:ascii="Century Gothic" w:hAnsi="Century Gothic"/>
          <w:sz w:val="24"/>
          <w:szCs w:val="24"/>
        </w:rPr>
        <w:t>d</w:t>
      </w:r>
      <w:r w:rsidRPr="00C959C1">
        <w:rPr>
          <w:rFonts w:ascii="Century Gothic" w:hAnsi="Century Gothic"/>
          <w:sz w:val="24"/>
          <w:szCs w:val="24"/>
        </w:rPr>
        <w:t xml:space="preserve">el Código Fiscal del Estado, tratándose de rezagos, o sea de ingresos que se perciban en años posteriores al en que el crédito </w:t>
      </w:r>
      <w:r w:rsidR="001055D1" w:rsidRPr="00C959C1">
        <w:rPr>
          <w:rFonts w:ascii="Century Gothic" w:hAnsi="Century Gothic"/>
          <w:sz w:val="24"/>
          <w:szCs w:val="24"/>
        </w:rPr>
        <w:t>se haya generado, previo acuerdo del Ayuntamiento, el Presidente Municipal, por conducto del Tesorero, podrá condonarlos o reducirlos cuando lo considere justo y equitativo.</w:t>
      </w:r>
    </w:p>
    <w:p w:rsidR="001055D1" w:rsidRPr="00C959C1" w:rsidRDefault="001055D1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8501BE" w:rsidRDefault="008501BE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501BE" w:rsidRDefault="008501BE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055D1" w:rsidRPr="00C959C1" w:rsidRDefault="001055D1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El acu</w:t>
      </w:r>
      <w:r w:rsidR="00946961" w:rsidRPr="00C959C1">
        <w:rPr>
          <w:rFonts w:ascii="Century Gothic" w:hAnsi="Century Gothic"/>
          <w:sz w:val="24"/>
          <w:szCs w:val="24"/>
        </w:rPr>
        <w:t>e</w:t>
      </w:r>
      <w:r w:rsidRPr="00C959C1">
        <w:rPr>
          <w:rFonts w:ascii="Century Gothic" w:hAnsi="Century Gothic"/>
          <w:sz w:val="24"/>
          <w:szCs w:val="24"/>
        </w:rPr>
        <w:t>rdo en que se autorice esta medida, deberá precisar su aplicación y alcance, así como la región o regiones en cuyo beneficio se dicte, y deberá ser publicado en el periódico Oficial del Estado.</w:t>
      </w:r>
    </w:p>
    <w:p w:rsidR="001055D1" w:rsidRPr="008501BE" w:rsidRDefault="001055D1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8"/>
          <w:szCs w:val="28"/>
        </w:rPr>
      </w:pPr>
    </w:p>
    <w:p w:rsidR="001055D1" w:rsidRPr="00C959C1" w:rsidRDefault="001055D1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t>ARTÍCULO SÉPTIMO.</w:t>
      </w:r>
      <w:r w:rsidR="003E38DB">
        <w:rPr>
          <w:rFonts w:ascii="Century Gothic" w:hAnsi="Century Gothic"/>
          <w:b/>
          <w:sz w:val="24"/>
          <w:szCs w:val="24"/>
        </w:rPr>
        <w:t>-</w:t>
      </w:r>
      <w:r w:rsidR="00601BC4">
        <w:rPr>
          <w:rFonts w:ascii="Century Gothic" w:hAnsi="Century Gothic"/>
          <w:b/>
          <w:sz w:val="24"/>
          <w:szCs w:val="24"/>
        </w:rPr>
        <w:t xml:space="preserve"> </w:t>
      </w:r>
      <w:r w:rsidR="00C57121">
        <w:rPr>
          <w:rFonts w:ascii="Century Gothic" w:hAnsi="Century Gothic"/>
          <w:sz w:val="24"/>
          <w:szCs w:val="24"/>
        </w:rPr>
        <w:t xml:space="preserve">En los términos </w:t>
      </w:r>
      <w:r w:rsidRPr="00C959C1">
        <w:rPr>
          <w:rFonts w:ascii="Century Gothic" w:hAnsi="Century Gothic"/>
          <w:sz w:val="24"/>
          <w:szCs w:val="24"/>
        </w:rPr>
        <w:t xml:space="preserve">del Código </w:t>
      </w:r>
      <w:r w:rsidR="00217C28" w:rsidRPr="00C959C1">
        <w:rPr>
          <w:rFonts w:ascii="Century Gothic" w:hAnsi="Century Gothic"/>
          <w:sz w:val="24"/>
          <w:szCs w:val="24"/>
        </w:rPr>
        <w:t>Fiscal del Estado, se autoriza al presidente Municipal para que, por conducto del Tesorero, pueda condonar o reducir los recargos por concepto de mora.</w:t>
      </w:r>
    </w:p>
    <w:p w:rsidR="00217C28" w:rsidRPr="008501BE" w:rsidRDefault="00217C28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8"/>
          <w:szCs w:val="28"/>
        </w:rPr>
      </w:pPr>
    </w:p>
    <w:p w:rsidR="00217C28" w:rsidRPr="00C959C1" w:rsidRDefault="00217C28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 xml:space="preserve">Asimismo, de conformidad con el artículo 54 de Código Fiscal de Estado, podrá condonar las multas por infracciones a las disposiciones fiscales; </w:t>
      </w:r>
      <w:r w:rsidR="007F206D" w:rsidRPr="00C959C1">
        <w:rPr>
          <w:rFonts w:ascii="Century Gothic" w:hAnsi="Century Gothic"/>
          <w:sz w:val="24"/>
          <w:szCs w:val="24"/>
        </w:rPr>
        <w:t>así como, por razones justificadas, los derechos por servicios que preste el municipio.</w:t>
      </w:r>
    </w:p>
    <w:p w:rsidR="007F206D" w:rsidRPr="008501BE" w:rsidRDefault="007F206D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8"/>
          <w:szCs w:val="28"/>
        </w:rPr>
      </w:pPr>
    </w:p>
    <w:p w:rsidR="007F206D" w:rsidRPr="00C959C1" w:rsidRDefault="007F206D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Las condonaciones anteriores mencionadas solo podrán realizarse de manera particular en cada caso que específicamente le sea planteado a la Tesorería y nunca con efectos generales.</w:t>
      </w:r>
    </w:p>
    <w:p w:rsidR="007F206D" w:rsidRPr="00C959C1" w:rsidRDefault="007F206D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697A0B" w:rsidRPr="009A3BF8" w:rsidRDefault="00697A0B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697A0B" w:rsidRPr="009A3BF8" w:rsidRDefault="00697A0B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697A0B" w:rsidRPr="009A3BF8" w:rsidRDefault="00697A0B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697A0B" w:rsidRPr="009A3BF8" w:rsidRDefault="00697A0B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F206D" w:rsidRPr="009A3BF8" w:rsidRDefault="007F206D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9A3BF8">
        <w:rPr>
          <w:rFonts w:ascii="Century Gothic" w:hAnsi="Century Gothic"/>
          <w:b/>
          <w:sz w:val="28"/>
          <w:szCs w:val="28"/>
        </w:rPr>
        <w:t xml:space="preserve">TRANSITORIOS </w:t>
      </w:r>
    </w:p>
    <w:p w:rsidR="00946961" w:rsidRPr="009A3BF8" w:rsidRDefault="00946961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F206D" w:rsidRDefault="007F206D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1BC4">
        <w:rPr>
          <w:rFonts w:ascii="Century Gothic" w:hAnsi="Century Gothic"/>
          <w:b/>
          <w:sz w:val="28"/>
          <w:szCs w:val="28"/>
        </w:rPr>
        <w:t>ARTÍCULO PRIMERO.</w:t>
      </w:r>
      <w:r w:rsidR="00601BC4">
        <w:rPr>
          <w:rFonts w:ascii="Century Gothic" w:hAnsi="Century Gothic"/>
          <w:b/>
          <w:sz w:val="28"/>
          <w:szCs w:val="28"/>
        </w:rPr>
        <w:t xml:space="preserve">- </w:t>
      </w:r>
      <w:r w:rsidRPr="00C959C1">
        <w:rPr>
          <w:rFonts w:ascii="Century Gothic" w:hAnsi="Century Gothic"/>
          <w:sz w:val="24"/>
          <w:szCs w:val="24"/>
        </w:rPr>
        <w:t>Se autoriza al H. Ayuntamiento del Municipio de Temósachic para que, en su caso, amplíe su presupuesto de egresos en la misma proporción que resulte de los ingresos estimados, obligándose a cumplir con las disposiciones que le sean aplicables.</w:t>
      </w:r>
    </w:p>
    <w:p w:rsidR="002E472C" w:rsidRPr="00C959C1" w:rsidRDefault="002E472C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F206D" w:rsidRDefault="007F206D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1BC4">
        <w:rPr>
          <w:rFonts w:ascii="Century Gothic" w:hAnsi="Century Gothic"/>
          <w:b/>
          <w:sz w:val="28"/>
          <w:szCs w:val="28"/>
        </w:rPr>
        <w:t>ARTÍCULO SEGUNDO.</w:t>
      </w:r>
      <w:r w:rsidR="00601BC4">
        <w:rPr>
          <w:rFonts w:ascii="Century Gothic" w:hAnsi="Century Gothic"/>
          <w:b/>
          <w:sz w:val="28"/>
          <w:szCs w:val="28"/>
        </w:rPr>
        <w:t xml:space="preserve">- </w:t>
      </w:r>
      <w:r w:rsidRPr="00C959C1">
        <w:rPr>
          <w:rFonts w:ascii="Century Gothic" w:hAnsi="Century Gothic"/>
          <w:sz w:val="24"/>
          <w:szCs w:val="24"/>
        </w:rPr>
        <w:t>La presente Ley de ingresos entrara en vigor</w:t>
      </w:r>
      <w:r w:rsidR="004470A3" w:rsidRPr="00C959C1">
        <w:rPr>
          <w:rFonts w:ascii="Century Gothic" w:hAnsi="Century Gothic"/>
          <w:sz w:val="24"/>
          <w:szCs w:val="24"/>
        </w:rPr>
        <w:t xml:space="preserve"> el día primero de</w:t>
      </w:r>
      <w:r w:rsidR="00601BC4">
        <w:rPr>
          <w:rFonts w:ascii="Century Gothic" w:hAnsi="Century Gothic"/>
          <w:sz w:val="24"/>
          <w:szCs w:val="24"/>
        </w:rPr>
        <w:t xml:space="preserve"> </w:t>
      </w:r>
      <w:r w:rsidR="00BA4335" w:rsidRPr="00C959C1">
        <w:rPr>
          <w:rFonts w:ascii="Century Gothic" w:hAnsi="Century Gothic"/>
          <w:sz w:val="24"/>
          <w:szCs w:val="24"/>
        </w:rPr>
        <w:t>enero del año dos mil veinte</w:t>
      </w:r>
      <w:r w:rsidR="004470A3" w:rsidRPr="00C959C1">
        <w:rPr>
          <w:rFonts w:ascii="Century Gothic" w:hAnsi="Century Gothic"/>
          <w:sz w:val="24"/>
          <w:szCs w:val="24"/>
        </w:rPr>
        <w:t>.</w:t>
      </w:r>
    </w:p>
    <w:p w:rsidR="00601BC4" w:rsidRDefault="00601BC4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01BC4" w:rsidRDefault="00601BC4" w:rsidP="00601BC4">
      <w:pPr>
        <w:spacing w:line="336" w:lineRule="auto"/>
        <w:jc w:val="both"/>
        <w:rPr>
          <w:rFonts w:ascii="Century Gothic" w:hAnsi="Century Gothic"/>
          <w:sz w:val="24"/>
          <w:szCs w:val="24"/>
        </w:rPr>
      </w:pPr>
      <w:r w:rsidRPr="004D6655">
        <w:rPr>
          <w:rFonts w:ascii="Century Gothic" w:hAnsi="Century Gothic"/>
          <w:b/>
          <w:sz w:val="28"/>
          <w:szCs w:val="28"/>
        </w:rPr>
        <w:t>D A D O</w:t>
      </w:r>
      <w:r w:rsidRPr="004D6655">
        <w:rPr>
          <w:rFonts w:ascii="Century Gothic" w:hAnsi="Century Gothic"/>
          <w:b/>
          <w:sz w:val="24"/>
          <w:szCs w:val="24"/>
        </w:rPr>
        <w:t xml:space="preserve"> </w:t>
      </w:r>
      <w:r w:rsidRPr="004D665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a los </w:t>
      </w:r>
      <w:r>
        <w:rPr>
          <w:rFonts w:ascii="Century Gothic" w:hAnsi="Century Gothic"/>
          <w:sz w:val="24"/>
          <w:szCs w:val="24"/>
        </w:rPr>
        <w:t>doce</w:t>
      </w:r>
      <w:r w:rsidRPr="004D6655">
        <w:rPr>
          <w:rFonts w:ascii="Century Gothic" w:hAnsi="Century Gothic"/>
          <w:sz w:val="24"/>
          <w:szCs w:val="24"/>
        </w:rPr>
        <w:t xml:space="preserve"> días del mes de diciembre del año dos mil </w:t>
      </w:r>
      <w:r>
        <w:rPr>
          <w:rFonts w:ascii="Century Gothic" w:hAnsi="Century Gothic"/>
          <w:sz w:val="24"/>
          <w:szCs w:val="24"/>
        </w:rPr>
        <w:t>diecinueve</w:t>
      </w:r>
      <w:r w:rsidRPr="004D6655">
        <w:rPr>
          <w:rFonts w:ascii="Century Gothic" w:hAnsi="Century Gothic"/>
          <w:sz w:val="24"/>
          <w:szCs w:val="24"/>
        </w:rPr>
        <w:t>.</w:t>
      </w: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501BE" w:rsidRDefault="008501BE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36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</w:p>
    <w:p w:rsidR="00601BC4" w:rsidRDefault="00601BC4" w:rsidP="00601BC4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DIP. RENÉ FRÍAS BENCOMO</w:t>
      </w:r>
    </w:p>
    <w:p w:rsidR="00601BC4" w:rsidRDefault="00601BC4" w:rsidP="00601BC4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01BC4" w:rsidRDefault="00601BC4" w:rsidP="00601BC4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01BC4" w:rsidTr="00A8676F">
        <w:tc>
          <w:tcPr>
            <w:tcW w:w="4603" w:type="dxa"/>
          </w:tcPr>
          <w:p w:rsidR="00601BC4" w:rsidRDefault="00601BC4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SECRETARIA</w:t>
            </w:r>
          </w:p>
          <w:p w:rsidR="00601BC4" w:rsidRDefault="00601BC4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1BC4" w:rsidRDefault="00601BC4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03" w:type="dxa"/>
            <w:hideMark/>
          </w:tcPr>
          <w:p w:rsidR="00601BC4" w:rsidRDefault="00601BC4" w:rsidP="00A8676F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SECRETARIO</w:t>
            </w:r>
          </w:p>
        </w:tc>
      </w:tr>
      <w:tr w:rsidR="00601BC4" w:rsidTr="00A8676F">
        <w:tc>
          <w:tcPr>
            <w:tcW w:w="4603" w:type="dxa"/>
            <w:hideMark/>
          </w:tcPr>
          <w:p w:rsidR="00601BC4" w:rsidRPr="00DC20EB" w:rsidRDefault="00601BC4" w:rsidP="00A86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C20EB">
              <w:rPr>
                <w:rFonts w:ascii="Century Gothic" w:hAnsi="Century Gothic"/>
                <w:b/>
                <w:sz w:val="24"/>
                <w:szCs w:val="24"/>
              </w:rPr>
              <w:t xml:space="preserve">DIP.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CARMEN ROCÍO GONZÁLEZ ALONSO</w:t>
            </w:r>
          </w:p>
        </w:tc>
        <w:tc>
          <w:tcPr>
            <w:tcW w:w="4603" w:type="dxa"/>
            <w:hideMark/>
          </w:tcPr>
          <w:p w:rsidR="00601BC4" w:rsidRDefault="00601BC4" w:rsidP="00A867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DIP. LORENZO ARTURO PARGA AMADO</w:t>
            </w:r>
          </w:p>
        </w:tc>
      </w:tr>
    </w:tbl>
    <w:p w:rsidR="00601BC4" w:rsidRDefault="00601BC4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14A81" w:rsidRPr="00C959C1" w:rsidRDefault="00B14A81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2E472C" w:rsidRDefault="002E472C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E472C" w:rsidRDefault="002E472C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E472C" w:rsidRDefault="002E472C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E472C" w:rsidRDefault="002E472C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E472C" w:rsidRDefault="002E472C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931CC" w:rsidRPr="00C959C1" w:rsidRDefault="000931CC" w:rsidP="00C959C1">
      <w:pPr>
        <w:tabs>
          <w:tab w:val="left" w:pos="621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959C1">
        <w:rPr>
          <w:rFonts w:ascii="Century Gothic" w:hAnsi="Century Gothic"/>
          <w:b/>
          <w:sz w:val="24"/>
          <w:szCs w:val="24"/>
        </w:rPr>
        <w:lastRenderedPageBreak/>
        <w:t>T A R I F A</w:t>
      </w:r>
    </w:p>
    <w:p w:rsidR="00B14A81" w:rsidRPr="00C959C1" w:rsidRDefault="00B14A81" w:rsidP="00697A0B">
      <w:pPr>
        <w:tabs>
          <w:tab w:val="left" w:pos="621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931CC" w:rsidRPr="00C959C1" w:rsidRDefault="000931CC" w:rsidP="00C959C1">
      <w:pPr>
        <w:tabs>
          <w:tab w:val="left" w:pos="6210"/>
        </w:tabs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959C1">
        <w:rPr>
          <w:rFonts w:ascii="Century Gothic" w:hAnsi="Century Gothic"/>
          <w:sz w:val="24"/>
          <w:szCs w:val="24"/>
        </w:rPr>
        <w:t>De acuerdo a lo dispuesto por el artículo 169 del Código Municipal para el Estado de Chihuahua, previo estudio del proyecto de la Ley de Ingresos presentando por el H. Ayuntamiento de Temósachic, y conforme al artículo 10-A de la Ley de Coordinación Fiscal Federal, y los artículos 2</w:t>
      </w:r>
      <w:r w:rsidR="00EA60C3">
        <w:rPr>
          <w:rFonts w:ascii="Century Gothic" w:hAnsi="Century Gothic"/>
          <w:sz w:val="24"/>
          <w:szCs w:val="24"/>
        </w:rPr>
        <w:t xml:space="preserve"> </w:t>
      </w:r>
      <w:r w:rsidRPr="00C959C1">
        <w:rPr>
          <w:rFonts w:ascii="Century Gothic" w:hAnsi="Century Gothic"/>
          <w:sz w:val="24"/>
          <w:szCs w:val="24"/>
        </w:rPr>
        <w:t>y 4 de la Ley de Coordinación en Materia de Derechos con la Federación, se expide la presente Tarifa que, salvo en los casos que se señale de otra forma, se expresa en pesos</w:t>
      </w:r>
      <w:r w:rsidR="00B34EC4" w:rsidRPr="00C959C1">
        <w:rPr>
          <w:rFonts w:ascii="Century Gothic" w:hAnsi="Century Gothic"/>
          <w:sz w:val="24"/>
          <w:szCs w:val="24"/>
        </w:rPr>
        <w:t>, y que regirá dur</w:t>
      </w:r>
      <w:r w:rsidR="00AA57ED" w:rsidRPr="00C959C1">
        <w:rPr>
          <w:rFonts w:ascii="Century Gothic" w:hAnsi="Century Gothic"/>
          <w:sz w:val="24"/>
          <w:szCs w:val="24"/>
        </w:rPr>
        <w:t>ante el ejercicio fiscal de 2020</w:t>
      </w:r>
      <w:r w:rsidR="00B34EC4" w:rsidRPr="00C959C1">
        <w:rPr>
          <w:rFonts w:ascii="Century Gothic" w:hAnsi="Century Gothic"/>
          <w:sz w:val="24"/>
          <w:szCs w:val="24"/>
        </w:rPr>
        <w:t xml:space="preserve">, para el cobro de derechos que deberán percibir la Hacienda Pública Municipal de </w:t>
      </w:r>
      <w:r w:rsidR="00B34EC4" w:rsidRPr="002E472C">
        <w:rPr>
          <w:rFonts w:ascii="Century Gothic" w:hAnsi="Century Gothic"/>
          <w:b/>
          <w:sz w:val="24"/>
          <w:szCs w:val="24"/>
        </w:rPr>
        <w:t>Temósachic.</w:t>
      </w:r>
    </w:p>
    <w:p w:rsidR="00B34EC4" w:rsidRPr="00C959C1" w:rsidRDefault="00B34EC4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8764" w:type="dxa"/>
        <w:tblInd w:w="108" w:type="dxa"/>
        <w:tblLook w:val="04A0" w:firstRow="1" w:lastRow="0" w:firstColumn="1" w:lastColumn="0" w:noHBand="0" w:noVBand="1"/>
      </w:tblPr>
      <w:tblGrid>
        <w:gridCol w:w="7258"/>
        <w:gridCol w:w="37"/>
        <w:gridCol w:w="1469"/>
      </w:tblGrid>
      <w:tr w:rsidR="00B34EC4" w:rsidRPr="00C959C1" w:rsidTr="00697A0B">
        <w:trPr>
          <w:trHeight w:val="279"/>
        </w:trPr>
        <w:tc>
          <w:tcPr>
            <w:tcW w:w="7295" w:type="dxa"/>
            <w:gridSpan w:val="2"/>
          </w:tcPr>
          <w:p w:rsidR="00B34EC4" w:rsidRPr="00C959C1" w:rsidRDefault="00B34EC4" w:rsidP="002E472C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II.- DERECHOS</w:t>
            </w:r>
          </w:p>
        </w:tc>
        <w:tc>
          <w:tcPr>
            <w:tcW w:w="1469" w:type="dxa"/>
          </w:tcPr>
          <w:p w:rsidR="00B34EC4" w:rsidRPr="00C959C1" w:rsidRDefault="00BA4335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2020</w:t>
            </w:r>
          </w:p>
        </w:tc>
      </w:tr>
      <w:tr w:rsidR="00B34EC4" w:rsidRPr="00C959C1" w:rsidTr="00697A0B">
        <w:trPr>
          <w:trHeight w:val="294"/>
        </w:trPr>
        <w:tc>
          <w:tcPr>
            <w:tcW w:w="7295" w:type="dxa"/>
            <w:gridSpan w:val="2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 xml:space="preserve">II.1.- Servicios generales en los rastros </w:t>
            </w:r>
          </w:p>
        </w:tc>
        <w:tc>
          <w:tcPr>
            <w:tcW w:w="1469" w:type="dxa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34EC4" w:rsidRPr="00C959C1" w:rsidTr="00697A0B">
        <w:trPr>
          <w:trHeight w:val="559"/>
        </w:trPr>
        <w:tc>
          <w:tcPr>
            <w:tcW w:w="7295" w:type="dxa"/>
            <w:gridSpan w:val="2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1.- Matanza (cuando el sacrificio se realice en el rastro municipal) por cabeza</w:t>
            </w:r>
          </w:p>
        </w:tc>
        <w:tc>
          <w:tcPr>
            <w:tcW w:w="1469" w:type="dxa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$100.00</w:t>
            </w:r>
          </w:p>
        </w:tc>
      </w:tr>
      <w:tr w:rsidR="00B34EC4" w:rsidRPr="00C959C1" w:rsidTr="00697A0B">
        <w:trPr>
          <w:trHeight w:val="294"/>
        </w:trPr>
        <w:tc>
          <w:tcPr>
            <w:tcW w:w="7295" w:type="dxa"/>
            <w:gridSpan w:val="2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2.- Cuando se realice fuera del rastro municipal</w:t>
            </w:r>
          </w:p>
        </w:tc>
        <w:tc>
          <w:tcPr>
            <w:tcW w:w="1469" w:type="dxa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$35.00</w:t>
            </w:r>
          </w:p>
        </w:tc>
      </w:tr>
      <w:tr w:rsidR="00B34EC4" w:rsidRPr="00C959C1" w:rsidTr="00697A0B">
        <w:trPr>
          <w:trHeight w:val="893"/>
        </w:trPr>
        <w:tc>
          <w:tcPr>
            <w:tcW w:w="7295" w:type="dxa"/>
            <w:gridSpan w:val="2"/>
          </w:tcPr>
          <w:p w:rsidR="00B34EC4" w:rsidRPr="00C959C1" w:rsidRDefault="00B34EC4" w:rsidP="00786B94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3.- </w:t>
            </w:r>
            <w:r w:rsidR="00697A0B">
              <w:rPr>
                <w:rFonts w:ascii="Century Gothic" w:hAnsi="Century Gothic"/>
                <w:sz w:val="24"/>
                <w:szCs w:val="24"/>
              </w:rPr>
              <w:t xml:space="preserve">Certificación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de fact</w:t>
            </w:r>
            <w:r w:rsidR="00786B94">
              <w:rPr>
                <w:rFonts w:ascii="Century Gothic" w:hAnsi="Century Gothic"/>
                <w:sz w:val="24"/>
                <w:szCs w:val="24"/>
              </w:rPr>
              <w:t>uras, marcas, fierros y señales, p</w:t>
            </w:r>
            <w:r w:rsidRPr="00C959C1">
              <w:rPr>
                <w:rFonts w:ascii="Century Gothic" w:hAnsi="Century Gothic"/>
                <w:sz w:val="24"/>
                <w:szCs w:val="24"/>
              </w:rPr>
              <w:t>or cabeza.</w:t>
            </w:r>
          </w:p>
        </w:tc>
        <w:tc>
          <w:tcPr>
            <w:tcW w:w="1469" w:type="dxa"/>
          </w:tcPr>
          <w:p w:rsidR="00B34EC4" w:rsidRPr="00C959C1" w:rsidRDefault="00B34EC4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$25.00</w:t>
            </w:r>
          </w:p>
        </w:tc>
      </w:tr>
      <w:tr w:rsidR="003B5EB2" w:rsidRPr="00C959C1" w:rsidTr="00697A0B">
        <w:tc>
          <w:tcPr>
            <w:tcW w:w="7295" w:type="dxa"/>
            <w:gridSpan w:val="2"/>
          </w:tcPr>
          <w:p w:rsidR="003B5EB2" w:rsidRPr="00C959C1" w:rsidRDefault="003B5EB2" w:rsidP="008501BE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4.- Revisión de facturas, marcas, fierros y señales para expedición de pases de ganado destinado a repasto, por cabeza.</w:t>
            </w:r>
          </w:p>
        </w:tc>
        <w:tc>
          <w:tcPr>
            <w:tcW w:w="1469" w:type="dxa"/>
          </w:tcPr>
          <w:p w:rsidR="003B5EB2" w:rsidRPr="00C959C1" w:rsidRDefault="008A15C6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3B5EB2" w:rsidRPr="00C959C1">
              <w:rPr>
                <w:rFonts w:ascii="Century Gothic" w:hAnsi="Century Gothic"/>
                <w:sz w:val="24"/>
                <w:szCs w:val="24"/>
              </w:rPr>
              <w:t>xento</w:t>
            </w:r>
          </w:p>
        </w:tc>
      </w:tr>
      <w:tr w:rsidR="003B5EB2" w:rsidRPr="00C959C1" w:rsidTr="00697A0B">
        <w:tc>
          <w:tcPr>
            <w:tcW w:w="7295" w:type="dxa"/>
            <w:gridSpan w:val="2"/>
          </w:tcPr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lastRenderedPageBreak/>
              <w:t>5.- Certificado de legalización de pieles de ganado por pieza</w:t>
            </w:r>
          </w:p>
        </w:tc>
        <w:tc>
          <w:tcPr>
            <w:tcW w:w="1469" w:type="dxa"/>
          </w:tcPr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3B5EB2" w:rsidRPr="00C959C1" w:rsidTr="00697A0B">
        <w:tc>
          <w:tcPr>
            <w:tcW w:w="7295" w:type="dxa"/>
            <w:gridSpan w:val="2"/>
          </w:tcPr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6.-</w:t>
            </w:r>
            <w:r w:rsidR="00786B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Expedición de pases de movilización de ganado 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El pase de ganado tendrá la misma tarifa en todo el territorio estatal, sin perjuicio de que la autoridad expedidora exente del pago, y será la siguiente: 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 xml:space="preserve">       Concepto</w:t>
            </w:r>
            <w:r w:rsidR="00EA60C3">
              <w:rPr>
                <w:rFonts w:ascii="Century Gothic" w:hAnsi="Century Gothic"/>
                <w:b/>
                <w:sz w:val="24"/>
                <w:szCs w:val="24"/>
              </w:rPr>
              <w:t xml:space="preserve">       </w:t>
            </w:r>
            <w:r w:rsidRPr="00C959C1">
              <w:rPr>
                <w:rFonts w:ascii="Century Gothic" w:hAnsi="Century Gothic"/>
                <w:b/>
                <w:sz w:val="24"/>
                <w:szCs w:val="24"/>
              </w:rPr>
              <w:t>No. De cabezas</w:t>
            </w:r>
            <w:r w:rsidR="00EA60C3"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r w:rsidRPr="00C959C1">
              <w:rPr>
                <w:rFonts w:ascii="Century Gothic" w:hAnsi="Century Gothic"/>
                <w:b/>
                <w:sz w:val="24"/>
                <w:szCs w:val="24"/>
              </w:rPr>
              <w:t>Importe por pase</w:t>
            </w:r>
          </w:p>
        </w:tc>
        <w:tc>
          <w:tcPr>
            <w:tcW w:w="1469" w:type="dxa"/>
          </w:tcPr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B5EB2" w:rsidRPr="00C959C1" w:rsidTr="00697A0B">
        <w:trPr>
          <w:trHeight w:val="4531"/>
        </w:trPr>
        <w:tc>
          <w:tcPr>
            <w:tcW w:w="7295" w:type="dxa"/>
            <w:gridSpan w:val="2"/>
          </w:tcPr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 xml:space="preserve">Ganado mayor:    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Pastoreo               </w:t>
            </w:r>
            <w:r w:rsidR="00EA60C3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1 a 10                       </w:t>
            </w:r>
            <w:r w:rsidR="00EA60C3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60C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$20.00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11 a 50                        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$50.00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51 a 100                      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$80.00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101 en delante             $150.00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Movilización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 a10                       </w:t>
            </w:r>
            <w:r w:rsidR="00DF092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F0928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 $30.00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11 a 50                 </w:t>
            </w:r>
            <w:r w:rsidR="00DF0928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F0928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  $50.00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51 a 100                   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$80.00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101 en delante               </w:t>
            </w:r>
            <w:r w:rsidR="003B500E" w:rsidRPr="00C959C1">
              <w:rPr>
                <w:rFonts w:ascii="Century Gothic" w:hAnsi="Century Gothic"/>
                <w:sz w:val="24"/>
                <w:szCs w:val="24"/>
              </w:rPr>
              <w:t>$</w:t>
            </w:r>
            <w:r w:rsidR="008A15C6">
              <w:rPr>
                <w:rFonts w:ascii="Century Gothic" w:hAnsi="Century Gothic"/>
                <w:sz w:val="24"/>
                <w:szCs w:val="24"/>
              </w:rPr>
              <w:t>1</w:t>
            </w:r>
            <w:r w:rsidRPr="00C959C1">
              <w:rPr>
                <w:rFonts w:ascii="Century Gothic" w:hAnsi="Century Gothic"/>
                <w:sz w:val="24"/>
                <w:szCs w:val="24"/>
              </w:rPr>
              <w:t>50.00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3B5EB2" w:rsidRPr="00C959C1" w:rsidRDefault="008A15C6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736320" w:rsidRPr="00C959C1">
              <w:rPr>
                <w:rFonts w:ascii="Century Gothic" w:hAnsi="Century Gothic"/>
                <w:sz w:val="24"/>
                <w:szCs w:val="24"/>
              </w:rPr>
              <w:t>acrificio</w:t>
            </w:r>
            <w:r w:rsidR="003B5EB2" w:rsidRPr="00C959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F0928">
              <w:rPr>
                <w:rFonts w:ascii="Century Gothic" w:hAnsi="Century Gothic"/>
                <w:sz w:val="24"/>
                <w:szCs w:val="24"/>
              </w:rPr>
              <w:t xml:space="preserve">                  </w:t>
            </w:r>
            <w:r w:rsidR="003B5EB2" w:rsidRPr="00C959C1">
              <w:rPr>
                <w:rFonts w:ascii="Century Gothic" w:hAnsi="Century Gothic"/>
                <w:sz w:val="24"/>
                <w:szCs w:val="24"/>
              </w:rPr>
              <w:t xml:space="preserve">  1 a 10                         </w:t>
            </w:r>
            <w:r w:rsidR="00850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B5EB2" w:rsidRPr="00C959C1">
              <w:rPr>
                <w:rFonts w:ascii="Century Gothic" w:hAnsi="Century Gothic"/>
                <w:sz w:val="24"/>
                <w:szCs w:val="24"/>
              </w:rPr>
              <w:t xml:space="preserve">     $50.00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                                   11 a 50                            $100.00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 51 a 100                          $200.00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 101 en delante           </w:t>
            </w:r>
            <w:r w:rsidR="00786B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  $500.00</w:t>
            </w: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Exportación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 a10                               $100.00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11 a 50                            $300.00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51 a 100                          $500.00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101 en delante           $1,000.00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Ganado Menor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Cría                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1 a 10                              $10.00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11 a 50                            $20.00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51 a 100                          $50.00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101 en delante            $100.00    Movilización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 a 10                             $10.00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11 a 50                           $20.00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51 a 100                         $50.00 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101 en delante            $100.00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Sacrificio                  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                                  1 a 10                             $30.00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11 a 50                           $50.00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51 a 100                         $80.00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 101 en delante            $150.00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Exportación       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1 a 10                              $50.00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11 a 50                            $80.00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51 a 100                         $120.00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                               101 en delante             $200.00</w:t>
            </w:r>
          </w:p>
          <w:p w:rsidR="004C2AF2" w:rsidRPr="00C959C1" w:rsidRDefault="004C2AF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9" w:type="dxa"/>
          </w:tcPr>
          <w:p w:rsidR="003B5EB2" w:rsidRPr="00C959C1" w:rsidRDefault="003B5EB2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II.2.- Legalización de firmas, certificación y expedición de documentos municipales.</w:t>
            </w:r>
          </w:p>
        </w:tc>
        <w:tc>
          <w:tcPr>
            <w:tcW w:w="1506" w:type="dxa"/>
            <w:gridSpan w:val="2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1.- Actas </w:t>
            </w:r>
          </w:p>
        </w:tc>
        <w:tc>
          <w:tcPr>
            <w:tcW w:w="1506" w:type="dxa"/>
            <w:gridSpan w:val="2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$90.00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6417D5" w:rsidP="00786B94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2.-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Actas de nacimiento</w:t>
            </w:r>
            <w:r w:rsidR="00786B94">
              <w:rPr>
                <w:rFonts w:ascii="Century Gothic" w:hAnsi="Century Gothic"/>
                <w:sz w:val="24"/>
                <w:szCs w:val="24"/>
              </w:rPr>
              <w:t xml:space="preserve"> segundas y ulteriores; y para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fines escolares</w:t>
            </w:r>
            <w:r w:rsidR="00786B94">
              <w:rPr>
                <w:rFonts w:ascii="Century Gothic" w:hAnsi="Century Gothic"/>
                <w:sz w:val="24"/>
                <w:szCs w:val="24"/>
              </w:rPr>
              <w:t>.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$45.00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3.- Cartas de inexistencia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$65.00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A6738A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  <w:r w:rsidR="006417D5" w:rsidRPr="00C959C1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417D5" w:rsidRPr="00C959C1">
              <w:rPr>
                <w:rFonts w:ascii="Century Gothic" w:hAnsi="Century Gothic"/>
                <w:sz w:val="24"/>
                <w:szCs w:val="24"/>
              </w:rPr>
              <w:t>Cartas de buena conducta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$35.00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5.- Asentamientos de matrimonio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$398.00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6417D5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6.-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E5961" w:rsidRPr="00C959C1">
              <w:rPr>
                <w:rFonts w:ascii="Century Gothic" w:hAnsi="Century Gothic"/>
                <w:sz w:val="24"/>
                <w:szCs w:val="24"/>
              </w:rPr>
              <w:t>Asentamientos de divorcio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$398.00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lastRenderedPageBreak/>
              <w:t>7.-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Registro extemporáneo de nacimiento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8.-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Otro documento oficiales (solicitud de licencia)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9.-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Constancias de productor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$20.00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10.-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Cartas de residencia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$20.00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11.- Avalúo catastral</w:t>
            </w:r>
          </w:p>
        </w:tc>
        <w:tc>
          <w:tcPr>
            <w:tcW w:w="1506" w:type="dxa"/>
            <w:gridSpan w:val="2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$150.00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12.- Cartas de no antecedentes policiacos</w:t>
            </w:r>
          </w:p>
        </w:tc>
        <w:tc>
          <w:tcPr>
            <w:tcW w:w="1506" w:type="dxa"/>
            <w:gridSpan w:val="2"/>
          </w:tcPr>
          <w:p w:rsidR="006417D5" w:rsidRPr="00C959C1" w:rsidRDefault="00D20A97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$50.00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13.- Constancia de catastro</w:t>
            </w:r>
          </w:p>
        </w:tc>
        <w:tc>
          <w:tcPr>
            <w:tcW w:w="1506" w:type="dxa"/>
            <w:gridSpan w:val="2"/>
          </w:tcPr>
          <w:p w:rsidR="006417D5" w:rsidRPr="00C959C1" w:rsidRDefault="00D20A97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$40.00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14.- Denuncia de lote municipal (por metro cuadrado)</w:t>
            </w:r>
          </w:p>
        </w:tc>
        <w:tc>
          <w:tcPr>
            <w:tcW w:w="1506" w:type="dxa"/>
            <w:gridSpan w:val="2"/>
          </w:tcPr>
          <w:p w:rsidR="006417D5" w:rsidRPr="00C959C1" w:rsidRDefault="00D20A97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$1.50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9E5961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15.-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Cartas varias, servicios de fax</w:t>
            </w:r>
          </w:p>
        </w:tc>
        <w:tc>
          <w:tcPr>
            <w:tcW w:w="1506" w:type="dxa"/>
            <w:gridSpan w:val="2"/>
          </w:tcPr>
          <w:p w:rsidR="006417D5" w:rsidRPr="00C959C1" w:rsidRDefault="00D20A97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$20.00</w:t>
            </w:r>
          </w:p>
        </w:tc>
      </w:tr>
      <w:tr w:rsidR="006417D5" w:rsidRPr="00C959C1" w:rsidTr="00697A0B">
        <w:tc>
          <w:tcPr>
            <w:tcW w:w="7258" w:type="dxa"/>
          </w:tcPr>
          <w:p w:rsidR="006417D5" w:rsidRPr="00C959C1" w:rsidRDefault="00A6738A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16.- </w:t>
            </w:r>
            <w:r w:rsidR="009E5961" w:rsidRPr="00C959C1">
              <w:rPr>
                <w:rFonts w:ascii="Century Gothic" w:hAnsi="Century Gothic"/>
                <w:sz w:val="24"/>
                <w:szCs w:val="24"/>
              </w:rPr>
              <w:t xml:space="preserve">Inscripción de documentos extranjero en acta de nacimiento </w:t>
            </w:r>
          </w:p>
        </w:tc>
        <w:tc>
          <w:tcPr>
            <w:tcW w:w="1506" w:type="dxa"/>
            <w:gridSpan w:val="2"/>
          </w:tcPr>
          <w:p w:rsidR="006417D5" w:rsidRPr="00C959C1" w:rsidRDefault="00D20A97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$491.00</w:t>
            </w:r>
          </w:p>
        </w:tc>
      </w:tr>
      <w:tr w:rsidR="00736320" w:rsidRPr="00C959C1" w:rsidTr="00697A0B">
        <w:tc>
          <w:tcPr>
            <w:tcW w:w="7258" w:type="dxa"/>
          </w:tcPr>
          <w:p w:rsidR="008501BE" w:rsidRDefault="008501BE" w:rsidP="00786B94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6320" w:rsidRPr="00C959C1" w:rsidRDefault="00736320" w:rsidP="00786B94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II.3.-</w:t>
            </w:r>
            <w:r w:rsidR="00A6738A">
              <w:rPr>
                <w:rFonts w:ascii="Century Gothic" w:hAnsi="Century Gothic"/>
                <w:b/>
                <w:sz w:val="24"/>
                <w:szCs w:val="24"/>
              </w:rPr>
              <w:t xml:space="preserve"> Cemente</w:t>
            </w:r>
            <w:r w:rsidRPr="00C959C1">
              <w:rPr>
                <w:rFonts w:ascii="Century Gothic" w:hAnsi="Century Gothic"/>
                <w:b/>
                <w:sz w:val="24"/>
                <w:szCs w:val="24"/>
              </w:rPr>
              <w:t xml:space="preserve">rios municipales </w:t>
            </w:r>
          </w:p>
        </w:tc>
        <w:tc>
          <w:tcPr>
            <w:tcW w:w="1506" w:type="dxa"/>
            <w:gridSpan w:val="2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6320" w:rsidRPr="00C959C1" w:rsidTr="00697A0B">
        <w:tc>
          <w:tcPr>
            <w:tcW w:w="7258" w:type="dxa"/>
          </w:tcPr>
          <w:p w:rsidR="00736320" w:rsidRPr="00C959C1" w:rsidRDefault="00736320" w:rsidP="00786B94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Apertura de fosa</w:t>
            </w:r>
            <w:r w:rsidR="00786B9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por la presidencia municipal</w:t>
            </w:r>
            <w:r w:rsidR="00786B9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en la cabecera municipal </w:t>
            </w:r>
          </w:p>
        </w:tc>
        <w:tc>
          <w:tcPr>
            <w:tcW w:w="1506" w:type="dxa"/>
            <w:gridSpan w:val="2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  $115.00</w:t>
            </w:r>
          </w:p>
        </w:tc>
      </w:tr>
      <w:tr w:rsidR="00736320" w:rsidRPr="00C959C1" w:rsidTr="00697A0B">
        <w:tc>
          <w:tcPr>
            <w:tcW w:w="7258" w:type="dxa"/>
          </w:tcPr>
          <w:p w:rsidR="008501BE" w:rsidRPr="008501BE" w:rsidRDefault="008501BE" w:rsidP="00A6738A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36320" w:rsidRPr="00C959C1" w:rsidRDefault="00736320" w:rsidP="00A6738A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II.4.-</w:t>
            </w:r>
            <w:r w:rsidR="00A6738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b/>
                <w:sz w:val="24"/>
                <w:szCs w:val="24"/>
              </w:rPr>
              <w:t xml:space="preserve">Ocupación de la vía pública por vendedores ambulantes </w:t>
            </w:r>
          </w:p>
        </w:tc>
        <w:tc>
          <w:tcPr>
            <w:tcW w:w="1506" w:type="dxa"/>
            <w:gridSpan w:val="2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6320" w:rsidRPr="00C959C1" w:rsidTr="00697A0B">
        <w:tc>
          <w:tcPr>
            <w:tcW w:w="7258" w:type="dxa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1.- Ambulantes con puestos semifijos por día</w:t>
            </w:r>
          </w:p>
        </w:tc>
        <w:tc>
          <w:tcPr>
            <w:tcW w:w="1506" w:type="dxa"/>
            <w:gridSpan w:val="2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$28.00</w:t>
            </w:r>
          </w:p>
        </w:tc>
      </w:tr>
      <w:tr w:rsidR="00736320" w:rsidRPr="00C959C1" w:rsidTr="00697A0B">
        <w:tc>
          <w:tcPr>
            <w:tcW w:w="7258" w:type="dxa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2.- Ambulantes con puestos semifijos en fiestas patronales (POR METRO CUADRADO OCUP</w:t>
            </w:r>
            <w:r w:rsidR="0068595C" w:rsidRPr="00C959C1">
              <w:rPr>
                <w:rFonts w:ascii="Century Gothic" w:hAnsi="Century Gothic"/>
                <w:sz w:val="24"/>
                <w:szCs w:val="24"/>
              </w:rPr>
              <w:t>A</w:t>
            </w:r>
            <w:r w:rsidRPr="00C959C1">
              <w:rPr>
                <w:rFonts w:ascii="Century Gothic" w:hAnsi="Century Gothic"/>
                <w:sz w:val="24"/>
                <w:szCs w:val="24"/>
              </w:rPr>
              <w:t>DO)</w:t>
            </w:r>
          </w:p>
        </w:tc>
        <w:tc>
          <w:tcPr>
            <w:tcW w:w="1506" w:type="dxa"/>
            <w:gridSpan w:val="2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 $40.00</w:t>
            </w:r>
          </w:p>
        </w:tc>
      </w:tr>
      <w:tr w:rsidR="00736320" w:rsidRPr="00C959C1" w:rsidTr="00697A0B">
        <w:tc>
          <w:tcPr>
            <w:tcW w:w="7258" w:type="dxa"/>
          </w:tcPr>
          <w:p w:rsidR="008501BE" w:rsidRDefault="008501BE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II.5.- Alumbrado público</w:t>
            </w:r>
          </w:p>
        </w:tc>
        <w:tc>
          <w:tcPr>
            <w:tcW w:w="1506" w:type="dxa"/>
            <w:gridSpan w:val="2"/>
          </w:tcPr>
          <w:p w:rsidR="00736320" w:rsidRDefault="00736320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501BE" w:rsidRPr="00C959C1" w:rsidRDefault="008501BE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6320" w:rsidRPr="00C959C1" w:rsidTr="00697A0B">
        <w:tc>
          <w:tcPr>
            <w:tcW w:w="7258" w:type="dxa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1.- E</w:t>
            </w:r>
            <w:r w:rsidR="00786B94">
              <w:rPr>
                <w:rFonts w:ascii="Century Gothic" w:hAnsi="Century Gothic"/>
                <w:sz w:val="24"/>
                <w:szCs w:val="24"/>
              </w:rPr>
              <w:t>l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 Municipio percibirá ingresos mensual o bimestralmente por Derechos de Alumbrado Público (DAP), en los términos de los artículos 175 y 176 de Código Municipal para el Estado de Chihuahua, en los términos del convenio que se celebre en la Comisión Federal de Electricidad de conformidad con lo siguiente:</w:t>
            </w:r>
          </w:p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pStyle w:val="Prrafodelista"/>
              <w:numPr>
                <w:ilvl w:val="1"/>
                <w:numId w:val="2"/>
              </w:num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TARIFA 1 Domestico de bajo consumo (bimestral)</w:t>
            </w:r>
          </w:p>
          <w:p w:rsidR="00736320" w:rsidRPr="00C959C1" w:rsidRDefault="00736320" w:rsidP="00C959C1">
            <w:pPr>
              <w:pStyle w:val="Prrafodelista"/>
              <w:numPr>
                <w:ilvl w:val="1"/>
                <w:numId w:val="2"/>
              </w:num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Tarifa DAC Domestico de alto consumo (bimestral)</w:t>
            </w:r>
          </w:p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736320" w:rsidRPr="00C959C1" w:rsidRDefault="00736320" w:rsidP="00C959C1">
            <w:pPr>
              <w:tabs>
                <w:tab w:val="left" w:pos="6210"/>
              </w:tabs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36320" w:rsidRPr="00C959C1" w:rsidRDefault="00736320" w:rsidP="00C959C1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 xml:space="preserve"> $20.00</w:t>
            </w:r>
          </w:p>
          <w:p w:rsidR="00736320" w:rsidRPr="00C959C1" w:rsidRDefault="00BF7267" w:rsidP="00C959C1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$ 120.00</w:t>
            </w:r>
          </w:p>
          <w:p w:rsidR="00736320" w:rsidRPr="00C959C1" w:rsidRDefault="00736320" w:rsidP="00C959C1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D31898" w:rsidP="00A6738A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2.-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Para el caso de los terrenos balidos, predios rústicos, urbanos y semiurbanos y/o de uso, que son usuarios </w:t>
            </w:r>
            <w:r w:rsidR="00DE1411" w:rsidRPr="00C959C1">
              <w:rPr>
                <w:rFonts w:ascii="Century Gothic" w:hAnsi="Century Gothic"/>
                <w:sz w:val="24"/>
                <w:szCs w:val="24"/>
              </w:rPr>
              <w:t>de la comisión Federal de Electricidad, se establece una cuota DAP mensual o bimestral, misma que deberá liquidarse al vencimiento del periodo correspondiente a juicio del contribuyente, en las oficinas de la Tesorería Municipal. (bimestral)</w:t>
            </w:r>
          </w:p>
        </w:tc>
        <w:tc>
          <w:tcPr>
            <w:tcW w:w="1506" w:type="dxa"/>
            <w:gridSpan w:val="2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t>II.6.-</w:t>
            </w:r>
            <w:r w:rsidR="00A6738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b/>
                <w:sz w:val="24"/>
                <w:szCs w:val="24"/>
              </w:rPr>
              <w:t xml:space="preserve">Servicio de Agua y Drenaje </w:t>
            </w:r>
          </w:p>
        </w:tc>
        <w:tc>
          <w:tcPr>
            <w:tcW w:w="1506" w:type="dxa"/>
            <w:gridSpan w:val="2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Servicio de agua y drenaje (mensual)</w:t>
            </w:r>
          </w:p>
        </w:tc>
        <w:tc>
          <w:tcPr>
            <w:tcW w:w="1506" w:type="dxa"/>
            <w:gridSpan w:val="2"/>
          </w:tcPr>
          <w:p w:rsidR="00DE1411" w:rsidRPr="00C959C1" w:rsidRDefault="00F40EF3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</w:t>
            </w:r>
            <w:r w:rsidR="00DD1A9A" w:rsidRPr="00C959C1">
              <w:rPr>
                <w:rFonts w:ascii="Century Gothic" w:hAnsi="Century Gothic"/>
                <w:sz w:val="24"/>
                <w:szCs w:val="24"/>
              </w:rPr>
              <w:t>35</w:t>
            </w:r>
            <w:r w:rsidRPr="00C959C1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2.- Contratos de agua potable</w:t>
            </w:r>
          </w:p>
        </w:tc>
        <w:tc>
          <w:tcPr>
            <w:tcW w:w="1506" w:type="dxa"/>
            <w:gridSpan w:val="2"/>
          </w:tcPr>
          <w:p w:rsidR="00DE1411" w:rsidRPr="00C959C1" w:rsidRDefault="00DD1A9A" w:rsidP="00786B94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$300.00</w:t>
            </w: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59C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II.7.-</w:t>
            </w:r>
            <w:r w:rsidR="00A6738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b/>
                <w:sz w:val="24"/>
                <w:szCs w:val="24"/>
              </w:rPr>
              <w:t>Licencias de construcción.</w:t>
            </w:r>
          </w:p>
        </w:tc>
        <w:tc>
          <w:tcPr>
            <w:tcW w:w="1506" w:type="dxa"/>
            <w:gridSpan w:val="2"/>
          </w:tcPr>
          <w:p w:rsidR="00DE1411" w:rsidRPr="00C959C1" w:rsidRDefault="00DE1411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DE1411" w:rsidP="00A6738A">
            <w:pPr>
              <w:tabs>
                <w:tab w:val="left" w:pos="6210"/>
              </w:tabs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1.-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 xml:space="preserve">Aperturas de zanjas en cualquier parte del área  municipal, hasta un metro de ancho (la reposición será </w:t>
            </w:r>
            <w:r w:rsidR="00F40EF3" w:rsidRPr="00C959C1">
              <w:rPr>
                <w:rFonts w:ascii="Century Gothic" w:hAnsi="Century Gothic"/>
                <w:sz w:val="24"/>
                <w:szCs w:val="24"/>
              </w:rPr>
              <w:t>por cuenta del interesado, quien deberá pagar el costo en el momento de la expedición de la autorización correspondiente)</w:t>
            </w:r>
          </w:p>
        </w:tc>
        <w:tc>
          <w:tcPr>
            <w:tcW w:w="1506" w:type="dxa"/>
            <w:gridSpan w:val="2"/>
          </w:tcPr>
          <w:p w:rsidR="00DE1411" w:rsidRPr="00C959C1" w:rsidRDefault="00F40EF3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$30.00</w:t>
            </w: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F40EF3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2.- De asfalto por medio metro cuadrado</w:t>
            </w:r>
          </w:p>
        </w:tc>
        <w:tc>
          <w:tcPr>
            <w:tcW w:w="1506" w:type="dxa"/>
            <w:gridSpan w:val="2"/>
          </w:tcPr>
          <w:p w:rsidR="00DE1411" w:rsidRPr="00C959C1" w:rsidRDefault="00F40EF3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$230.00</w:t>
            </w:r>
          </w:p>
        </w:tc>
      </w:tr>
      <w:tr w:rsidR="00DE1411" w:rsidRPr="00C959C1" w:rsidTr="00697A0B">
        <w:tc>
          <w:tcPr>
            <w:tcW w:w="7258" w:type="dxa"/>
          </w:tcPr>
          <w:p w:rsidR="00DE1411" w:rsidRPr="00C959C1" w:rsidRDefault="00F40EF3" w:rsidP="00C959C1">
            <w:pPr>
              <w:tabs>
                <w:tab w:val="left" w:pos="6210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3.-</w:t>
            </w:r>
            <w:r w:rsidR="00A6738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959C1">
              <w:rPr>
                <w:rFonts w:ascii="Century Gothic" w:hAnsi="Century Gothic"/>
                <w:sz w:val="24"/>
                <w:szCs w:val="24"/>
              </w:rPr>
              <w:t>De concreto por metro cuadrado</w:t>
            </w:r>
          </w:p>
        </w:tc>
        <w:tc>
          <w:tcPr>
            <w:tcW w:w="1506" w:type="dxa"/>
            <w:gridSpan w:val="2"/>
          </w:tcPr>
          <w:p w:rsidR="00DE1411" w:rsidRPr="00C959C1" w:rsidRDefault="00F40EF3" w:rsidP="00C959C1">
            <w:pPr>
              <w:tabs>
                <w:tab w:val="left" w:pos="6210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59C1">
              <w:rPr>
                <w:rFonts w:ascii="Century Gothic" w:hAnsi="Century Gothic"/>
                <w:sz w:val="24"/>
                <w:szCs w:val="24"/>
              </w:rPr>
              <w:t>$460.00</w:t>
            </w:r>
          </w:p>
        </w:tc>
      </w:tr>
    </w:tbl>
    <w:p w:rsidR="00DE1411" w:rsidRPr="00C959C1" w:rsidRDefault="00DE1411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F40EF3" w:rsidRPr="00C959C1" w:rsidRDefault="00F40EF3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F40EF3" w:rsidRPr="00C959C1" w:rsidRDefault="00F40EF3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F40EF3" w:rsidRPr="00C959C1" w:rsidRDefault="00F40EF3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40EF3" w:rsidRPr="00C959C1" w:rsidRDefault="00F40EF3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4C2AF2" w:rsidRPr="00C959C1" w:rsidRDefault="004C2AF2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4C2AF2" w:rsidRPr="00C959C1" w:rsidRDefault="004C2AF2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4C2AF2" w:rsidRPr="00C959C1" w:rsidRDefault="004C2AF2" w:rsidP="00C959C1">
      <w:pPr>
        <w:tabs>
          <w:tab w:val="left" w:pos="6210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sectPr w:rsidR="004C2AF2" w:rsidRPr="00C959C1" w:rsidSect="00601BC4">
      <w:headerReference w:type="default" r:id="rId8"/>
      <w:footerReference w:type="default" r:id="rId9"/>
      <w:pgSz w:w="12240" w:h="15840"/>
      <w:pgMar w:top="436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31" w:rsidRDefault="00956331" w:rsidP="004C1EEF">
      <w:pPr>
        <w:spacing w:after="0" w:line="240" w:lineRule="auto"/>
      </w:pPr>
      <w:r>
        <w:separator/>
      </w:r>
    </w:p>
  </w:endnote>
  <w:endnote w:type="continuationSeparator" w:id="0">
    <w:p w:rsidR="00956331" w:rsidRDefault="00956331" w:rsidP="004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05111"/>
      <w:docPartObj>
        <w:docPartGallery w:val="Page Numbers (Bottom of Page)"/>
        <w:docPartUnique/>
      </w:docPartObj>
    </w:sdtPr>
    <w:sdtEndPr/>
    <w:sdtContent>
      <w:p w:rsidR="00697A0B" w:rsidRDefault="00697A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BE" w:rsidRPr="008501BE">
          <w:rPr>
            <w:noProof/>
            <w:lang w:val="es-ES"/>
          </w:rPr>
          <w:t>21</w:t>
        </w:r>
        <w:r>
          <w:fldChar w:fldCharType="end"/>
        </w:r>
      </w:p>
    </w:sdtContent>
  </w:sdt>
  <w:p w:rsidR="004C1EEF" w:rsidRPr="004C2AF2" w:rsidRDefault="004C1EEF" w:rsidP="004C2AF2">
    <w:pPr>
      <w:pStyle w:val="Piedepgina"/>
      <w:jc w:val="center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31" w:rsidRDefault="00956331" w:rsidP="004C1EEF">
      <w:pPr>
        <w:spacing w:after="0" w:line="240" w:lineRule="auto"/>
      </w:pPr>
      <w:r>
        <w:separator/>
      </w:r>
    </w:p>
  </w:footnote>
  <w:footnote w:type="continuationSeparator" w:id="0">
    <w:p w:rsidR="00956331" w:rsidRDefault="00956331" w:rsidP="004C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C4" w:rsidRPr="00B163C9" w:rsidRDefault="00601BC4" w:rsidP="00601BC4">
    <w:pPr>
      <w:pStyle w:val="Textoindependiente3"/>
      <w:jc w:val="right"/>
      <w:rPr>
        <w:rFonts w:ascii="Century Gothic" w:hAnsi="Century Gothic" w:cs="Tahoma"/>
        <w:sz w:val="26"/>
        <w:szCs w:val="26"/>
        <w:lang w:val="es-MX"/>
      </w:rPr>
    </w:pPr>
    <w:r w:rsidRPr="00B163C9">
      <w:rPr>
        <w:rFonts w:ascii="Century Gothic" w:hAnsi="Century Gothic" w:cs="Tahoma"/>
        <w:sz w:val="26"/>
        <w:szCs w:val="26"/>
        <w:lang w:val="es-MX"/>
      </w:rPr>
      <w:t>DECRETO N</w:t>
    </w:r>
    <w:r w:rsidR="005934E5">
      <w:rPr>
        <w:rFonts w:ascii="Century Gothic" w:hAnsi="Century Gothic" w:cs="Tahoma"/>
        <w:sz w:val="26"/>
        <w:szCs w:val="26"/>
        <w:lang w:val="es-MX"/>
      </w:rPr>
      <w:t>o</w:t>
    </w:r>
    <w:r w:rsidRPr="00B163C9">
      <w:rPr>
        <w:rFonts w:ascii="Century Gothic" w:hAnsi="Century Gothic" w:cs="Tahoma"/>
        <w:sz w:val="26"/>
        <w:szCs w:val="26"/>
        <w:lang w:val="es-MX"/>
      </w:rPr>
      <w:t>.</w:t>
    </w:r>
  </w:p>
  <w:p w:rsidR="00601BC4" w:rsidRPr="005934E5" w:rsidRDefault="00601BC4" w:rsidP="00601BC4">
    <w:pPr>
      <w:pStyle w:val="Textoindependiente3"/>
      <w:jc w:val="right"/>
      <w:rPr>
        <w:rFonts w:ascii="Century Gothic" w:hAnsi="Century Gothic" w:cs="Tahoma"/>
        <w:sz w:val="28"/>
        <w:szCs w:val="28"/>
        <w:lang w:val="en-US"/>
      </w:rPr>
    </w:pPr>
    <w:r w:rsidRPr="005934E5">
      <w:rPr>
        <w:rFonts w:ascii="Century Gothic" w:hAnsi="Century Gothic" w:cs="Tahoma"/>
        <w:sz w:val="26"/>
        <w:szCs w:val="26"/>
        <w:lang w:val="en-US"/>
      </w:rPr>
      <w:t>LXVI/APLIM/0</w:t>
    </w:r>
    <w:r w:rsidR="005934E5" w:rsidRPr="005934E5">
      <w:rPr>
        <w:rFonts w:ascii="Century Gothic" w:hAnsi="Century Gothic" w:cs="Tahoma"/>
        <w:sz w:val="26"/>
        <w:szCs w:val="26"/>
        <w:lang w:val="en-US"/>
      </w:rPr>
      <w:t>577</w:t>
    </w:r>
    <w:r w:rsidRPr="005934E5">
      <w:rPr>
        <w:rFonts w:ascii="Century Gothic" w:hAnsi="Century Gothic" w:cs="Tahoma"/>
        <w:sz w:val="26"/>
        <w:szCs w:val="26"/>
        <w:lang w:val="en-US"/>
      </w:rPr>
      <w:t>/201</w:t>
    </w:r>
    <w:r w:rsidR="005934E5" w:rsidRPr="005934E5">
      <w:rPr>
        <w:rFonts w:ascii="Century Gothic" w:hAnsi="Century Gothic" w:cs="Tahoma"/>
        <w:sz w:val="26"/>
        <w:szCs w:val="26"/>
        <w:lang w:val="en-US"/>
      </w:rPr>
      <w:t>9</w:t>
    </w:r>
    <w:r w:rsidRPr="005934E5">
      <w:rPr>
        <w:rFonts w:ascii="Century Gothic" w:hAnsi="Century Gothic" w:cs="Tahoma"/>
        <w:sz w:val="26"/>
        <w:szCs w:val="26"/>
        <w:lang w:val="en-US"/>
      </w:rPr>
      <w:t xml:space="preserve"> I P.O.</w:t>
    </w:r>
  </w:p>
  <w:p w:rsidR="00601BC4" w:rsidRPr="005934E5" w:rsidRDefault="00601BC4" w:rsidP="00601BC4">
    <w:pPr>
      <w:pStyle w:val="Encabezado"/>
      <w:rPr>
        <w:lang w:val="en-US"/>
      </w:rPr>
    </w:pPr>
  </w:p>
  <w:p w:rsidR="00601BC4" w:rsidRPr="005934E5" w:rsidRDefault="00601BC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9ED"/>
    <w:multiLevelType w:val="hybridMultilevel"/>
    <w:tmpl w:val="1ABACB90"/>
    <w:lvl w:ilvl="0" w:tplc="14DEF936"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5B61A9"/>
    <w:multiLevelType w:val="hybridMultilevel"/>
    <w:tmpl w:val="56462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7054"/>
    <w:multiLevelType w:val="multilevel"/>
    <w:tmpl w:val="3206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31E"/>
    <w:rsid w:val="00044FF2"/>
    <w:rsid w:val="000931CC"/>
    <w:rsid w:val="000C0300"/>
    <w:rsid w:val="000C3CC1"/>
    <w:rsid w:val="000F2933"/>
    <w:rsid w:val="001055D1"/>
    <w:rsid w:val="00142146"/>
    <w:rsid w:val="0015783F"/>
    <w:rsid w:val="00162D98"/>
    <w:rsid w:val="001961AE"/>
    <w:rsid w:val="001E4B1E"/>
    <w:rsid w:val="00217C28"/>
    <w:rsid w:val="0022207F"/>
    <w:rsid w:val="00250B5E"/>
    <w:rsid w:val="00260F8F"/>
    <w:rsid w:val="002A1C50"/>
    <w:rsid w:val="002E472C"/>
    <w:rsid w:val="00323E12"/>
    <w:rsid w:val="00326713"/>
    <w:rsid w:val="00342754"/>
    <w:rsid w:val="003510AD"/>
    <w:rsid w:val="003672A7"/>
    <w:rsid w:val="00373F7E"/>
    <w:rsid w:val="003A6B54"/>
    <w:rsid w:val="003B500E"/>
    <w:rsid w:val="003B5EB2"/>
    <w:rsid w:val="003D1796"/>
    <w:rsid w:val="003E38DB"/>
    <w:rsid w:val="00404D8D"/>
    <w:rsid w:val="0042649A"/>
    <w:rsid w:val="004470A3"/>
    <w:rsid w:val="00466B47"/>
    <w:rsid w:val="00480510"/>
    <w:rsid w:val="004867B8"/>
    <w:rsid w:val="004A0770"/>
    <w:rsid w:val="004A3721"/>
    <w:rsid w:val="004B6D66"/>
    <w:rsid w:val="004C1EEF"/>
    <w:rsid w:val="004C2AF2"/>
    <w:rsid w:val="004E2D76"/>
    <w:rsid w:val="005506C2"/>
    <w:rsid w:val="00586D1A"/>
    <w:rsid w:val="005934E5"/>
    <w:rsid w:val="005E283C"/>
    <w:rsid w:val="00601BC4"/>
    <w:rsid w:val="00606251"/>
    <w:rsid w:val="00640EE2"/>
    <w:rsid w:val="006417D5"/>
    <w:rsid w:val="00664A5E"/>
    <w:rsid w:val="0067267F"/>
    <w:rsid w:val="0068560E"/>
    <w:rsid w:val="0068595C"/>
    <w:rsid w:val="00697A0B"/>
    <w:rsid w:val="006D7CD4"/>
    <w:rsid w:val="006E70D9"/>
    <w:rsid w:val="00723214"/>
    <w:rsid w:val="00736320"/>
    <w:rsid w:val="00786B94"/>
    <w:rsid w:val="007F206D"/>
    <w:rsid w:val="00804E43"/>
    <w:rsid w:val="00813E7E"/>
    <w:rsid w:val="00830852"/>
    <w:rsid w:val="008501BE"/>
    <w:rsid w:val="00883ABC"/>
    <w:rsid w:val="008A15C6"/>
    <w:rsid w:val="009064F4"/>
    <w:rsid w:val="009446ED"/>
    <w:rsid w:val="00944D0E"/>
    <w:rsid w:val="00946961"/>
    <w:rsid w:val="00956331"/>
    <w:rsid w:val="0097485C"/>
    <w:rsid w:val="00993FD2"/>
    <w:rsid w:val="009A3BF8"/>
    <w:rsid w:val="009C1676"/>
    <w:rsid w:val="009C4890"/>
    <w:rsid w:val="009E4626"/>
    <w:rsid w:val="009E5961"/>
    <w:rsid w:val="009F6D3E"/>
    <w:rsid w:val="00A0159F"/>
    <w:rsid w:val="00A25013"/>
    <w:rsid w:val="00A406B0"/>
    <w:rsid w:val="00A61492"/>
    <w:rsid w:val="00A66589"/>
    <w:rsid w:val="00A6738A"/>
    <w:rsid w:val="00A70665"/>
    <w:rsid w:val="00A913A8"/>
    <w:rsid w:val="00AA2870"/>
    <w:rsid w:val="00AA57ED"/>
    <w:rsid w:val="00AB50AF"/>
    <w:rsid w:val="00AE6FC2"/>
    <w:rsid w:val="00B05600"/>
    <w:rsid w:val="00B14A81"/>
    <w:rsid w:val="00B34EC4"/>
    <w:rsid w:val="00B61691"/>
    <w:rsid w:val="00BA4335"/>
    <w:rsid w:val="00BB4E7E"/>
    <w:rsid w:val="00BC06BF"/>
    <w:rsid w:val="00BF7267"/>
    <w:rsid w:val="00C2530E"/>
    <w:rsid w:val="00C50393"/>
    <w:rsid w:val="00C57121"/>
    <w:rsid w:val="00C959C1"/>
    <w:rsid w:val="00CB5F24"/>
    <w:rsid w:val="00CF2D8A"/>
    <w:rsid w:val="00CF38B2"/>
    <w:rsid w:val="00D20A97"/>
    <w:rsid w:val="00D24F50"/>
    <w:rsid w:val="00D31898"/>
    <w:rsid w:val="00DA036F"/>
    <w:rsid w:val="00DC68F1"/>
    <w:rsid w:val="00DD1A9A"/>
    <w:rsid w:val="00DD51C9"/>
    <w:rsid w:val="00DE1411"/>
    <w:rsid w:val="00DF0928"/>
    <w:rsid w:val="00E033CD"/>
    <w:rsid w:val="00E5131E"/>
    <w:rsid w:val="00EA60C3"/>
    <w:rsid w:val="00EC151C"/>
    <w:rsid w:val="00EC5C49"/>
    <w:rsid w:val="00EE1698"/>
    <w:rsid w:val="00EE5B90"/>
    <w:rsid w:val="00EF4484"/>
    <w:rsid w:val="00F00B0A"/>
    <w:rsid w:val="00F24E8D"/>
    <w:rsid w:val="00F36F7F"/>
    <w:rsid w:val="00F40EF3"/>
    <w:rsid w:val="00F41035"/>
    <w:rsid w:val="00F51FB6"/>
    <w:rsid w:val="00F5649F"/>
    <w:rsid w:val="00F56C4E"/>
    <w:rsid w:val="00F65BC8"/>
    <w:rsid w:val="00F9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B5458-8353-4B52-A1E1-ADECECE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E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1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EEF"/>
  </w:style>
  <w:style w:type="paragraph" w:styleId="Piedepgina">
    <w:name w:val="footer"/>
    <w:basedOn w:val="Normal"/>
    <w:link w:val="PiedepginaCar"/>
    <w:uiPriority w:val="99"/>
    <w:unhideWhenUsed/>
    <w:rsid w:val="004C1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EEF"/>
  </w:style>
  <w:style w:type="paragraph" w:styleId="Textodeglobo">
    <w:name w:val="Balloon Text"/>
    <w:basedOn w:val="Normal"/>
    <w:link w:val="TextodegloboCar"/>
    <w:uiPriority w:val="99"/>
    <w:semiHidden/>
    <w:unhideWhenUsed/>
    <w:rsid w:val="00A7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665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rsid w:val="00601BC4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01BC4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A465-EA66-4D26-B43A-5AABF0B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2581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 Pérez Chacón</cp:lastModifiedBy>
  <cp:revision>7</cp:revision>
  <cp:lastPrinted>2019-11-21T19:24:00Z</cp:lastPrinted>
  <dcterms:created xsi:type="dcterms:W3CDTF">2019-12-24T16:52:00Z</dcterms:created>
  <dcterms:modified xsi:type="dcterms:W3CDTF">2019-12-26T17:30:00Z</dcterms:modified>
</cp:coreProperties>
</file>