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040EC6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2B3DBA">
        <w:rPr>
          <w:rFonts w:ascii="Century Gothic" w:hAnsi="Century Gothic"/>
          <w:b/>
          <w:sz w:val="25"/>
          <w:szCs w:val="25"/>
          <w:lang w:val="es-MX"/>
        </w:rPr>
        <w:t>2</w:t>
      </w:r>
      <w:r w:rsidR="00642B3A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BA0937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Pr="00BA0937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BA0937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BA0937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642B3A" w:rsidRPr="00642B3A" w:rsidRDefault="00364C4A" w:rsidP="00364C4A">
      <w:pPr>
        <w:shd w:val="clear" w:color="auto" w:fill="FFFFFF"/>
        <w:spacing w:line="360" w:lineRule="auto"/>
        <w:jc w:val="both"/>
        <w:rPr>
          <w:rFonts w:ascii="Century Gothic" w:hAnsi="Century Gothic" w:cs="Calibri"/>
          <w:color w:val="2F2F2F"/>
          <w:sz w:val="24"/>
          <w:szCs w:val="24"/>
          <w:lang w:val="es-MX" w:eastAsia="es-MX"/>
        </w:rPr>
      </w:pPr>
      <w:r w:rsidRPr="00364C4A">
        <w:rPr>
          <w:rFonts w:ascii="Century Gothic" w:hAnsi="Century Gothic" w:cs="Calibri"/>
          <w:b/>
          <w:bCs/>
          <w:color w:val="000000"/>
          <w:sz w:val="28"/>
          <w:szCs w:val="24"/>
          <w:lang w:val="es-MX" w:eastAsia="es-MX"/>
        </w:rPr>
        <w:t>PRIMERO</w:t>
      </w:r>
      <w:r>
        <w:rPr>
          <w:rFonts w:ascii="Century Gothic" w:hAnsi="Century Gothic" w:cs="Calibri"/>
          <w:b/>
          <w:bCs/>
          <w:color w:val="000000"/>
          <w:sz w:val="28"/>
          <w:szCs w:val="24"/>
          <w:lang w:val="es-MX" w:eastAsia="es-MX"/>
        </w:rPr>
        <w:t>.-</w:t>
      </w:r>
      <w:r w:rsidR="00642B3A" w:rsidRPr="00642B3A">
        <w:rPr>
          <w:rFonts w:ascii="Century Gothic" w:hAnsi="Century Gothic" w:cs="Calibri"/>
          <w:b/>
          <w:bCs/>
          <w:color w:val="000000"/>
          <w:sz w:val="24"/>
          <w:szCs w:val="24"/>
          <w:lang w:val="es-MX" w:eastAsia="es-MX"/>
        </w:rPr>
        <w:t xml:space="preserve"> </w:t>
      </w:r>
      <w:r w:rsidR="00642B3A" w:rsidRPr="00642B3A">
        <w:rPr>
          <w:rFonts w:ascii="Century Gothic" w:hAnsi="Century Gothic" w:cs="Calibri"/>
          <w:iCs/>
          <w:sz w:val="24"/>
          <w:szCs w:val="24"/>
          <w:lang w:val="es-MX" w:eastAsia="es-MX"/>
        </w:rPr>
        <w:t>La Sexagésima Séptima Legislatura del H. Congreso del Estado</w:t>
      </w:r>
      <w:r w:rsidR="00032738">
        <w:rPr>
          <w:rFonts w:ascii="Century Gothic" w:hAnsi="Century Gothic" w:cs="Calibri"/>
          <w:iCs/>
          <w:sz w:val="24"/>
          <w:szCs w:val="24"/>
          <w:lang w:val="es-MX" w:eastAsia="es-MX"/>
        </w:rPr>
        <w:t xml:space="preserve"> de Chihuahua,</w:t>
      </w:r>
      <w:r w:rsidR="00642B3A" w:rsidRPr="00642B3A">
        <w:rPr>
          <w:rFonts w:ascii="Century Gothic" w:hAnsi="Century Gothic" w:cs="Calibri"/>
          <w:iCs/>
          <w:sz w:val="24"/>
          <w:szCs w:val="24"/>
          <w:lang w:val="es-MX" w:eastAsia="es-MX"/>
        </w:rPr>
        <w:t xml:space="preserve"> exhorta</w:t>
      </w:r>
      <w:r w:rsidR="00642B3A" w:rsidRPr="00642B3A">
        <w:rPr>
          <w:rFonts w:ascii="Century Gothic" w:hAnsi="Century Gothic" w:cs="Calibri"/>
          <w:b/>
          <w:bCs/>
          <w:color w:val="000000"/>
          <w:sz w:val="24"/>
          <w:szCs w:val="24"/>
          <w:lang w:val="es-MX" w:eastAsia="es-MX"/>
        </w:rPr>
        <w:t> </w:t>
      </w:r>
      <w:r w:rsidR="00032738">
        <w:rPr>
          <w:rFonts w:ascii="Century Gothic" w:hAnsi="Century Gothic" w:cs="Calibri"/>
          <w:bCs/>
          <w:color w:val="000000"/>
          <w:sz w:val="24"/>
          <w:szCs w:val="24"/>
          <w:lang w:val="es-MX" w:eastAsia="es-MX"/>
        </w:rPr>
        <w:t xml:space="preserve">respetuosamente </w:t>
      </w:r>
      <w:r w:rsidR="00642B3A" w:rsidRPr="00642B3A">
        <w:rPr>
          <w:rFonts w:ascii="Century Gothic" w:hAnsi="Century Gothic" w:cs="Calibri"/>
          <w:color w:val="000000"/>
          <w:sz w:val="24"/>
          <w:szCs w:val="24"/>
          <w:lang w:val="es-MX" w:eastAsia="es-MX"/>
        </w:rPr>
        <w:t>a la Secretaría de Energía, a la Comisión Reguladora de Energía y a la Comisión Federal de Competencia Económica</w:t>
      </w:r>
      <w:bookmarkStart w:id="0" w:name="_GoBack"/>
      <w:bookmarkEnd w:id="0"/>
      <w:r w:rsidR="00032738">
        <w:rPr>
          <w:rFonts w:ascii="Century Gothic" w:hAnsi="Century Gothic" w:cs="Calibri"/>
          <w:color w:val="000000"/>
          <w:sz w:val="24"/>
          <w:szCs w:val="24"/>
          <w:lang w:val="es-MX" w:eastAsia="es-MX"/>
        </w:rPr>
        <w:t>,</w:t>
      </w:r>
      <w:r w:rsidR="00642B3A" w:rsidRPr="00642B3A">
        <w:rPr>
          <w:rFonts w:ascii="Century Gothic" w:hAnsi="Century Gothic" w:cs="Calibri"/>
          <w:color w:val="000000"/>
          <w:sz w:val="24"/>
          <w:szCs w:val="24"/>
          <w:lang w:val="es-MX" w:eastAsia="es-MX"/>
        </w:rPr>
        <w:t xml:space="preserve"> para que revise</w:t>
      </w:r>
      <w:r w:rsidR="00032738">
        <w:rPr>
          <w:rFonts w:ascii="Century Gothic" w:hAnsi="Century Gothic" w:cs="Calibri"/>
          <w:color w:val="000000"/>
          <w:sz w:val="24"/>
          <w:szCs w:val="24"/>
          <w:lang w:val="es-MX" w:eastAsia="es-MX"/>
        </w:rPr>
        <w:t>n</w:t>
      </w:r>
      <w:r w:rsidR="00642B3A" w:rsidRPr="00642B3A">
        <w:rPr>
          <w:rFonts w:ascii="Century Gothic" w:hAnsi="Century Gothic" w:cs="Calibri"/>
          <w:color w:val="000000"/>
          <w:sz w:val="24"/>
          <w:szCs w:val="24"/>
          <w:lang w:val="es-MX" w:eastAsia="es-MX"/>
        </w:rPr>
        <w:t xml:space="preserve"> y adecue</w:t>
      </w:r>
      <w:r w:rsidR="00032738">
        <w:rPr>
          <w:rFonts w:ascii="Century Gothic" w:hAnsi="Century Gothic" w:cs="Calibri"/>
          <w:color w:val="000000"/>
          <w:sz w:val="24"/>
          <w:szCs w:val="24"/>
          <w:lang w:val="es-MX" w:eastAsia="es-MX"/>
        </w:rPr>
        <w:t>n</w:t>
      </w:r>
      <w:r w:rsidR="00642B3A" w:rsidRPr="00642B3A">
        <w:rPr>
          <w:rFonts w:ascii="Century Gothic" w:hAnsi="Century Gothic" w:cs="Calibri"/>
          <w:color w:val="000000"/>
          <w:sz w:val="24"/>
          <w:szCs w:val="24"/>
          <w:lang w:val="es-MX" w:eastAsia="es-MX"/>
        </w:rPr>
        <w:t xml:space="preserve"> a las condiciones actuales</w:t>
      </w:r>
      <w:r w:rsidR="00032738">
        <w:rPr>
          <w:rFonts w:ascii="Century Gothic" w:hAnsi="Century Gothic" w:cs="Calibri"/>
          <w:color w:val="000000"/>
          <w:sz w:val="24"/>
          <w:szCs w:val="24"/>
          <w:lang w:val="es-MX" w:eastAsia="es-MX"/>
        </w:rPr>
        <w:t>,</w:t>
      </w:r>
      <w:r w:rsidR="00642B3A" w:rsidRPr="00642B3A">
        <w:rPr>
          <w:rFonts w:ascii="Century Gothic" w:hAnsi="Century Gothic" w:cs="Calibri"/>
          <w:color w:val="000000"/>
          <w:sz w:val="24"/>
          <w:szCs w:val="24"/>
          <w:lang w:val="es-MX" w:eastAsia="es-MX"/>
        </w:rPr>
        <w:t xml:space="preserve"> los criterios para fijar los precios máximos de venta de gas licuado de petróleo al usuario final en las regiones 27 y 28 de la lista de precios de gas LP de la Comisión Reguladora de Energía.</w:t>
      </w:r>
    </w:p>
    <w:p w:rsidR="00945F59" w:rsidRDefault="00945F59" w:rsidP="00642B3A">
      <w:pPr>
        <w:spacing w:line="360" w:lineRule="auto"/>
        <w:ind w:right="2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364C4A" w:rsidRPr="00501FC0" w:rsidRDefault="00364C4A" w:rsidP="00364C4A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SEGUNDO</w:t>
      </w:r>
      <w:r w:rsidRPr="00E904D2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.-</w:t>
      </w:r>
      <w:r w:rsidRPr="00501FC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>Remítase copia del presente Acuerdo, a las autoridades antes mencionadas, para su conocimiento y los efectos conducentes.</w:t>
      </w:r>
    </w:p>
    <w:p w:rsidR="00364C4A" w:rsidRPr="00642B3A" w:rsidRDefault="00364C4A" w:rsidP="00642B3A">
      <w:pPr>
        <w:spacing w:line="360" w:lineRule="auto"/>
        <w:ind w:right="2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DB27A4" w:rsidP="00642B3A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642B3A">
        <w:rPr>
          <w:rFonts w:ascii="Century Gothic" w:hAnsi="Century Gothic"/>
          <w:sz w:val="24"/>
          <w:szCs w:val="24"/>
        </w:rPr>
        <w:t>diecinueve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642B3A" w:rsidRDefault="00642B3A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32738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1B" w:rsidRDefault="00135B1B">
      <w:r>
        <w:separator/>
      </w:r>
    </w:p>
  </w:endnote>
  <w:endnote w:type="continuationSeparator" w:id="0">
    <w:p w:rsidR="00135B1B" w:rsidRDefault="0013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273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1B" w:rsidRDefault="00135B1B">
      <w:r>
        <w:separator/>
      </w:r>
    </w:p>
  </w:footnote>
  <w:footnote w:type="continuationSeparator" w:id="0">
    <w:p w:rsidR="00135B1B" w:rsidRDefault="0013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040EC6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2B3DBA">
      <w:rPr>
        <w:rFonts w:ascii="Century Gothic" w:hAnsi="Century Gothic"/>
        <w:b/>
        <w:sz w:val="24"/>
        <w:szCs w:val="24"/>
        <w:lang w:val="es-MX"/>
      </w:rPr>
      <w:t>2</w:t>
    </w:r>
    <w:r w:rsidR="00642B3A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2738"/>
    <w:rsid w:val="0003345D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9A3"/>
    <w:rsid w:val="0008553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35B1B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0C52"/>
    <w:rsid w:val="001A1707"/>
    <w:rsid w:val="001A1F37"/>
    <w:rsid w:val="001A3A08"/>
    <w:rsid w:val="001C11D2"/>
    <w:rsid w:val="001C1583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2FAC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4C4A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244D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272E"/>
    <w:rsid w:val="006E32C7"/>
    <w:rsid w:val="006F08F1"/>
    <w:rsid w:val="006F3320"/>
    <w:rsid w:val="006F45C5"/>
    <w:rsid w:val="006F4AE8"/>
    <w:rsid w:val="006F5E7E"/>
    <w:rsid w:val="006F6795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9082F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5D77"/>
    <w:rsid w:val="00EE62F6"/>
    <w:rsid w:val="00EE7FF1"/>
    <w:rsid w:val="00EF13FE"/>
    <w:rsid w:val="00EF1F88"/>
    <w:rsid w:val="00EF4676"/>
    <w:rsid w:val="00EF513A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217</cp:revision>
  <cp:lastPrinted>2022-04-19T17:43:00Z</cp:lastPrinted>
  <dcterms:created xsi:type="dcterms:W3CDTF">2021-10-05T18:17:00Z</dcterms:created>
  <dcterms:modified xsi:type="dcterms:W3CDTF">2022-04-19T17:43:00Z</dcterms:modified>
</cp:coreProperties>
</file>