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21</w:t>
      </w:r>
      <w:r w:rsidR="00F074B9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7A0A71" w:rsidRDefault="002B1F04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76618D" w:rsidRPr="007A0A71" w:rsidRDefault="0076618D" w:rsidP="00DB27A4">
      <w:pPr>
        <w:pStyle w:val="Textoindependiente3"/>
        <w:rPr>
          <w:rFonts w:ascii="Century Gothic" w:hAnsi="Century Gothic"/>
          <w:sz w:val="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7A0A71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F074B9" w:rsidRDefault="0000082F" w:rsidP="007A0A71">
      <w:pPr>
        <w:spacing w:line="312" w:lineRule="auto"/>
        <w:ind w:left="10" w:right="-234" w:hanging="10"/>
        <w:jc w:val="both"/>
        <w:rPr>
          <w:rFonts w:ascii="Century Gothic" w:eastAsia="Century Gothic" w:hAnsi="Century Gothic" w:cs="Open Sans"/>
          <w:bCs/>
          <w:iCs/>
          <w:color w:val="212121"/>
          <w:sz w:val="24"/>
          <w:szCs w:val="22"/>
          <w:lang w:val="es-MX" w:eastAsia="es-MX"/>
        </w:rPr>
      </w:pPr>
      <w:r w:rsidRPr="0000082F">
        <w:rPr>
          <w:rFonts w:ascii="Century Gothic" w:eastAsia="Arial" w:hAnsi="Century Gothic" w:cs="Arial"/>
          <w:b/>
          <w:iCs/>
          <w:color w:val="000000"/>
          <w:sz w:val="28"/>
          <w:szCs w:val="22"/>
          <w:lang w:val="es-MX" w:eastAsia="es-MX"/>
        </w:rPr>
        <w:t>PRIMERO</w:t>
      </w:r>
      <w:r w:rsidR="00F074B9" w:rsidRPr="0000082F">
        <w:rPr>
          <w:rFonts w:ascii="Century Gothic" w:eastAsia="Arial" w:hAnsi="Century Gothic" w:cs="Arial"/>
          <w:b/>
          <w:iCs/>
          <w:color w:val="000000"/>
          <w:sz w:val="28"/>
          <w:szCs w:val="22"/>
          <w:lang w:val="es-MX" w:eastAsia="es-MX"/>
        </w:rPr>
        <w:t>.-</w:t>
      </w:r>
      <w:r w:rsidR="00F074B9" w:rsidRPr="0000082F">
        <w:rPr>
          <w:rFonts w:ascii="Century Gothic" w:eastAsia="Arial" w:hAnsi="Century Gothic" w:cs="Arial"/>
          <w:b/>
          <w:color w:val="000000"/>
          <w:sz w:val="24"/>
          <w:szCs w:val="22"/>
          <w:lang w:val="es-MX" w:eastAsia="es-MX"/>
        </w:rPr>
        <w:t xml:space="preserve"> </w:t>
      </w:r>
      <w:bookmarkStart w:id="1" w:name="_Hlk100000704"/>
      <w:r w:rsidR="00F074B9" w:rsidRPr="0000082F">
        <w:rPr>
          <w:rFonts w:ascii="Century Gothic" w:eastAsia="Arial" w:hAnsi="Century Gothic" w:cs="Arial"/>
          <w:color w:val="000000"/>
          <w:sz w:val="24"/>
          <w:szCs w:val="22"/>
          <w:lang w:val="es-MX" w:eastAsia="es-MX"/>
        </w:rPr>
        <w:t xml:space="preserve">La Sexagésima Séptima Legislatura del H. Congreso del Estado de Chihuahua, </w:t>
      </w:r>
      <w:bookmarkEnd w:id="1"/>
      <w:r w:rsidR="00F074B9" w:rsidRPr="0000082F">
        <w:rPr>
          <w:rFonts w:ascii="Century Gothic" w:eastAsia="Arial" w:hAnsi="Century Gothic" w:cs="Arial"/>
          <w:color w:val="000000"/>
          <w:sz w:val="24"/>
          <w:szCs w:val="22"/>
          <w:lang w:val="es-MX" w:eastAsia="es-MX"/>
        </w:rPr>
        <w:t xml:space="preserve">exhorta </w:t>
      </w:r>
      <w:bookmarkStart w:id="2" w:name="_Hlk100040777"/>
      <w:r w:rsidR="00F074B9" w:rsidRPr="0000082F">
        <w:rPr>
          <w:rFonts w:ascii="Century Gothic" w:eastAsia="Arial" w:hAnsi="Century Gothic" w:cs="Arial"/>
          <w:color w:val="000000"/>
          <w:sz w:val="24"/>
          <w:szCs w:val="22"/>
          <w:lang w:val="es-MX" w:eastAsia="es-MX"/>
        </w:rPr>
        <w:t>respetuosamente al Director del</w:t>
      </w:r>
      <w:r w:rsidR="00F074B9" w:rsidRPr="0000082F">
        <w:rPr>
          <w:rFonts w:ascii="Century Gothic" w:eastAsia="Century Gothic" w:hAnsi="Century Gothic" w:cs="Arial"/>
          <w:color w:val="202124"/>
          <w:sz w:val="24"/>
          <w:szCs w:val="24"/>
          <w:shd w:val="clear" w:color="auto" w:fill="FFFFFF"/>
          <w:lang w:val="es-MX" w:eastAsia="es-MX"/>
        </w:rPr>
        <w:t xml:space="preserve"> Centro de Rehabilitación y Educación Especial (CREE), así como al titular del Sistema Nacional para el Desarrollo Integral de la Familia </w:t>
      </w:r>
      <w:r>
        <w:rPr>
          <w:rFonts w:ascii="Century Gothic" w:eastAsia="Century Gothic" w:hAnsi="Century Gothic" w:cs="Arial"/>
          <w:color w:val="202124"/>
          <w:sz w:val="24"/>
          <w:szCs w:val="24"/>
          <w:shd w:val="clear" w:color="auto" w:fill="FFFFFF"/>
          <w:lang w:val="es-MX" w:eastAsia="es-MX"/>
        </w:rPr>
        <w:t>(</w:t>
      </w:r>
      <w:r w:rsidR="00F074B9" w:rsidRPr="0000082F">
        <w:rPr>
          <w:rFonts w:ascii="Century Gothic" w:eastAsia="Century Gothic" w:hAnsi="Century Gothic" w:cs="Arial"/>
          <w:color w:val="202124"/>
          <w:sz w:val="24"/>
          <w:szCs w:val="24"/>
          <w:shd w:val="clear" w:color="auto" w:fill="FFFFFF"/>
          <w:lang w:val="es-MX" w:eastAsia="es-MX"/>
        </w:rPr>
        <w:t>SN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>DIF</w:t>
      </w:r>
      <w:r>
        <w:rPr>
          <w:rFonts w:ascii="Century Gothic" w:eastAsia="Calibri" w:hAnsi="Century Gothic" w:cs="Calibri Light"/>
          <w:sz w:val="24"/>
          <w:szCs w:val="24"/>
          <w:lang w:val="es-MX" w:eastAsia="en-US"/>
        </w:rPr>
        <w:t>)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, para que en el trámite de la credencial de discapacidad a los usuarios de la misma, interprete lo dispuesto en las reglas de operación del </w:t>
      </w:r>
      <w:r w:rsidR="007A0A71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>Pr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ograma </w:t>
      </w:r>
      <w:r w:rsidR="007A0A71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>P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ensión para el Bienestar de las </w:t>
      </w:r>
      <w:r w:rsidR="007A0A71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>P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ersonas con </w:t>
      </w:r>
      <w:r w:rsidR="007A0A71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>Di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scapacidad </w:t>
      </w:r>
      <w:r w:rsidR="007A0A71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>P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>ermanente</w:t>
      </w:r>
      <w:r w:rsidR="007A0A71">
        <w:rPr>
          <w:rFonts w:ascii="Century Gothic" w:eastAsia="Calibri" w:hAnsi="Century Gothic" w:cs="Calibri Light"/>
          <w:sz w:val="24"/>
          <w:szCs w:val="24"/>
          <w:lang w:val="es-MX" w:eastAsia="en-US"/>
        </w:rPr>
        <w:t>,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para el ejercicio fiscal 2022, publicado en el Diario Oficial de la Federación</w:t>
      </w:r>
      <w:r w:rsidR="007A0A71">
        <w:rPr>
          <w:rFonts w:ascii="Century Gothic" w:eastAsia="Calibri" w:hAnsi="Century Gothic" w:cs="Calibri Light"/>
          <w:sz w:val="24"/>
          <w:szCs w:val="24"/>
          <w:lang w:val="es-MX" w:eastAsia="en-US"/>
        </w:rPr>
        <w:t>,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 con fecha 29 de diciembre del 2021, de conformidad al </w:t>
      </w:r>
      <w:r w:rsidR="00F074B9" w:rsidRPr="0000082F">
        <w:rPr>
          <w:rFonts w:ascii="Century Gothic" w:eastAsia="Calibri" w:hAnsi="Century Gothic" w:cs="Calibri Light"/>
          <w:bCs/>
          <w:iCs/>
          <w:sz w:val="24"/>
          <w:szCs w:val="24"/>
          <w:u w:val="single"/>
          <w:lang w:val="es-MX" w:eastAsia="en-US"/>
        </w:rPr>
        <w:t xml:space="preserve">principio pro persona </w:t>
      </w:r>
      <w:r w:rsidR="00F074B9" w:rsidRPr="0000082F">
        <w:rPr>
          <w:rFonts w:ascii="Century Gothic" w:eastAsia="Calibri" w:hAnsi="Century Gothic" w:cs="Calibri Light"/>
          <w:sz w:val="24"/>
          <w:szCs w:val="24"/>
          <w:lang w:val="es-MX" w:eastAsia="en-US"/>
        </w:rPr>
        <w:t>contemplado en el artículo 1 de la Constitución Política de los Estados Unidos Mexicanos</w:t>
      </w:r>
      <w:bookmarkEnd w:id="2"/>
      <w:r w:rsidR="00F074B9" w:rsidRPr="00FE4F61">
        <w:rPr>
          <w:rFonts w:ascii="Century Gothic" w:eastAsia="Calibri" w:hAnsi="Century Gothic" w:cs="Calibri Light"/>
          <w:sz w:val="24"/>
          <w:szCs w:val="24"/>
          <w:lang w:val="es-MX" w:eastAsia="en-US"/>
        </w:rPr>
        <w:t xml:space="preserve">, que señala: </w:t>
      </w:r>
      <w:r w:rsidR="00F074B9" w:rsidRPr="00FE4F61">
        <w:rPr>
          <w:rFonts w:ascii="Century Gothic" w:eastAsia="Century Gothic" w:hAnsi="Century Gothic" w:cs="Open Sans"/>
          <w:bCs/>
          <w:i/>
          <w:iCs/>
          <w:color w:val="212121"/>
          <w:sz w:val="24"/>
          <w:szCs w:val="22"/>
          <w:lang w:val="es-MX" w:eastAsia="es-MX"/>
        </w:rPr>
        <w:t>“Las normas relativas a los Derechos Humanos se interpretarán de conformidad con esta Constitución y con los tratados internacionales de la materia favoreciendo en todo tiempo a las personas la protección más amplia”</w:t>
      </w:r>
      <w:r w:rsidR="00F074B9" w:rsidRPr="0000082F">
        <w:rPr>
          <w:rFonts w:ascii="Century Gothic" w:eastAsia="Century Gothic" w:hAnsi="Century Gothic" w:cs="Open Sans"/>
          <w:bCs/>
          <w:iCs/>
          <w:color w:val="212121"/>
          <w:sz w:val="24"/>
          <w:szCs w:val="22"/>
          <w:lang w:val="es-MX" w:eastAsia="es-MX"/>
        </w:rPr>
        <w:t>.</w:t>
      </w:r>
    </w:p>
    <w:p w:rsidR="007A0A71" w:rsidRPr="007A0A71" w:rsidRDefault="007A0A71" w:rsidP="007A0A71">
      <w:pPr>
        <w:spacing w:line="312" w:lineRule="auto"/>
        <w:ind w:left="10" w:right="-234" w:hanging="10"/>
        <w:jc w:val="both"/>
        <w:rPr>
          <w:rFonts w:ascii="Century Gothic" w:eastAsia="Century Gothic" w:hAnsi="Century Gothic" w:cs="Open Sans"/>
          <w:bCs/>
          <w:iCs/>
          <w:color w:val="212121"/>
          <w:szCs w:val="22"/>
          <w:lang w:val="es-MX" w:eastAsia="es-MX"/>
        </w:rPr>
      </w:pPr>
    </w:p>
    <w:p w:rsidR="007A0A71" w:rsidRPr="005A699D" w:rsidRDefault="007A0A71" w:rsidP="007A0A71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>
        <w:rPr>
          <w:rFonts w:ascii="Century Gothic" w:eastAsia="Arial Unicode MS" w:hAnsi="Century Gothic" w:cs="Arial"/>
          <w:b/>
          <w:color w:val="000000"/>
          <w:sz w:val="28"/>
          <w:szCs w:val="28"/>
          <w:bdr w:val="nil"/>
          <w:lang w:val="es-MX" w:eastAsia="es-MX"/>
        </w:rPr>
        <w:t>SEGUNDO</w:t>
      </w:r>
      <w:r w:rsidRPr="00FB4E01">
        <w:rPr>
          <w:rFonts w:ascii="Century Gothic" w:eastAsia="Arial Unicode MS" w:hAnsi="Century Gothic" w:cs="Arial"/>
          <w:b/>
          <w:sz w:val="28"/>
          <w:szCs w:val="28"/>
          <w:bdr w:val="nil"/>
          <w:lang w:val="es-MX" w:eastAsia="es-MX"/>
        </w:rPr>
        <w:t>.-</w:t>
      </w:r>
      <w:r w:rsidRPr="005A699D"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  <w:t xml:space="preserve"> </w:t>
      </w:r>
      <w:r w:rsidRPr="005A699D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las autoridades antes citadas, para su conocimiento y los efectos a que haya lugar.</w:t>
      </w:r>
    </w:p>
    <w:p w:rsidR="00F350AF" w:rsidRPr="007A0A71" w:rsidRDefault="00F350AF" w:rsidP="007A0A71">
      <w:pPr>
        <w:spacing w:line="312" w:lineRule="auto"/>
        <w:ind w:right="23" w:hanging="11"/>
        <w:jc w:val="both"/>
        <w:rPr>
          <w:rFonts w:ascii="Century Gothic" w:eastAsia="Arial" w:hAnsi="Century Gothic" w:cs="Arial"/>
          <w:color w:val="000000"/>
          <w:szCs w:val="24"/>
          <w:lang w:val="es-MX" w:eastAsia="es-MX"/>
        </w:rPr>
      </w:pPr>
    </w:p>
    <w:p w:rsidR="00DB27A4" w:rsidRDefault="003D3548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01C06">
        <w:rPr>
          <w:rFonts w:ascii="Century Gothic" w:hAnsi="Century Gothic"/>
          <w:sz w:val="24"/>
          <w:szCs w:val="24"/>
        </w:rPr>
        <w:t>cinco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="00DB27A4"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="00DB27A4" w:rsidRPr="00A330C5">
        <w:rPr>
          <w:rFonts w:ascii="Century Gothic" w:hAnsi="Century Gothic"/>
          <w:sz w:val="24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37865">
      <w:headerReference w:type="default" r:id="rId7"/>
      <w:footerReference w:type="even" r:id="rId8"/>
      <w:footerReference w:type="default" r:id="rId9"/>
      <w:pgSz w:w="12242" w:h="15842" w:code="1"/>
      <w:pgMar w:top="3969" w:right="1644" w:bottom="1531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BE" w:rsidRDefault="002D46BE">
      <w:r>
        <w:separator/>
      </w:r>
    </w:p>
  </w:endnote>
  <w:endnote w:type="continuationSeparator" w:id="0">
    <w:p w:rsidR="002D46BE" w:rsidRDefault="002D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786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BE" w:rsidRDefault="002D46BE">
      <w:r>
        <w:separator/>
      </w:r>
    </w:p>
  </w:footnote>
  <w:footnote w:type="continuationSeparator" w:id="0">
    <w:p w:rsidR="002D46BE" w:rsidRDefault="002D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F074B9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190</cp:revision>
  <cp:lastPrinted>2022-04-07T13:44:00Z</cp:lastPrinted>
  <dcterms:created xsi:type="dcterms:W3CDTF">2021-10-05T18:17:00Z</dcterms:created>
  <dcterms:modified xsi:type="dcterms:W3CDTF">2022-04-07T13:44:00Z</dcterms:modified>
</cp:coreProperties>
</file>