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103" w:rsidRPr="00EA4E5B" w:rsidRDefault="003B1103" w:rsidP="003B1103">
      <w:pPr>
        <w:pStyle w:val="paragraph"/>
        <w:spacing w:before="0" w:beforeAutospacing="0" w:after="0" w:afterAutospacing="0" w:line="360" w:lineRule="auto"/>
        <w:jc w:val="both"/>
        <w:textAlignment w:val="baseline"/>
        <w:rPr>
          <w:rFonts w:ascii="Segoe UI" w:hAnsi="Segoe UI" w:cs="Segoe UI"/>
        </w:rPr>
      </w:pPr>
      <w:r w:rsidRPr="00EA4E5B">
        <w:rPr>
          <w:rStyle w:val="normaltextrun"/>
          <w:rFonts w:ascii="Century Gothic" w:eastAsia="Calibri" w:hAnsi="Century Gothic" w:cs="Segoe UI"/>
          <w:b/>
          <w:bCs/>
        </w:rPr>
        <w:t>H. CONGRESO DEL ESTADO.</w:t>
      </w:r>
      <w:r w:rsidRPr="00EA4E5B">
        <w:rPr>
          <w:rStyle w:val="eop"/>
          <w:rFonts w:ascii="Century Gothic" w:hAnsi="Century Gothic" w:cs="Segoe UI"/>
        </w:rPr>
        <w:t> </w:t>
      </w:r>
    </w:p>
    <w:p w:rsidR="003B1103" w:rsidRPr="00EA4E5B" w:rsidRDefault="003B1103" w:rsidP="003B1103">
      <w:pPr>
        <w:pStyle w:val="paragraph"/>
        <w:tabs>
          <w:tab w:val="left" w:pos="5023"/>
        </w:tabs>
        <w:spacing w:before="0" w:beforeAutospacing="0" w:after="0" w:afterAutospacing="0" w:line="360" w:lineRule="auto"/>
        <w:jc w:val="both"/>
        <w:textAlignment w:val="baseline"/>
        <w:rPr>
          <w:rFonts w:ascii="Segoe UI" w:hAnsi="Segoe UI" w:cs="Segoe UI"/>
        </w:rPr>
      </w:pPr>
      <w:r w:rsidRPr="00EA4E5B">
        <w:rPr>
          <w:rStyle w:val="normaltextrun"/>
          <w:rFonts w:ascii="Century Gothic" w:eastAsia="Calibri" w:hAnsi="Century Gothic" w:cs="Segoe UI"/>
          <w:b/>
          <w:bCs/>
        </w:rPr>
        <w:t>P R E S E N T E.</w:t>
      </w:r>
      <w:r w:rsidRPr="00EA4E5B">
        <w:rPr>
          <w:rStyle w:val="eop"/>
          <w:rFonts w:ascii="Century Gothic" w:hAnsi="Century Gothic" w:cs="Segoe UI"/>
        </w:rPr>
        <w:t> </w:t>
      </w:r>
      <w:r w:rsidRPr="00EA4E5B">
        <w:rPr>
          <w:rStyle w:val="eop"/>
          <w:rFonts w:ascii="Century Gothic" w:hAnsi="Century Gothic" w:cs="Segoe UI"/>
        </w:rPr>
        <w:tab/>
      </w:r>
    </w:p>
    <w:p w:rsidR="003B1103" w:rsidRPr="00EA4E5B" w:rsidRDefault="003B1103" w:rsidP="003B1103">
      <w:pPr>
        <w:spacing w:line="360" w:lineRule="auto"/>
        <w:jc w:val="both"/>
        <w:rPr>
          <w:rStyle w:val="normaltextrun"/>
          <w:rFonts w:ascii="Century Gothic" w:hAnsi="Century Gothic"/>
          <w:bCs/>
          <w:color w:val="000000"/>
          <w:sz w:val="24"/>
          <w:szCs w:val="24"/>
          <w:shd w:val="clear" w:color="auto" w:fill="FFFFFF"/>
        </w:rPr>
      </w:pPr>
    </w:p>
    <w:p w:rsidR="003B1103" w:rsidRPr="00EA4E5B" w:rsidRDefault="003B1103" w:rsidP="005E6F48">
      <w:pPr>
        <w:spacing w:line="360" w:lineRule="auto"/>
        <w:jc w:val="both"/>
        <w:rPr>
          <w:rFonts w:ascii="Century Gothic" w:hAnsi="Century Gothic"/>
          <w:color w:val="000000"/>
          <w:sz w:val="24"/>
          <w:szCs w:val="24"/>
          <w:shd w:val="clear" w:color="auto" w:fill="FFFFFF"/>
        </w:rPr>
      </w:pPr>
      <w:r w:rsidRPr="00EA4E5B">
        <w:rPr>
          <w:rStyle w:val="normaltextrun"/>
          <w:rFonts w:ascii="Century Gothic" w:hAnsi="Century Gothic"/>
          <w:color w:val="000000"/>
          <w:sz w:val="24"/>
          <w:szCs w:val="24"/>
          <w:shd w:val="clear" w:color="auto" w:fill="FFFFFF"/>
        </w:rPr>
        <w:t xml:space="preserve">El suscrito, </w:t>
      </w:r>
      <w:r w:rsidRPr="00EA4E5B">
        <w:rPr>
          <w:rStyle w:val="normaltextrun"/>
          <w:rFonts w:ascii="Century Gothic" w:hAnsi="Century Gothic"/>
          <w:b/>
          <w:color w:val="000000"/>
          <w:sz w:val="24"/>
          <w:szCs w:val="24"/>
          <w:shd w:val="clear" w:color="auto" w:fill="FFFFFF"/>
        </w:rPr>
        <w:t>Jesús Velázquez Rodríguez</w:t>
      </w:r>
      <w:r w:rsidRPr="00EA4E5B">
        <w:rPr>
          <w:rStyle w:val="normaltextrun"/>
          <w:rFonts w:ascii="Century Gothic" w:hAnsi="Century Gothic"/>
          <w:color w:val="000000"/>
          <w:sz w:val="24"/>
          <w:szCs w:val="24"/>
          <w:shd w:val="clear" w:color="auto" w:fill="FFFFFF"/>
        </w:rPr>
        <w:t xml:space="preserve">, en mi carácter de Diputado de la Sexagésima Sexta Legislatura al </w:t>
      </w:r>
      <w:r w:rsidR="002706BC" w:rsidRPr="00EA4E5B">
        <w:rPr>
          <w:rStyle w:val="normaltextrun"/>
          <w:rFonts w:ascii="Century Gothic" w:hAnsi="Century Gothic"/>
          <w:color w:val="000000"/>
          <w:sz w:val="24"/>
          <w:szCs w:val="24"/>
          <w:shd w:val="clear" w:color="auto" w:fill="FFFFFF"/>
        </w:rPr>
        <w:t>H</w:t>
      </w:r>
      <w:r w:rsidR="005E6F48" w:rsidRPr="00EA4E5B">
        <w:rPr>
          <w:rStyle w:val="normaltextrun"/>
          <w:rFonts w:ascii="Century Gothic" w:hAnsi="Century Gothic"/>
          <w:color w:val="000000"/>
          <w:sz w:val="24"/>
          <w:szCs w:val="24"/>
          <w:shd w:val="clear" w:color="auto" w:fill="FFFFFF"/>
        </w:rPr>
        <w:t xml:space="preserve">. </w:t>
      </w:r>
      <w:r w:rsidRPr="00EA4E5B">
        <w:rPr>
          <w:rStyle w:val="normaltextrun"/>
          <w:rFonts w:ascii="Century Gothic" w:hAnsi="Century Gothic"/>
          <w:color w:val="000000"/>
          <w:sz w:val="24"/>
          <w:szCs w:val="24"/>
          <w:shd w:val="clear" w:color="auto" w:fill="FFFFFF"/>
        </w:rPr>
        <w:t>Congreso del Estado de Chihuahua, con fundamento en lo dispuesto por el artículo</w:t>
      </w:r>
      <w:r w:rsidR="005E6F48" w:rsidRPr="00EA4E5B">
        <w:rPr>
          <w:rStyle w:val="normaltextrun"/>
          <w:rFonts w:ascii="Century Gothic" w:hAnsi="Century Gothic"/>
          <w:color w:val="000000"/>
          <w:sz w:val="24"/>
          <w:szCs w:val="24"/>
          <w:shd w:val="clear" w:color="auto" w:fill="FFFFFF"/>
        </w:rPr>
        <w:t xml:space="preserve">s </w:t>
      </w:r>
      <w:r w:rsidRPr="00EA4E5B">
        <w:rPr>
          <w:rStyle w:val="normaltextrun"/>
          <w:rFonts w:ascii="Century Gothic" w:hAnsi="Century Gothic"/>
          <w:color w:val="000000"/>
          <w:sz w:val="24"/>
          <w:szCs w:val="24"/>
          <w:shd w:val="clear" w:color="auto" w:fill="FFFFFF"/>
        </w:rPr>
        <w:t>68, fracción I, de la Constitución Polít</w:t>
      </w:r>
      <w:r w:rsidR="005E6F48" w:rsidRPr="00EA4E5B">
        <w:rPr>
          <w:rStyle w:val="normaltextrun"/>
          <w:rFonts w:ascii="Century Gothic" w:hAnsi="Century Gothic"/>
          <w:color w:val="000000"/>
          <w:sz w:val="24"/>
          <w:szCs w:val="24"/>
          <w:shd w:val="clear" w:color="auto" w:fill="FFFFFF"/>
        </w:rPr>
        <w:t>ica del Estado de Chihuahua; el</w:t>
      </w:r>
      <w:r w:rsidRPr="00EA4E5B">
        <w:rPr>
          <w:rStyle w:val="normaltextrun"/>
          <w:rFonts w:ascii="Century Gothic" w:hAnsi="Century Gothic"/>
          <w:color w:val="000000"/>
          <w:sz w:val="24"/>
          <w:szCs w:val="24"/>
          <w:shd w:val="clear" w:color="auto" w:fill="FFFFFF"/>
        </w:rPr>
        <w:t xml:space="preserve"> artículo </w:t>
      </w:r>
      <w:r w:rsidR="005E6F48" w:rsidRPr="00EA4E5B">
        <w:rPr>
          <w:rStyle w:val="normaltextrun"/>
          <w:rFonts w:ascii="Century Gothic" w:hAnsi="Century Gothic"/>
          <w:color w:val="000000"/>
          <w:sz w:val="24"/>
          <w:szCs w:val="24"/>
          <w:shd w:val="clear" w:color="auto" w:fill="FFFFFF"/>
        </w:rPr>
        <w:t xml:space="preserve">167, fracción I </w:t>
      </w:r>
      <w:r w:rsidRPr="00EA4E5B">
        <w:rPr>
          <w:rStyle w:val="normaltextrun"/>
          <w:rFonts w:ascii="Century Gothic" w:hAnsi="Century Gothic"/>
          <w:color w:val="000000"/>
          <w:sz w:val="24"/>
          <w:szCs w:val="24"/>
          <w:shd w:val="clear" w:color="auto" w:fill="FFFFFF"/>
        </w:rPr>
        <w:t>de la Ley Orgánica del Poder Legislativo, así como de los artículos 75, 76 y 77 del  Reglamento Interior y de Prácticas Parlamentarias del Poder Legislativo,</w:t>
      </w:r>
      <w:r w:rsidRPr="00EA4E5B">
        <w:rPr>
          <w:rFonts w:ascii="Century Gothic" w:hAnsi="Century Gothic"/>
          <w:sz w:val="24"/>
          <w:szCs w:val="24"/>
        </w:rPr>
        <w:t xml:space="preserve"> someto a consideración del Pleno la siguiente: </w:t>
      </w:r>
    </w:p>
    <w:p w:rsidR="005E1C54" w:rsidRPr="00EA4E5B" w:rsidRDefault="005E1C54" w:rsidP="003B1103">
      <w:pPr>
        <w:spacing w:line="360" w:lineRule="auto"/>
        <w:jc w:val="center"/>
        <w:rPr>
          <w:rFonts w:ascii="Century Gothic" w:hAnsi="Century Gothic"/>
          <w:b/>
          <w:sz w:val="24"/>
          <w:szCs w:val="24"/>
        </w:rPr>
      </w:pPr>
    </w:p>
    <w:p w:rsidR="003B1103" w:rsidRPr="00EA4E5B" w:rsidRDefault="003B1103" w:rsidP="00EA4E5B">
      <w:pPr>
        <w:spacing w:line="360" w:lineRule="auto"/>
        <w:ind w:firstLine="0"/>
        <w:jc w:val="both"/>
        <w:rPr>
          <w:rFonts w:ascii="Century Gothic" w:hAnsi="Century Gothic"/>
          <w:b/>
          <w:bCs/>
          <w:sz w:val="24"/>
          <w:szCs w:val="24"/>
        </w:rPr>
      </w:pPr>
      <w:r w:rsidRPr="00EA4E5B">
        <w:rPr>
          <w:rFonts w:ascii="Century Gothic" w:hAnsi="Century Gothic"/>
          <w:b/>
          <w:sz w:val="24"/>
          <w:szCs w:val="24"/>
        </w:rPr>
        <w:t xml:space="preserve">INICIATIVA CON PROYECTO DE </w:t>
      </w:r>
      <w:r w:rsidRPr="00EA4E5B">
        <w:rPr>
          <w:rFonts w:ascii="Century Gothic" w:hAnsi="Century Gothic"/>
          <w:b/>
          <w:bCs/>
          <w:sz w:val="24"/>
          <w:szCs w:val="24"/>
        </w:rPr>
        <w:t xml:space="preserve">DECRETO </w:t>
      </w:r>
      <w:r w:rsidR="00737924" w:rsidRPr="00EA4E5B">
        <w:rPr>
          <w:rFonts w:ascii="Century Gothic" w:hAnsi="Century Gothic"/>
          <w:b/>
          <w:bCs/>
          <w:sz w:val="24"/>
          <w:szCs w:val="24"/>
        </w:rPr>
        <w:t>PARA REFORMAR Y ADICIONAR DIVERSOS NUMERALES DE LA LEY DE DESARROLLO RURAL SUSTENTABLE, ANTE EL H.</w:t>
      </w:r>
      <w:r w:rsidRPr="00EA4E5B">
        <w:rPr>
          <w:rFonts w:ascii="Century Gothic" w:hAnsi="Century Gothic"/>
          <w:b/>
          <w:bCs/>
          <w:sz w:val="24"/>
          <w:szCs w:val="24"/>
        </w:rPr>
        <w:t xml:space="preserve"> CONGRESO DE LA UNIÓN</w:t>
      </w:r>
      <w:r w:rsidR="00737924" w:rsidRPr="00EA4E5B">
        <w:rPr>
          <w:rFonts w:ascii="Century Gothic" w:hAnsi="Century Gothic"/>
          <w:b/>
          <w:bCs/>
          <w:sz w:val="24"/>
          <w:szCs w:val="24"/>
        </w:rPr>
        <w:t>.</w:t>
      </w:r>
    </w:p>
    <w:p w:rsidR="005E1C54" w:rsidRPr="00EA4E5B" w:rsidRDefault="005E1C54" w:rsidP="003B1103">
      <w:pPr>
        <w:spacing w:line="360" w:lineRule="auto"/>
        <w:jc w:val="center"/>
        <w:rPr>
          <w:rFonts w:ascii="Century Gothic" w:hAnsi="Century Gothic"/>
          <w:b/>
          <w:bCs/>
          <w:sz w:val="24"/>
          <w:szCs w:val="24"/>
        </w:rPr>
      </w:pPr>
    </w:p>
    <w:p w:rsidR="003B1103" w:rsidRPr="00EA4E5B" w:rsidRDefault="003B1103" w:rsidP="003B1103">
      <w:pPr>
        <w:spacing w:line="360" w:lineRule="auto"/>
        <w:jc w:val="center"/>
        <w:rPr>
          <w:rFonts w:ascii="Century Gothic" w:hAnsi="Century Gothic"/>
          <w:b/>
          <w:bCs/>
          <w:sz w:val="24"/>
          <w:szCs w:val="24"/>
        </w:rPr>
      </w:pPr>
      <w:r w:rsidRPr="00EA4E5B">
        <w:rPr>
          <w:rFonts w:ascii="Century Gothic" w:hAnsi="Century Gothic"/>
          <w:b/>
          <w:bCs/>
          <w:sz w:val="24"/>
          <w:szCs w:val="24"/>
        </w:rPr>
        <w:t>EXPOSICIÓN DE MOTIVOS</w:t>
      </w:r>
    </w:p>
    <w:p w:rsidR="005E0136" w:rsidRPr="00EA4E5B" w:rsidRDefault="003B1103" w:rsidP="00087484">
      <w:pPr>
        <w:spacing w:after="200" w:line="360" w:lineRule="auto"/>
        <w:ind w:firstLine="0"/>
        <w:jc w:val="both"/>
        <w:rPr>
          <w:rFonts w:ascii="Century Gothic" w:hAnsi="Century Gothic" w:cs="Calibri"/>
          <w:sz w:val="24"/>
          <w:szCs w:val="24"/>
        </w:rPr>
      </w:pPr>
      <w:r w:rsidRPr="00EA4E5B">
        <w:rPr>
          <w:rFonts w:ascii="Century Gothic" w:hAnsi="Century Gothic" w:cs="Calibri"/>
          <w:sz w:val="24"/>
          <w:szCs w:val="24"/>
        </w:rPr>
        <w:t xml:space="preserve">La Ley de Planeación </w:t>
      </w:r>
      <w:r w:rsidR="00087484" w:rsidRPr="00EA4E5B">
        <w:rPr>
          <w:rFonts w:ascii="Century Gothic" w:hAnsi="Century Gothic" w:cs="Calibri"/>
          <w:sz w:val="24"/>
          <w:szCs w:val="24"/>
        </w:rPr>
        <w:t xml:space="preserve">(de la federación) </w:t>
      </w:r>
      <w:r w:rsidRPr="00EA4E5B">
        <w:rPr>
          <w:rFonts w:ascii="Century Gothic" w:hAnsi="Century Gothic" w:cs="Calibri"/>
          <w:sz w:val="24"/>
          <w:szCs w:val="24"/>
        </w:rPr>
        <w:t xml:space="preserve">establece en su artículo cuarto que al Poder Ejecutivo Federal corresponde conducir la planeación nacional del desarrollo con la participación democrática de la sociedad. </w:t>
      </w:r>
    </w:p>
    <w:p w:rsidR="003B1103" w:rsidRPr="00EA4E5B" w:rsidRDefault="00132934" w:rsidP="00087484">
      <w:pPr>
        <w:spacing w:after="200" w:line="360" w:lineRule="auto"/>
        <w:ind w:firstLine="0"/>
        <w:jc w:val="both"/>
        <w:rPr>
          <w:rFonts w:ascii="Century Gothic" w:hAnsi="Century Gothic" w:cs="Calibri"/>
          <w:sz w:val="24"/>
          <w:szCs w:val="24"/>
        </w:rPr>
      </w:pPr>
      <w:r w:rsidRPr="00EA4E5B">
        <w:rPr>
          <w:rFonts w:ascii="Century Gothic" w:hAnsi="Century Gothic" w:cs="Calibri"/>
          <w:sz w:val="24"/>
          <w:szCs w:val="24"/>
        </w:rPr>
        <w:t xml:space="preserve">    </w:t>
      </w:r>
      <w:r w:rsidR="003B1103" w:rsidRPr="00EA4E5B">
        <w:rPr>
          <w:rFonts w:ascii="Century Gothic" w:hAnsi="Century Gothic" w:cs="Calibri"/>
          <w:sz w:val="24"/>
          <w:szCs w:val="24"/>
        </w:rPr>
        <w:t>Asimismo, señala el artículo quinto que para tal efecto, el Ejecutivo Federal elaborará el Plan Naciona</w:t>
      </w:r>
      <w:r w:rsidR="003B1103" w:rsidRPr="00EA4E5B">
        <w:rPr>
          <w:rFonts w:ascii="Century Gothic" w:hAnsi="Century Gothic" w:cs="Calibri"/>
          <w:color w:val="FF0000"/>
          <w:sz w:val="24"/>
          <w:szCs w:val="24"/>
        </w:rPr>
        <w:t>l</w:t>
      </w:r>
      <w:r w:rsidR="003B1103" w:rsidRPr="00EA4E5B">
        <w:rPr>
          <w:rFonts w:ascii="Century Gothic" w:hAnsi="Century Gothic" w:cs="Calibri"/>
          <w:sz w:val="24"/>
          <w:szCs w:val="24"/>
        </w:rPr>
        <w:t xml:space="preserve"> de Desarrollo, instrumento que deberá ser remitido a la Cámara de Diputados del Congreso de la Unión para la elaboración de sus observaciones.</w:t>
      </w:r>
    </w:p>
    <w:p w:rsidR="003B1103" w:rsidRPr="00EA4E5B" w:rsidRDefault="00132934" w:rsidP="00087484">
      <w:pPr>
        <w:spacing w:after="200" w:line="360" w:lineRule="auto"/>
        <w:ind w:firstLine="0"/>
        <w:jc w:val="both"/>
        <w:rPr>
          <w:rFonts w:ascii="Century Gothic" w:hAnsi="Century Gothic" w:cs="Calibri"/>
          <w:sz w:val="24"/>
          <w:szCs w:val="24"/>
        </w:rPr>
      </w:pPr>
      <w:r w:rsidRPr="00EA4E5B">
        <w:rPr>
          <w:rFonts w:ascii="Century Gothic" w:hAnsi="Century Gothic" w:cs="Calibri"/>
          <w:sz w:val="24"/>
          <w:szCs w:val="24"/>
        </w:rPr>
        <w:lastRenderedPageBreak/>
        <w:t xml:space="preserve">    </w:t>
      </w:r>
      <w:r w:rsidR="003B1103" w:rsidRPr="00EA4E5B">
        <w:rPr>
          <w:rFonts w:ascii="Century Gothic" w:hAnsi="Century Gothic" w:cs="Calibri"/>
          <w:sz w:val="24"/>
          <w:szCs w:val="24"/>
        </w:rPr>
        <w:t>Entre otras particularidades, la elaboración del Plan Nacional de Desarrollo establece que</w:t>
      </w:r>
      <w:r w:rsidR="009B5BD1" w:rsidRPr="00EA4E5B">
        <w:rPr>
          <w:rFonts w:ascii="Century Gothic" w:hAnsi="Century Gothic" w:cs="Calibri"/>
          <w:sz w:val="24"/>
          <w:szCs w:val="24"/>
        </w:rPr>
        <w:t>:</w:t>
      </w:r>
      <w:r w:rsidR="003B1103" w:rsidRPr="00EA4E5B">
        <w:rPr>
          <w:rFonts w:ascii="Century Gothic" w:hAnsi="Century Gothic" w:cs="Calibri"/>
          <w:sz w:val="24"/>
          <w:szCs w:val="24"/>
        </w:rPr>
        <w:t xml:space="preserve"> </w:t>
      </w:r>
      <w:r w:rsidR="009B5BD1" w:rsidRPr="00EA4E5B">
        <w:rPr>
          <w:rFonts w:ascii="Century Gothic" w:hAnsi="Century Gothic" w:cs="Calibri"/>
          <w:i/>
          <w:sz w:val="24"/>
          <w:szCs w:val="24"/>
        </w:rPr>
        <w:t>“</w:t>
      </w:r>
      <w:r w:rsidR="003B1103" w:rsidRPr="00EA4E5B">
        <w:rPr>
          <w:rFonts w:ascii="Century Gothic" w:hAnsi="Century Gothic" w:cs="Calibri"/>
          <w:i/>
          <w:sz w:val="24"/>
          <w:szCs w:val="24"/>
        </w:rPr>
        <w:t>los Programas operados a través  de las Secretarías del Ramo, habrán de llevarse a cabo para la consecución de metas y objetivos orientados a la elevación del desarrollo económico y social de las y los mexicanos</w:t>
      </w:r>
      <w:r w:rsidR="009B5BD1" w:rsidRPr="00EA4E5B">
        <w:rPr>
          <w:rFonts w:ascii="Century Gothic" w:hAnsi="Century Gothic" w:cs="Calibri"/>
          <w:i/>
          <w:sz w:val="24"/>
          <w:szCs w:val="24"/>
        </w:rPr>
        <w:t>”</w:t>
      </w:r>
      <w:r w:rsidR="003B1103" w:rsidRPr="00EA4E5B">
        <w:rPr>
          <w:rFonts w:ascii="Century Gothic" w:hAnsi="Century Gothic" w:cs="Calibri"/>
          <w:i/>
          <w:sz w:val="24"/>
          <w:szCs w:val="24"/>
        </w:rPr>
        <w:t>.</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La Ley de Desarrollo Rural Sustentable señala en su artículo 1</w:t>
      </w:r>
      <w:r w:rsidR="009B5BD1" w:rsidRPr="00EA4E5B">
        <w:rPr>
          <w:rFonts w:ascii="Century Gothic" w:hAnsi="Century Gothic" w:cs="Calibri"/>
          <w:sz w:val="24"/>
          <w:szCs w:val="24"/>
        </w:rPr>
        <w:t>,</w:t>
      </w:r>
      <w:r w:rsidRPr="00EA4E5B">
        <w:rPr>
          <w:rFonts w:ascii="Century Gothic" w:hAnsi="Century Gothic" w:cs="Calibri"/>
          <w:sz w:val="24"/>
          <w:szCs w:val="24"/>
        </w:rPr>
        <w:t xml:space="preserve"> entre otros asuntos, que </w:t>
      </w:r>
      <w:r w:rsidRPr="00EA4E5B">
        <w:rPr>
          <w:rFonts w:ascii="Century Gothic" w:hAnsi="Century Gothic" w:cs="Calibri"/>
          <w:i/>
          <w:sz w:val="24"/>
          <w:szCs w:val="24"/>
        </w:rPr>
        <w:t xml:space="preserve">“el desarrollo rural </w:t>
      </w:r>
      <w:r w:rsidR="00BC3ED0" w:rsidRPr="00EA4E5B">
        <w:rPr>
          <w:rFonts w:ascii="Century Gothic" w:hAnsi="Century Gothic" w:cs="Calibri"/>
          <w:i/>
          <w:sz w:val="24"/>
          <w:szCs w:val="24"/>
        </w:rPr>
        <w:t>sustentable incluye</w:t>
      </w:r>
      <w:r w:rsidRPr="00EA4E5B">
        <w:rPr>
          <w:rFonts w:ascii="Century Gothic" w:hAnsi="Century Gothic" w:cs="Calibri"/>
          <w:i/>
          <w:sz w:val="24"/>
          <w:szCs w:val="24"/>
        </w:rPr>
        <w:t xml:space="preserve"> la planeación y organización de la producción agropecuaria, su industrialización y comercialización”</w:t>
      </w:r>
      <w:r w:rsidRPr="00EA4E5B">
        <w:rPr>
          <w:rFonts w:ascii="Century Gothic" w:hAnsi="Century Gothic" w:cs="Calibri"/>
          <w:sz w:val="24"/>
          <w:szCs w:val="24"/>
        </w:rPr>
        <w:t xml:space="preserve">. </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Asimismo dicho ordenamiento está en armonía  con la Ley de Planeación y con el Plan Nacional de Desarrollo, en el sentido de que corresponde al Estado la rectoría del desarrollo nacional y la conducción de la política de desarrollo rural sustentable</w:t>
      </w:r>
      <w:r w:rsidRPr="00EA4E5B">
        <w:rPr>
          <w:rFonts w:ascii="Century Gothic" w:hAnsi="Century Gothic" w:cs="Calibri"/>
          <w:i/>
          <w:sz w:val="24"/>
          <w:szCs w:val="24"/>
        </w:rPr>
        <w:t xml:space="preserve">, </w:t>
      </w:r>
      <w:r w:rsidR="009B5BD1" w:rsidRPr="00EA4E5B">
        <w:rPr>
          <w:rFonts w:ascii="Century Gothic" w:hAnsi="Century Gothic" w:cs="Calibri"/>
          <w:i/>
          <w:sz w:val="24"/>
          <w:szCs w:val="24"/>
        </w:rPr>
        <w:t>“</w:t>
      </w:r>
      <w:r w:rsidRPr="00EA4E5B">
        <w:rPr>
          <w:rFonts w:ascii="Century Gothic" w:hAnsi="Century Gothic" w:cs="Calibri"/>
          <w:i/>
          <w:sz w:val="24"/>
          <w:szCs w:val="24"/>
        </w:rPr>
        <w:t xml:space="preserve">las cuales se ejercerán por conducto de las dependencias y entidades del Gobierno Federal y mediante los convenios que éste celebre con los gobiernos de las entidades federativas, y a través de éstos, con los gobiernos </w:t>
      </w:r>
      <w:r w:rsidR="009B5BD1" w:rsidRPr="00EA4E5B">
        <w:rPr>
          <w:rFonts w:ascii="Century Gothic" w:hAnsi="Century Gothic" w:cs="Calibri"/>
          <w:i/>
          <w:sz w:val="24"/>
          <w:szCs w:val="24"/>
        </w:rPr>
        <w:t>municipales”</w:t>
      </w:r>
      <w:r w:rsidRPr="00EA4E5B">
        <w:rPr>
          <w:rFonts w:ascii="Century Gothic" w:hAnsi="Century Gothic" w:cs="Calibri"/>
          <w:sz w:val="24"/>
          <w:szCs w:val="24"/>
        </w:rPr>
        <w:t xml:space="preserve"> según lo dispuesto por el artículo 25 de la Constitución.</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 xml:space="preserve">Bajo este supuesto, el federalismo es la fórmula para que los estados de la República puedan participar en la planeación y conducción del desarrollo nacional, puesto que nuestras leyes contienen los preceptos y mecanismo de participación democrática mediante los cuales la sociedad puede participar para exponer sus intereses, a fin de </w:t>
      </w:r>
      <w:r w:rsidRPr="00EA4E5B">
        <w:rPr>
          <w:rFonts w:ascii="Century Gothic" w:hAnsi="Century Gothic" w:cs="Calibri"/>
          <w:sz w:val="24"/>
          <w:szCs w:val="24"/>
        </w:rPr>
        <w:lastRenderedPageBreak/>
        <w:t xml:space="preserve">incorporarlos dentro de los Planes de Desarrollo y de los Programas federales y estatales orientados a la atención de los ciudadanos. </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Desafortunadamente, nuestro federalismo, al menos en la parte de planeación del desarrollo rural, funciona más bien</w:t>
      </w:r>
      <w:r w:rsidR="00E515B5" w:rsidRPr="00EA4E5B">
        <w:rPr>
          <w:rFonts w:ascii="Century Gothic" w:hAnsi="Century Gothic" w:cs="Calibri"/>
          <w:sz w:val="24"/>
          <w:szCs w:val="24"/>
        </w:rPr>
        <w:t xml:space="preserve"> como un centralismo</w:t>
      </w:r>
      <w:r w:rsidRPr="00EA4E5B">
        <w:rPr>
          <w:rFonts w:ascii="Century Gothic" w:hAnsi="Century Gothic" w:cs="Calibri"/>
          <w:sz w:val="24"/>
          <w:szCs w:val="24"/>
        </w:rPr>
        <w:t xml:space="preserve">. </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En el caso del federalismo fiscal, los mecanismos de participación entre la federación y los estados son los Acuerdos de Coordinación Fiscal, que en teoría debieran funcionar como una fórmula distributiva para otorgar mayores facultades a los estados para la operación de sus presupuestos y programas de gobierno.</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En términos reales, los Acuerdos de Coordinación Fiscal, son una renuncia de los Estados a sus potestades tributarias a favor de la federación, por lo que se obtiene a cambio una participación en los ingresos fiscales federales. Es decir, que la planeación presupuestal se lleva a cabo mayoritariamente por la Federación y no por los Estados y mucho menos por los gobiernos municipales.</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En este sentido, las facultades de los estados están reducidas para planear su desarrollo, al renunciar a sus facultades fiscales que imposibilitan un manejo presupuestal y programático acorde a sus verdaderas necesidades y demandas sociales.</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En el caso del desarrollo rural, agropecuario, alimentario y pesquero, el único programa en el que los Estados participan directamente</w:t>
      </w:r>
      <w:r w:rsidR="00E515B5" w:rsidRPr="00EA4E5B">
        <w:rPr>
          <w:rFonts w:ascii="Century Gothic" w:hAnsi="Century Gothic" w:cs="Calibri"/>
          <w:sz w:val="24"/>
          <w:szCs w:val="24"/>
        </w:rPr>
        <w:t xml:space="preserve"> al menos en la parte operativa,</w:t>
      </w:r>
      <w:r w:rsidRPr="00EA4E5B">
        <w:rPr>
          <w:rFonts w:ascii="Century Gothic" w:hAnsi="Century Gothic" w:cs="Calibri"/>
          <w:sz w:val="24"/>
          <w:szCs w:val="24"/>
        </w:rPr>
        <w:t xml:space="preserve"> es en el Programa de Concurrencia</w:t>
      </w:r>
      <w:r w:rsidR="00E515B5" w:rsidRPr="00EA4E5B">
        <w:rPr>
          <w:rFonts w:ascii="Century Gothic" w:hAnsi="Century Gothic" w:cs="Calibri"/>
          <w:sz w:val="24"/>
          <w:szCs w:val="24"/>
        </w:rPr>
        <w:t xml:space="preserve"> cuyo monto de recursos es por completo insuficiente para atender necesidades estatales.</w:t>
      </w:r>
    </w:p>
    <w:p w:rsidR="00E515B5" w:rsidRPr="00EA4E5B" w:rsidRDefault="00E515B5"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lastRenderedPageBreak/>
        <w:t>De manera que los presupuestos de los programas federales además de estar mal diseñados,</w:t>
      </w:r>
      <w:r w:rsidR="003B1103" w:rsidRPr="00EA4E5B">
        <w:rPr>
          <w:rFonts w:ascii="Century Gothic" w:hAnsi="Century Gothic" w:cs="Calibri"/>
          <w:sz w:val="24"/>
          <w:szCs w:val="24"/>
        </w:rPr>
        <w:t xml:space="preserve"> </w:t>
      </w:r>
      <w:r w:rsidRPr="00EA4E5B">
        <w:rPr>
          <w:rFonts w:ascii="Century Gothic" w:hAnsi="Century Gothic" w:cs="Calibri"/>
          <w:sz w:val="24"/>
          <w:szCs w:val="24"/>
        </w:rPr>
        <w:t>no favorecen e</w:t>
      </w:r>
      <w:r w:rsidR="003B1103" w:rsidRPr="00EA4E5B">
        <w:rPr>
          <w:rFonts w:ascii="Century Gothic" w:hAnsi="Century Gothic" w:cs="Calibri"/>
          <w:sz w:val="24"/>
          <w:szCs w:val="24"/>
        </w:rPr>
        <w:t>l desarrollo de los sistemas producto</w:t>
      </w:r>
      <w:r w:rsidRPr="00EA4E5B">
        <w:rPr>
          <w:rFonts w:ascii="Century Gothic" w:hAnsi="Century Gothic" w:cs="Calibri"/>
          <w:sz w:val="24"/>
          <w:szCs w:val="24"/>
        </w:rPr>
        <w:t>.</w:t>
      </w:r>
    </w:p>
    <w:p w:rsidR="003B1103" w:rsidRPr="00EA4E5B" w:rsidRDefault="00E515B5"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E</w:t>
      </w:r>
      <w:r w:rsidR="003B1103" w:rsidRPr="00EA4E5B">
        <w:rPr>
          <w:rFonts w:ascii="Century Gothic" w:hAnsi="Century Gothic" w:cs="Calibri"/>
          <w:sz w:val="24"/>
          <w:szCs w:val="24"/>
        </w:rPr>
        <w:t>n la misma lógica están las Reglas de Operación que</w:t>
      </w:r>
      <w:r w:rsidRPr="00EA4E5B">
        <w:rPr>
          <w:rFonts w:ascii="Century Gothic" w:hAnsi="Century Gothic" w:cs="Calibri"/>
          <w:sz w:val="24"/>
          <w:szCs w:val="24"/>
        </w:rPr>
        <w:t xml:space="preserve">, además de ser </w:t>
      </w:r>
      <w:r w:rsidR="003B1103" w:rsidRPr="00EA4E5B">
        <w:rPr>
          <w:rFonts w:ascii="Century Gothic" w:hAnsi="Century Gothic" w:cs="Calibri"/>
          <w:sz w:val="24"/>
          <w:szCs w:val="24"/>
        </w:rPr>
        <w:t>complicadas</w:t>
      </w:r>
      <w:r w:rsidRPr="00EA4E5B">
        <w:rPr>
          <w:rFonts w:ascii="Century Gothic" w:hAnsi="Century Gothic" w:cs="Calibri"/>
          <w:sz w:val="24"/>
          <w:szCs w:val="24"/>
        </w:rPr>
        <w:t>,</w:t>
      </w:r>
      <w:r w:rsidR="003B1103" w:rsidRPr="00EA4E5B">
        <w:rPr>
          <w:rFonts w:ascii="Century Gothic" w:hAnsi="Century Gothic" w:cs="Calibri"/>
          <w:sz w:val="24"/>
          <w:szCs w:val="24"/>
        </w:rPr>
        <w:t xml:space="preserve"> están hec</w:t>
      </w:r>
      <w:r w:rsidRPr="00EA4E5B">
        <w:rPr>
          <w:rFonts w:ascii="Century Gothic" w:hAnsi="Century Gothic" w:cs="Calibri"/>
          <w:sz w:val="24"/>
          <w:szCs w:val="24"/>
        </w:rPr>
        <w:t xml:space="preserve">has con listas </w:t>
      </w:r>
      <w:r w:rsidR="003B1103" w:rsidRPr="00EA4E5B">
        <w:rPr>
          <w:rFonts w:ascii="Century Gothic" w:hAnsi="Century Gothic" w:cs="Calibri"/>
          <w:sz w:val="24"/>
          <w:szCs w:val="24"/>
        </w:rPr>
        <w:t>de requisitos</w:t>
      </w:r>
      <w:r w:rsidRPr="00EA4E5B">
        <w:rPr>
          <w:rFonts w:ascii="Century Gothic" w:hAnsi="Century Gothic" w:cs="Calibri"/>
          <w:sz w:val="24"/>
          <w:szCs w:val="24"/>
        </w:rPr>
        <w:t xml:space="preserve"> incumplibles</w:t>
      </w:r>
      <w:r w:rsidR="003B1103" w:rsidRPr="00EA4E5B">
        <w:rPr>
          <w:rFonts w:ascii="Century Gothic" w:hAnsi="Century Gothic" w:cs="Calibri"/>
          <w:sz w:val="24"/>
          <w:szCs w:val="24"/>
        </w:rPr>
        <w:t>, de tal forma que los productores se cansan de hacer solicitudes que nunca serán respondidas favorablemente.</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Con esa visión tan limitada del federalismo, de la planeación del desarrollo nacional y de la organización y administración del presupuesto federal sin una verdadera concurrencia, es casi imposible alcanzar resultados que se puedan verificar para saber si realmente hay avances o retrocesos respecto a los indicadores de producción en el sector agropecuario, o si  disminuye o aumenta a pobreza  en el ámbito rural.</w:t>
      </w:r>
    </w:p>
    <w:p w:rsidR="003B1103" w:rsidRPr="00EA4E5B" w:rsidRDefault="003B1103" w:rsidP="003B1103">
      <w:pPr>
        <w:spacing w:after="200" w:line="360" w:lineRule="auto"/>
        <w:jc w:val="both"/>
        <w:rPr>
          <w:rFonts w:ascii="Century Gothic" w:hAnsi="Century Gothic" w:cs="Calibri"/>
          <w:bCs/>
          <w:sz w:val="24"/>
          <w:szCs w:val="24"/>
        </w:rPr>
      </w:pPr>
      <w:r w:rsidRPr="00EA4E5B">
        <w:rPr>
          <w:rFonts w:ascii="Century Gothic" w:hAnsi="Century Gothic" w:cs="Calibri"/>
          <w:sz w:val="24"/>
          <w:szCs w:val="24"/>
        </w:rPr>
        <w:t xml:space="preserve">De acuerdo con el Anexo </w:t>
      </w:r>
      <w:r w:rsidRPr="00EA4E5B">
        <w:rPr>
          <w:rFonts w:ascii="Century Gothic" w:hAnsi="Century Gothic" w:cs="Calibri"/>
          <w:bCs/>
          <w:sz w:val="24"/>
          <w:szCs w:val="24"/>
        </w:rPr>
        <w:t>Técnico de Ejecución Específico para la operación del Programa de Concurrencia con las Entidades Federativas para el ejercicio presupuestal 2018, que fue celebrado entre la Secretaría de Agricultura, Ganadería, Desarrollo Rural, Pesca y Alimentación y el Estado de Chihuahua, el monto de recursos asignado a dicho programa es de 82 millones 75 mil pesos.</w:t>
      </w:r>
    </w:p>
    <w:p w:rsidR="00E515B5" w:rsidRPr="00EA4E5B" w:rsidRDefault="003B1103" w:rsidP="003B1103">
      <w:pPr>
        <w:spacing w:after="200" w:line="360" w:lineRule="auto"/>
        <w:jc w:val="both"/>
        <w:rPr>
          <w:rFonts w:ascii="Century Gothic" w:hAnsi="Century Gothic" w:cs="Calibri"/>
          <w:bCs/>
          <w:sz w:val="24"/>
          <w:szCs w:val="24"/>
        </w:rPr>
      </w:pPr>
      <w:r w:rsidRPr="00EA4E5B">
        <w:rPr>
          <w:rFonts w:ascii="Century Gothic" w:hAnsi="Century Gothic" w:cs="Calibri"/>
          <w:bCs/>
          <w:sz w:val="24"/>
          <w:szCs w:val="24"/>
        </w:rPr>
        <w:t>Para un Estado con vocación agrícola, pecuaria, forestal y rural como Chihuahua, esa cifra resulta verdaderamente ofensiva.</w:t>
      </w:r>
    </w:p>
    <w:p w:rsidR="003B1103" w:rsidRPr="00EA4E5B" w:rsidRDefault="003B1103" w:rsidP="003B1103">
      <w:pPr>
        <w:spacing w:after="200" w:line="360" w:lineRule="auto"/>
        <w:jc w:val="both"/>
        <w:rPr>
          <w:rFonts w:ascii="Century Gothic" w:hAnsi="Century Gothic" w:cs="Calibri"/>
          <w:bCs/>
          <w:sz w:val="24"/>
          <w:szCs w:val="24"/>
        </w:rPr>
      </w:pPr>
      <w:r w:rsidRPr="00EA4E5B">
        <w:rPr>
          <w:rFonts w:ascii="Century Gothic" w:hAnsi="Century Gothic" w:cs="Calibri"/>
          <w:bCs/>
          <w:sz w:val="24"/>
          <w:szCs w:val="24"/>
        </w:rPr>
        <w:t xml:space="preserve">Chihuahua es el primer lugar en producción de alfalfa verde, algodón hueso, avena grano, cebolla, chile verde, manzana y nuez. Necesitamos </w:t>
      </w:r>
      <w:r w:rsidRPr="00EA4E5B">
        <w:rPr>
          <w:rFonts w:ascii="Century Gothic" w:hAnsi="Century Gothic" w:cs="Calibri"/>
          <w:bCs/>
          <w:sz w:val="24"/>
          <w:szCs w:val="24"/>
        </w:rPr>
        <w:lastRenderedPageBreak/>
        <w:t>Reglas de operación y presupuestos que consideren nuestra producción y competitividad.</w:t>
      </w:r>
    </w:p>
    <w:p w:rsidR="003B1103" w:rsidRPr="00EA4E5B" w:rsidRDefault="003B1103" w:rsidP="003B1103">
      <w:pPr>
        <w:spacing w:after="200" w:line="360" w:lineRule="auto"/>
        <w:jc w:val="both"/>
        <w:rPr>
          <w:rFonts w:ascii="Century Gothic" w:hAnsi="Century Gothic" w:cs="Calibri"/>
          <w:bCs/>
          <w:sz w:val="24"/>
          <w:szCs w:val="24"/>
        </w:rPr>
      </w:pPr>
      <w:r w:rsidRPr="00EA4E5B">
        <w:rPr>
          <w:rFonts w:ascii="Century Gothic" w:hAnsi="Century Gothic" w:cs="Calibri"/>
          <w:bCs/>
          <w:sz w:val="24"/>
          <w:szCs w:val="24"/>
        </w:rPr>
        <w:t>También es ofensivo el número de requisitos que se solicitan en las Reglas de Operación para acceder a los apoyos, sobre todo para aquellos productores que pertenecen a comunidades indígenas, cuyo nivel productivo es de autoconsumo de mera subsistencia y de ninguna manera se puede comparar con el nivel de industrialización y desarrollo productivo y tecnológico de los productores menonitas o de productores que han alcanzado el nivel para exportar.</w:t>
      </w:r>
    </w:p>
    <w:p w:rsidR="003B1103" w:rsidRPr="00EA4E5B" w:rsidRDefault="00E515B5" w:rsidP="003B1103">
      <w:pPr>
        <w:spacing w:after="200" w:line="360" w:lineRule="auto"/>
        <w:jc w:val="both"/>
        <w:rPr>
          <w:rFonts w:ascii="Century Gothic" w:hAnsi="Century Gothic" w:cs="Calibri"/>
          <w:bCs/>
          <w:sz w:val="24"/>
          <w:szCs w:val="24"/>
        </w:rPr>
      </w:pPr>
      <w:r w:rsidRPr="00EA4E5B">
        <w:rPr>
          <w:rFonts w:ascii="Century Gothic" w:hAnsi="Century Gothic" w:cs="Calibri"/>
          <w:bCs/>
          <w:sz w:val="24"/>
          <w:szCs w:val="24"/>
        </w:rPr>
        <w:t>N</w:t>
      </w:r>
      <w:r w:rsidR="003B1103" w:rsidRPr="00EA4E5B">
        <w:rPr>
          <w:rFonts w:ascii="Century Gothic" w:hAnsi="Century Gothic" w:cs="Calibri"/>
          <w:bCs/>
          <w:sz w:val="24"/>
          <w:szCs w:val="24"/>
        </w:rPr>
        <w:t>o hay una planeación que tome como base el nivel d</w:t>
      </w:r>
      <w:r w:rsidRPr="00EA4E5B">
        <w:rPr>
          <w:rFonts w:ascii="Century Gothic" w:hAnsi="Century Gothic" w:cs="Calibri"/>
          <w:bCs/>
          <w:sz w:val="24"/>
          <w:szCs w:val="24"/>
        </w:rPr>
        <w:t>e desarrollo de los productores. L</w:t>
      </w:r>
      <w:r w:rsidR="003B1103" w:rsidRPr="00EA4E5B">
        <w:rPr>
          <w:rFonts w:ascii="Century Gothic" w:hAnsi="Century Gothic" w:cs="Calibri"/>
          <w:bCs/>
          <w:sz w:val="24"/>
          <w:szCs w:val="24"/>
        </w:rPr>
        <w:t>os pequeños productores, que constituyen alrededor del 70% de los usuarios de  los programas</w:t>
      </w:r>
      <w:r w:rsidRPr="00EA4E5B">
        <w:rPr>
          <w:rFonts w:ascii="Century Gothic" w:hAnsi="Century Gothic" w:cs="Calibri"/>
          <w:bCs/>
          <w:sz w:val="24"/>
          <w:szCs w:val="24"/>
        </w:rPr>
        <w:t xml:space="preserve"> reciben apenas el 30% de los recursos del presupuesto</w:t>
      </w:r>
      <w:r w:rsidR="003B1103" w:rsidRPr="00EA4E5B">
        <w:rPr>
          <w:rFonts w:ascii="Century Gothic" w:hAnsi="Century Gothic" w:cs="Calibri"/>
          <w:bCs/>
          <w:sz w:val="24"/>
          <w:szCs w:val="24"/>
        </w:rPr>
        <w:t xml:space="preserve">.  </w:t>
      </w:r>
    </w:p>
    <w:p w:rsidR="00E515B5" w:rsidRPr="00EA4E5B" w:rsidRDefault="00E515B5" w:rsidP="003B1103">
      <w:pPr>
        <w:spacing w:after="200" w:line="360" w:lineRule="auto"/>
        <w:jc w:val="both"/>
        <w:rPr>
          <w:rFonts w:ascii="Century Gothic" w:hAnsi="Century Gothic" w:cs="Calibri"/>
          <w:bCs/>
          <w:sz w:val="24"/>
          <w:szCs w:val="24"/>
        </w:rPr>
      </w:pPr>
      <w:r w:rsidRPr="00EA4E5B">
        <w:rPr>
          <w:rFonts w:ascii="Century Gothic" w:hAnsi="Century Gothic" w:cs="Calibri"/>
          <w:bCs/>
          <w:sz w:val="24"/>
          <w:szCs w:val="24"/>
        </w:rPr>
        <w:t>Y al contrario, el</w:t>
      </w:r>
      <w:r w:rsidR="003B1103" w:rsidRPr="00EA4E5B">
        <w:rPr>
          <w:rFonts w:ascii="Century Gothic" w:hAnsi="Century Gothic" w:cs="Calibri"/>
          <w:bCs/>
          <w:sz w:val="24"/>
          <w:szCs w:val="24"/>
        </w:rPr>
        <w:t xml:space="preserve"> 30% de los medianos y grandes productores, que </w:t>
      </w:r>
      <w:r w:rsidRPr="00EA4E5B">
        <w:rPr>
          <w:rFonts w:ascii="Century Gothic" w:hAnsi="Century Gothic" w:cs="Calibri"/>
          <w:bCs/>
          <w:sz w:val="24"/>
          <w:szCs w:val="24"/>
        </w:rPr>
        <w:t>también</w:t>
      </w:r>
      <w:r w:rsidR="003B1103" w:rsidRPr="00EA4E5B">
        <w:rPr>
          <w:rFonts w:ascii="Century Gothic" w:hAnsi="Century Gothic" w:cs="Calibri"/>
          <w:bCs/>
          <w:sz w:val="24"/>
          <w:szCs w:val="24"/>
        </w:rPr>
        <w:t xml:space="preserve"> son importantes, </w:t>
      </w:r>
      <w:r w:rsidRPr="00EA4E5B">
        <w:rPr>
          <w:rFonts w:ascii="Century Gothic" w:hAnsi="Century Gothic" w:cs="Calibri"/>
          <w:bCs/>
          <w:sz w:val="24"/>
          <w:szCs w:val="24"/>
        </w:rPr>
        <w:t>reciben el 70% de los recursos presupuestados.</w:t>
      </w:r>
    </w:p>
    <w:p w:rsidR="003B1103" w:rsidRPr="00EA4E5B" w:rsidRDefault="00E515B5" w:rsidP="003B1103">
      <w:pPr>
        <w:spacing w:after="200" w:line="360" w:lineRule="auto"/>
        <w:jc w:val="both"/>
        <w:rPr>
          <w:rFonts w:ascii="Century Gothic" w:hAnsi="Century Gothic" w:cs="Calibri"/>
          <w:bCs/>
          <w:sz w:val="24"/>
          <w:szCs w:val="24"/>
        </w:rPr>
      </w:pPr>
      <w:r w:rsidRPr="00EA4E5B">
        <w:rPr>
          <w:rFonts w:ascii="Century Gothic" w:hAnsi="Century Gothic" w:cs="Calibri"/>
          <w:bCs/>
          <w:sz w:val="24"/>
          <w:szCs w:val="24"/>
        </w:rPr>
        <w:t xml:space="preserve">Todo ello a pesar de que </w:t>
      </w:r>
      <w:r w:rsidR="003B1103" w:rsidRPr="00EA4E5B">
        <w:rPr>
          <w:rFonts w:ascii="Century Gothic" w:hAnsi="Century Gothic" w:cs="Calibri"/>
          <w:bCs/>
          <w:sz w:val="24"/>
          <w:szCs w:val="24"/>
        </w:rPr>
        <w:t>cuentan con mejores condiciones productivas y pueden acceder a otro tipo de apoyos como el financiamiento, el aseguramiento y esquemas de apoyos a la comercialización, la exportación y la generación de valor agregado entre otros.</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Las leyes federales señalan y delimitan los ámbitos de participación de la federación, los estados y los municipios en el caso de la planeación del desarrollo rural, pero en los hechos, dicha planeación se lleva a cabo desde las oficinas centrales de las dependencias del gobierno federal.</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lastRenderedPageBreak/>
        <w:t>Es importante destacar que la Ley de Desarrollo Rural Sustentable mandata que la planeación será por conducto de los Consejos Municipales, Distritales y Estatales de Desarrollo Rural Sustentable, así como con la participación de la Comisión Intersecretarial y del Consejo Mexicano.</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La realidad es que ni los estados, ni los municipios, tienen una participación plena en la planeación rural; tampoco participan en la elaboración de las Reglas de Operación y mucho menos son escuchados o tan siquiera atendidos para orientar el presupuesto a sus necesidades productivas a partir del ámbito regional.</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 xml:space="preserve">El segundo párrafo del artículo 77 de la Ley Federal de Presupuesto y Responsabilidad Hacendaria señala que en el Presupuesto de Egresos se </w:t>
      </w:r>
      <w:r w:rsidR="00F75435" w:rsidRPr="00EA4E5B">
        <w:rPr>
          <w:rFonts w:ascii="Century Gothic" w:hAnsi="Century Gothic" w:cs="Calibri"/>
          <w:sz w:val="24"/>
          <w:szCs w:val="24"/>
        </w:rPr>
        <w:t>establece</w:t>
      </w:r>
      <w:r w:rsidRPr="00EA4E5B">
        <w:rPr>
          <w:rFonts w:ascii="Century Gothic" w:hAnsi="Century Gothic" w:cs="Calibri"/>
          <w:sz w:val="24"/>
          <w:szCs w:val="24"/>
        </w:rPr>
        <w:t xml:space="preserve"> cuales son los programas a través de los cuales se otorgan subsidios y aquellos programas que deban sujetarse a reglas de operación, con el objeto de asegurar que la aplicación de los recursos públicos se realice con eficiencia, eficacia, economía, honradez y transparencia. </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El espí</w:t>
      </w:r>
      <w:r w:rsidR="00EE4649" w:rsidRPr="00EA4E5B">
        <w:rPr>
          <w:rFonts w:ascii="Century Gothic" w:hAnsi="Century Gothic" w:cs="Calibri"/>
          <w:sz w:val="24"/>
          <w:szCs w:val="24"/>
        </w:rPr>
        <w:t>ritu de la iniciativa es</w:t>
      </w:r>
      <w:r w:rsidR="005459BA" w:rsidRPr="00EA4E5B">
        <w:rPr>
          <w:rFonts w:ascii="Century Gothic" w:hAnsi="Century Gothic" w:cs="Calibri"/>
          <w:sz w:val="24"/>
          <w:szCs w:val="24"/>
        </w:rPr>
        <w:t>,</w:t>
      </w:r>
      <w:r w:rsidR="00EE4649" w:rsidRPr="00EA4E5B">
        <w:rPr>
          <w:rFonts w:ascii="Century Gothic" w:hAnsi="Century Gothic" w:cs="Calibri"/>
          <w:sz w:val="24"/>
          <w:szCs w:val="24"/>
        </w:rPr>
        <w:t xml:space="preserve"> que tanto los presupuestos, como las</w:t>
      </w:r>
      <w:r w:rsidRPr="00EA4E5B">
        <w:rPr>
          <w:rFonts w:ascii="Century Gothic" w:hAnsi="Century Gothic" w:cs="Calibri"/>
          <w:sz w:val="24"/>
          <w:szCs w:val="24"/>
        </w:rPr>
        <w:t xml:space="preserve"> Reglas de Operación que se elaboran, tomen en cuenta el potencial productivo</w:t>
      </w:r>
      <w:r w:rsidR="00EE4649" w:rsidRPr="00EA4E5B">
        <w:rPr>
          <w:rFonts w:ascii="Century Gothic" w:hAnsi="Century Gothic" w:cs="Calibri"/>
          <w:sz w:val="24"/>
          <w:szCs w:val="24"/>
        </w:rPr>
        <w:t xml:space="preserve"> de las regiones de acuerdo a sus características y ventajas para que los recursos</w:t>
      </w:r>
      <w:r w:rsidRPr="00EA4E5B">
        <w:rPr>
          <w:rFonts w:ascii="Century Gothic" w:hAnsi="Century Gothic" w:cs="Calibri"/>
          <w:sz w:val="24"/>
          <w:szCs w:val="24"/>
        </w:rPr>
        <w:t xml:space="preserve"> bajen directamente </w:t>
      </w:r>
      <w:r w:rsidR="00327088" w:rsidRPr="00EA4E5B">
        <w:rPr>
          <w:rFonts w:ascii="Century Gothic" w:hAnsi="Century Gothic" w:cs="Calibri"/>
          <w:sz w:val="24"/>
          <w:szCs w:val="24"/>
        </w:rPr>
        <w:t>a los consejos estatales de desarrollo rural</w:t>
      </w:r>
      <w:r w:rsidRPr="00EA4E5B">
        <w:rPr>
          <w:rFonts w:ascii="Century Gothic" w:hAnsi="Century Gothic" w:cs="Calibri"/>
          <w:sz w:val="24"/>
          <w:szCs w:val="24"/>
        </w:rPr>
        <w:t>,</w:t>
      </w:r>
      <w:r w:rsidR="00F75435" w:rsidRPr="00EA4E5B">
        <w:rPr>
          <w:rFonts w:ascii="Century Gothic" w:hAnsi="Century Gothic" w:cs="Calibri"/>
          <w:sz w:val="24"/>
          <w:szCs w:val="24"/>
        </w:rPr>
        <w:t xml:space="preserve"> y que a su vez e</w:t>
      </w:r>
      <w:r w:rsidR="00327088" w:rsidRPr="00EA4E5B">
        <w:rPr>
          <w:rFonts w:ascii="Century Gothic" w:hAnsi="Century Gothic" w:cs="Calibri"/>
          <w:sz w:val="24"/>
          <w:szCs w:val="24"/>
        </w:rPr>
        <w:t>stos tomen en cuenta a los consejos distritales y  municipales para que los municipios</w:t>
      </w:r>
      <w:r w:rsidR="00F015B4" w:rsidRPr="00EA4E5B">
        <w:rPr>
          <w:rFonts w:ascii="Century Gothic" w:hAnsi="Century Gothic" w:cs="Calibri"/>
          <w:sz w:val="24"/>
          <w:szCs w:val="24"/>
        </w:rPr>
        <w:t>,</w:t>
      </w:r>
      <w:r w:rsidR="00327088" w:rsidRPr="00EA4E5B">
        <w:rPr>
          <w:rFonts w:ascii="Century Gothic" w:hAnsi="Century Gothic" w:cs="Calibri"/>
          <w:sz w:val="24"/>
          <w:szCs w:val="24"/>
        </w:rPr>
        <w:t xml:space="preserve"> de acuerdo a sus necesidades</w:t>
      </w:r>
      <w:r w:rsidR="00F015B4" w:rsidRPr="00EA4E5B">
        <w:rPr>
          <w:rFonts w:ascii="Century Gothic" w:hAnsi="Century Gothic" w:cs="Calibri"/>
          <w:sz w:val="24"/>
          <w:szCs w:val="24"/>
        </w:rPr>
        <w:t>,</w:t>
      </w:r>
      <w:r w:rsidR="00327088" w:rsidRPr="00EA4E5B">
        <w:rPr>
          <w:rFonts w:ascii="Century Gothic" w:hAnsi="Century Gothic" w:cs="Calibri"/>
          <w:sz w:val="24"/>
          <w:szCs w:val="24"/>
        </w:rPr>
        <w:t xml:space="preserve"> desarrollen su planeación.</w:t>
      </w:r>
      <w:r w:rsidR="00EE0B12" w:rsidRPr="00EA4E5B">
        <w:rPr>
          <w:rFonts w:ascii="Century Gothic" w:hAnsi="Century Gothic" w:cs="Calibri"/>
          <w:sz w:val="24"/>
          <w:szCs w:val="24"/>
        </w:rPr>
        <w:t xml:space="preserve"> Teniendo como propósito la municipalización de los recursos, </w:t>
      </w:r>
      <w:r w:rsidR="00EE0B12" w:rsidRPr="00EA4E5B">
        <w:rPr>
          <w:rFonts w:ascii="Century Gothic" w:hAnsi="Century Gothic" w:cs="Calibri"/>
          <w:sz w:val="24"/>
          <w:szCs w:val="24"/>
        </w:rPr>
        <w:lastRenderedPageBreak/>
        <w:t xml:space="preserve">planeados y aplicados en subsidios para insumos como fertilizantes, semilla mejorada, combustibles, herbicidas, así como maquinaria agrícola, sistemas de irrigación y asistencia técnica. Esto, apostando a la autosuficiencia alimentaria de los pequeños productores </w:t>
      </w:r>
      <w:r w:rsidR="00F015B4" w:rsidRPr="00EA4E5B">
        <w:rPr>
          <w:rFonts w:ascii="Century Gothic" w:hAnsi="Century Gothic" w:cs="Calibri"/>
          <w:sz w:val="24"/>
          <w:szCs w:val="24"/>
        </w:rPr>
        <w:t>a la vez que los hace más competitivos al bajar</w:t>
      </w:r>
      <w:r w:rsidR="00EE0B12" w:rsidRPr="00EA4E5B">
        <w:rPr>
          <w:rFonts w:ascii="Century Gothic" w:hAnsi="Century Gothic" w:cs="Calibri"/>
          <w:sz w:val="24"/>
          <w:szCs w:val="24"/>
        </w:rPr>
        <w:t xml:space="preserve"> </w:t>
      </w:r>
      <w:r w:rsidR="00F015B4" w:rsidRPr="00EA4E5B">
        <w:rPr>
          <w:rFonts w:ascii="Century Gothic" w:hAnsi="Century Gothic" w:cs="Calibri"/>
          <w:sz w:val="24"/>
          <w:szCs w:val="24"/>
        </w:rPr>
        <w:t>sus c</w:t>
      </w:r>
      <w:r w:rsidR="00EE0B12" w:rsidRPr="00EA4E5B">
        <w:rPr>
          <w:rFonts w:ascii="Century Gothic" w:hAnsi="Century Gothic" w:cs="Calibri"/>
          <w:sz w:val="24"/>
          <w:szCs w:val="24"/>
        </w:rPr>
        <w:t>ostos de producción</w:t>
      </w:r>
      <w:r w:rsidR="00F015B4" w:rsidRPr="00EA4E5B">
        <w:rPr>
          <w:rFonts w:ascii="Century Gothic" w:hAnsi="Century Gothic" w:cs="Calibri"/>
          <w:sz w:val="24"/>
          <w:szCs w:val="24"/>
        </w:rPr>
        <w:t>.</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Las condiciones geográficas, climatológicas, de infraestructura, de sanidad animal o vegetal, fiscal</w:t>
      </w:r>
      <w:r w:rsidR="00474EFD" w:rsidRPr="00EA4E5B">
        <w:rPr>
          <w:rFonts w:ascii="Century Gothic" w:hAnsi="Century Gothic" w:cs="Calibri"/>
          <w:sz w:val="24"/>
          <w:szCs w:val="24"/>
        </w:rPr>
        <w:t>,</w:t>
      </w:r>
      <w:r w:rsidRPr="00EA4E5B">
        <w:rPr>
          <w:rFonts w:ascii="Century Gothic" w:hAnsi="Century Gothic" w:cs="Calibri"/>
          <w:sz w:val="24"/>
          <w:szCs w:val="24"/>
        </w:rPr>
        <w:t xml:space="preserve"> entre otras, así como de productividad y rentabilidad de los productores, son distintas entre una región y otra. </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No es posible aplicar las mismas reglas de operación o la programación del presupuesto, a un pequeño productor de maíz de la</w:t>
      </w:r>
      <w:r w:rsidR="00732D08" w:rsidRPr="00EA4E5B">
        <w:rPr>
          <w:rFonts w:ascii="Century Gothic" w:hAnsi="Century Gothic" w:cs="Calibri"/>
          <w:sz w:val="24"/>
          <w:szCs w:val="24"/>
        </w:rPr>
        <w:t>s</w:t>
      </w:r>
      <w:r w:rsidRPr="00EA4E5B">
        <w:rPr>
          <w:rFonts w:ascii="Century Gothic" w:hAnsi="Century Gothic" w:cs="Calibri"/>
          <w:sz w:val="24"/>
          <w:szCs w:val="24"/>
        </w:rPr>
        <w:t xml:space="preserve"> etnia</w:t>
      </w:r>
      <w:r w:rsidR="00732D08" w:rsidRPr="00EA4E5B">
        <w:rPr>
          <w:rFonts w:ascii="Century Gothic" w:hAnsi="Century Gothic" w:cs="Calibri"/>
          <w:sz w:val="24"/>
          <w:szCs w:val="24"/>
        </w:rPr>
        <w:t>s que habitan en la Sierra</w:t>
      </w:r>
      <w:r w:rsidRPr="00EA4E5B">
        <w:rPr>
          <w:rFonts w:ascii="Century Gothic" w:hAnsi="Century Gothic" w:cs="Calibri"/>
          <w:sz w:val="24"/>
          <w:szCs w:val="24"/>
        </w:rPr>
        <w:t xml:space="preserve"> </w:t>
      </w:r>
      <w:r w:rsidR="00732D08" w:rsidRPr="00EA4E5B">
        <w:rPr>
          <w:rFonts w:ascii="Century Gothic" w:hAnsi="Century Gothic" w:cs="Calibri"/>
          <w:sz w:val="24"/>
          <w:szCs w:val="24"/>
        </w:rPr>
        <w:t>Tarahumara,</w:t>
      </w:r>
      <w:r w:rsidRPr="00EA4E5B">
        <w:rPr>
          <w:rFonts w:ascii="Century Gothic" w:hAnsi="Century Gothic" w:cs="Calibri"/>
          <w:sz w:val="24"/>
          <w:szCs w:val="24"/>
        </w:rPr>
        <w:t xml:space="preserve"> que a un productor menonita con acceso al financiamiento, y</w:t>
      </w:r>
      <w:r w:rsidR="0079271B">
        <w:rPr>
          <w:rFonts w:ascii="Century Gothic" w:hAnsi="Century Gothic" w:cs="Calibri"/>
          <w:sz w:val="24"/>
          <w:szCs w:val="24"/>
        </w:rPr>
        <w:t xml:space="preserve"> que</w:t>
      </w:r>
      <w:r w:rsidRPr="00EA4E5B">
        <w:rPr>
          <w:rFonts w:ascii="Century Gothic" w:hAnsi="Century Gothic" w:cs="Calibri"/>
          <w:sz w:val="24"/>
          <w:szCs w:val="24"/>
        </w:rPr>
        <w:t xml:space="preserve"> tiene parámetros elevados de competitividad, productividad o desarrollo tecnológico superiores.</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Tampoco es igual que un productor de aguacate de la zona de las barrancas del Estado de Chihuahua, pueda competir con un productor michoacano cuyas condiciones tecnológicas, financieras, productivas y comerciales son completamente diferentes.</w:t>
      </w:r>
    </w:p>
    <w:p w:rsidR="003B1103" w:rsidRPr="00EA4E5B" w:rsidRDefault="003B1103" w:rsidP="00EE4649">
      <w:pPr>
        <w:spacing w:after="200" w:line="360" w:lineRule="auto"/>
        <w:jc w:val="both"/>
        <w:rPr>
          <w:rFonts w:ascii="Century Gothic" w:hAnsi="Century Gothic" w:cs="Calibri"/>
          <w:sz w:val="24"/>
          <w:szCs w:val="24"/>
        </w:rPr>
      </w:pPr>
      <w:r w:rsidRPr="00EA4E5B">
        <w:rPr>
          <w:rFonts w:ascii="Century Gothic" w:hAnsi="Century Gothic" w:cs="Calibri"/>
          <w:sz w:val="24"/>
          <w:szCs w:val="24"/>
        </w:rPr>
        <w:t>Uno de los principales obstáculos que se han presentado para potenciar el desarrollo de las comunidades y de los sectores productivos, es planear el desarrollo desconociendo el ámbito regional y de la organización de la producción, de la productividad y la competitividad.</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 xml:space="preserve">Con la elaboración de presupuestos y Reglas de Operación regionales que </w:t>
      </w:r>
      <w:r w:rsidR="00732D08" w:rsidRPr="00EA4E5B">
        <w:rPr>
          <w:rFonts w:ascii="Century Gothic" w:hAnsi="Century Gothic" w:cs="Calibri"/>
          <w:sz w:val="24"/>
          <w:szCs w:val="24"/>
        </w:rPr>
        <w:t>incluyan</w:t>
      </w:r>
      <w:r w:rsidRPr="00EA4E5B">
        <w:rPr>
          <w:rFonts w:ascii="Century Gothic" w:hAnsi="Century Gothic" w:cs="Calibri"/>
          <w:sz w:val="24"/>
          <w:szCs w:val="24"/>
        </w:rPr>
        <w:t xml:space="preserve"> las ventajas </w:t>
      </w:r>
      <w:r w:rsidR="00732D08" w:rsidRPr="00EA4E5B">
        <w:rPr>
          <w:rFonts w:ascii="Century Gothic" w:hAnsi="Century Gothic" w:cs="Calibri"/>
          <w:sz w:val="24"/>
          <w:szCs w:val="24"/>
        </w:rPr>
        <w:t>competitivas</w:t>
      </w:r>
      <w:r w:rsidRPr="00EA4E5B">
        <w:rPr>
          <w:rFonts w:ascii="Century Gothic" w:hAnsi="Century Gothic" w:cs="Calibri"/>
          <w:sz w:val="24"/>
          <w:szCs w:val="24"/>
        </w:rPr>
        <w:t xml:space="preserve"> de los productores, se reconocerá </w:t>
      </w:r>
      <w:r w:rsidRPr="00EA4E5B">
        <w:rPr>
          <w:rFonts w:ascii="Century Gothic" w:hAnsi="Century Gothic" w:cs="Calibri"/>
          <w:sz w:val="24"/>
          <w:szCs w:val="24"/>
        </w:rPr>
        <w:lastRenderedPageBreak/>
        <w:t>en consecuencia su distinto grado de desarrollo, así como la diversidad física, ambiental, cultural, tecnológica y de otras capacidades.</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Diputadas y Diputados: No se debe mantener el mismo esquema de elaboración de las Reglas de Operación de los distintos Programas que son elaborados por el gobierno federal y que se orientan al Desarrollo Rural.</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 xml:space="preserve">Tampoco se debe mantener la elaboración de presupuestos desconociendo la vocación productiva de las regiones, ya que no obedecen al reconocimiento de las necesidades regionales, ni al nivel de desarrollo productivo y comercial de los sistemas producto. </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Es tiempo de dar a los productores del sector rural, mejores instrumentos de planeación, mejores Reglas de Operación y mejores presupuestos que bajen por conducto de los Sistemas Producto, para generar condiciones de productividad y competitividad que beneficien el desarrollo económico y social de las y los chihuahuenses.</w:t>
      </w:r>
    </w:p>
    <w:p w:rsidR="00596C8B" w:rsidRPr="00EA4E5B" w:rsidRDefault="00596C8B" w:rsidP="00596C8B">
      <w:pPr>
        <w:spacing w:after="200" w:line="360" w:lineRule="auto"/>
        <w:jc w:val="both"/>
        <w:rPr>
          <w:rFonts w:ascii="Century Gothic" w:hAnsi="Century Gothic" w:cs="Calibri"/>
          <w:sz w:val="24"/>
          <w:szCs w:val="24"/>
        </w:rPr>
      </w:pPr>
      <w:r w:rsidRPr="00EA4E5B">
        <w:rPr>
          <w:rFonts w:ascii="Century Gothic" w:hAnsi="Century Gothic" w:cs="Calibri"/>
          <w:sz w:val="24"/>
          <w:szCs w:val="24"/>
        </w:rPr>
        <w:t xml:space="preserve">Compañeras y compañeros, los conmino a sumar esfuerzos y voluntades para apoyar a las y los productores del Estado, dando su voto a favor para que esta iniciativa sea aprobada </w:t>
      </w:r>
      <w:r w:rsidR="00152488" w:rsidRPr="00EA4E5B">
        <w:rPr>
          <w:rFonts w:ascii="Century Gothic" w:hAnsi="Century Gothic" w:cs="Calibri"/>
          <w:sz w:val="24"/>
          <w:szCs w:val="24"/>
        </w:rPr>
        <w:t>ante esta Honorable representación y</w:t>
      </w:r>
      <w:r w:rsidRPr="00EA4E5B">
        <w:rPr>
          <w:rFonts w:ascii="Century Gothic" w:hAnsi="Century Gothic" w:cs="Calibri"/>
          <w:sz w:val="24"/>
          <w:szCs w:val="24"/>
        </w:rPr>
        <w:t xml:space="preserve"> en el Congreso Federal</w:t>
      </w:r>
      <w:r w:rsidR="00152488" w:rsidRPr="00EA4E5B">
        <w:rPr>
          <w:rFonts w:ascii="Century Gothic" w:hAnsi="Century Gothic" w:cs="Calibri"/>
          <w:sz w:val="24"/>
          <w:szCs w:val="24"/>
        </w:rPr>
        <w:t>.</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Con base en la anterior exposición de motivos, me permito someter a consideración del Pleno de este Honorable Congreso del Estado, el presente proyecto con carácter de:</w:t>
      </w:r>
    </w:p>
    <w:p w:rsidR="000C22CE" w:rsidRDefault="000C22CE" w:rsidP="003B1103">
      <w:pPr>
        <w:spacing w:after="200" w:line="360" w:lineRule="auto"/>
        <w:jc w:val="center"/>
        <w:rPr>
          <w:rFonts w:ascii="Century Gothic" w:hAnsi="Century Gothic" w:cs="Calibri"/>
          <w:b/>
          <w:sz w:val="24"/>
          <w:szCs w:val="24"/>
        </w:rPr>
      </w:pPr>
    </w:p>
    <w:p w:rsidR="003B1103" w:rsidRPr="00EA4E5B" w:rsidRDefault="003B1103" w:rsidP="003B1103">
      <w:pPr>
        <w:spacing w:after="200" w:line="360" w:lineRule="auto"/>
        <w:jc w:val="center"/>
        <w:rPr>
          <w:rFonts w:ascii="Century Gothic" w:hAnsi="Century Gothic" w:cs="Calibri"/>
          <w:b/>
          <w:sz w:val="24"/>
          <w:szCs w:val="24"/>
        </w:rPr>
      </w:pPr>
      <w:r w:rsidRPr="00EA4E5B">
        <w:rPr>
          <w:rFonts w:ascii="Century Gothic" w:hAnsi="Century Gothic" w:cs="Calibri"/>
          <w:b/>
          <w:sz w:val="24"/>
          <w:szCs w:val="24"/>
        </w:rPr>
        <w:lastRenderedPageBreak/>
        <w:t>DECRETO ANTE EL CONGRESO DE LA UNIÓN</w:t>
      </w:r>
    </w:p>
    <w:p w:rsidR="00C549D5" w:rsidRPr="00EA4E5B" w:rsidRDefault="00C549D5" w:rsidP="003B1103">
      <w:pPr>
        <w:tabs>
          <w:tab w:val="left" w:pos="1825"/>
        </w:tabs>
        <w:spacing w:after="200" w:line="360" w:lineRule="auto"/>
        <w:jc w:val="both"/>
        <w:rPr>
          <w:rFonts w:ascii="Century Gothic" w:hAnsi="Century Gothic"/>
          <w:b/>
          <w:bCs/>
          <w:sz w:val="24"/>
          <w:szCs w:val="24"/>
        </w:rPr>
      </w:pPr>
      <w:r w:rsidRPr="00EA4E5B">
        <w:rPr>
          <w:rFonts w:ascii="Century Gothic" w:hAnsi="Century Gothic" w:cs="Calibri"/>
          <w:b/>
          <w:sz w:val="24"/>
          <w:szCs w:val="24"/>
        </w:rPr>
        <w:t>ÚNICO</w:t>
      </w:r>
      <w:r w:rsidR="003B1103" w:rsidRPr="00EA4E5B">
        <w:rPr>
          <w:rFonts w:ascii="Century Gothic" w:hAnsi="Century Gothic" w:cs="Calibri"/>
          <w:b/>
          <w:sz w:val="24"/>
          <w:szCs w:val="24"/>
        </w:rPr>
        <w:t xml:space="preserve">.- </w:t>
      </w:r>
      <w:r w:rsidR="003B1103" w:rsidRPr="00EA4E5B">
        <w:rPr>
          <w:rFonts w:ascii="Century Gothic" w:hAnsi="Century Gothic"/>
          <w:b/>
          <w:bCs/>
          <w:sz w:val="24"/>
          <w:szCs w:val="24"/>
        </w:rPr>
        <w:t xml:space="preserve">SE </w:t>
      </w:r>
      <w:r w:rsidRPr="00EA4E5B">
        <w:rPr>
          <w:rFonts w:ascii="Century Gothic" w:hAnsi="Century Gothic"/>
          <w:b/>
          <w:bCs/>
          <w:sz w:val="24"/>
          <w:szCs w:val="24"/>
        </w:rPr>
        <w:t xml:space="preserve">REFORMA EL PÁRRAFO PRIMERO DEL ARTÍCULO 6º; </w:t>
      </w:r>
      <w:r w:rsidR="003B1103" w:rsidRPr="00EA4E5B">
        <w:rPr>
          <w:rFonts w:ascii="Century Gothic" w:hAnsi="Century Gothic"/>
          <w:b/>
          <w:bCs/>
          <w:sz w:val="24"/>
          <w:szCs w:val="24"/>
        </w:rPr>
        <w:t xml:space="preserve"> </w:t>
      </w:r>
      <w:r w:rsidRPr="00EA4E5B">
        <w:rPr>
          <w:rFonts w:ascii="Century Gothic" w:hAnsi="Century Gothic"/>
          <w:b/>
          <w:bCs/>
          <w:sz w:val="24"/>
          <w:szCs w:val="24"/>
        </w:rPr>
        <w:t>y 8º, PRIMERO Y SEGUNDO PÁRRAFO,</w:t>
      </w:r>
      <w:r w:rsidR="003B1103" w:rsidRPr="00EA4E5B">
        <w:rPr>
          <w:rFonts w:ascii="Century Gothic" w:hAnsi="Century Gothic"/>
          <w:b/>
          <w:bCs/>
          <w:sz w:val="24"/>
          <w:szCs w:val="24"/>
        </w:rPr>
        <w:t xml:space="preserve"> </w:t>
      </w:r>
      <w:r w:rsidRPr="00EA4E5B">
        <w:rPr>
          <w:rFonts w:ascii="Century Gothic" w:hAnsi="Century Gothic"/>
          <w:b/>
          <w:bCs/>
          <w:sz w:val="24"/>
          <w:szCs w:val="24"/>
        </w:rPr>
        <w:t xml:space="preserve">Y SE ADICIONA </w:t>
      </w:r>
      <w:r w:rsidR="003B1103" w:rsidRPr="00EA4E5B">
        <w:rPr>
          <w:rFonts w:ascii="Century Gothic" w:hAnsi="Century Gothic"/>
          <w:b/>
          <w:bCs/>
          <w:sz w:val="24"/>
          <w:szCs w:val="24"/>
        </w:rPr>
        <w:t>AL ARTÍCULO 5</w:t>
      </w:r>
      <w:r w:rsidRPr="00EA4E5B">
        <w:rPr>
          <w:rFonts w:ascii="Century Gothic" w:hAnsi="Century Gothic"/>
          <w:b/>
          <w:bCs/>
          <w:sz w:val="24"/>
          <w:szCs w:val="24"/>
        </w:rPr>
        <w:t>º CON UNA FRACCIÓN SEXTA, TODOS</w:t>
      </w:r>
      <w:r w:rsidR="003B1103" w:rsidRPr="00EA4E5B">
        <w:rPr>
          <w:rFonts w:ascii="Century Gothic" w:hAnsi="Century Gothic"/>
          <w:b/>
          <w:bCs/>
          <w:sz w:val="24"/>
          <w:szCs w:val="24"/>
        </w:rPr>
        <w:t xml:space="preserve"> DE LA LEY DE DESARROLLO RURAL SUSTENTABLE.</w:t>
      </w:r>
    </w:p>
    <w:p w:rsidR="000C22CE" w:rsidRDefault="003B1103" w:rsidP="003B1103">
      <w:pPr>
        <w:tabs>
          <w:tab w:val="left" w:pos="1825"/>
        </w:tabs>
        <w:spacing w:after="200" w:line="360" w:lineRule="auto"/>
        <w:jc w:val="both"/>
        <w:rPr>
          <w:rFonts w:ascii="Century Gothic" w:hAnsi="Century Gothic"/>
          <w:b/>
          <w:bCs/>
          <w:sz w:val="24"/>
          <w:szCs w:val="24"/>
        </w:rPr>
      </w:pPr>
      <w:r w:rsidRPr="00EA4E5B">
        <w:rPr>
          <w:rFonts w:ascii="Century Gothic" w:hAnsi="Century Gothic"/>
          <w:b/>
          <w:bCs/>
          <w:sz w:val="24"/>
          <w:szCs w:val="24"/>
        </w:rPr>
        <w:t xml:space="preserve"> </w:t>
      </w:r>
    </w:p>
    <w:p w:rsidR="003B1103" w:rsidRPr="00EA4E5B" w:rsidRDefault="003B1103" w:rsidP="003B1103">
      <w:pPr>
        <w:tabs>
          <w:tab w:val="left" w:pos="1825"/>
        </w:tabs>
        <w:spacing w:after="200" w:line="360" w:lineRule="auto"/>
        <w:jc w:val="both"/>
        <w:rPr>
          <w:rFonts w:ascii="Century Gothic" w:hAnsi="Century Gothic" w:cs="Calibri"/>
          <w:sz w:val="24"/>
          <w:szCs w:val="24"/>
        </w:rPr>
      </w:pPr>
      <w:r w:rsidRPr="00EA4E5B">
        <w:rPr>
          <w:rFonts w:ascii="Century Gothic" w:hAnsi="Century Gothic" w:cs="Calibri"/>
          <w:b/>
          <w:sz w:val="24"/>
          <w:szCs w:val="24"/>
        </w:rPr>
        <w:t>Artículo 5o.-</w:t>
      </w:r>
      <w:r w:rsidRPr="00EA4E5B">
        <w:rPr>
          <w:rFonts w:ascii="Century Gothic" w:hAnsi="Century Gothic" w:cs="Calibri"/>
          <w:sz w:val="24"/>
          <w:szCs w:val="24"/>
        </w:rPr>
        <w:t xml:space="preserve"> En el marco previsto en la Constitución Política de los Estados Unidos Mexicanos (…)</w:t>
      </w:r>
    </w:p>
    <w:p w:rsidR="003B1103" w:rsidRPr="00EA4E5B" w:rsidRDefault="003B1103" w:rsidP="003B1103">
      <w:pPr>
        <w:spacing w:after="200" w:line="360" w:lineRule="auto"/>
        <w:jc w:val="both"/>
        <w:rPr>
          <w:rFonts w:ascii="Century Gothic" w:hAnsi="Century Gothic" w:cs="Calibri"/>
          <w:b/>
          <w:sz w:val="24"/>
          <w:szCs w:val="24"/>
        </w:rPr>
      </w:pPr>
      <w:r w:rsidRPr="00EA4E5B">
        <w:rPr>
          <w:rFonts w:ascii="Century Gothic" w:hAnsi="Century Gothic" w:cs="Calibri"/>
          <w:b/>
          <w:sz w:val="24"/>
          <w:szCs w:val="24"/>
        </w:rPr>
        <w:t xml:space="preserve">VI. Impulsar la productividad y comercialización de productos de alta competitividad y demanda en los mercados internos y externos, mediante la asignación de presupuestos y reglas de operación regionales, a través  de </w:t>
      </w:r>
      <w:r w:rsidR="00D72978" w:rsidRPr="00EA4E5B">
        <w:rPr>
          <w:rFonts w:ascii="Century Gothic" w:hAnsi="Century Gothic" w:cs="Calibri"/>
          <w:b/>
          <w:sz w:val="24"/>
          <w:szCs w:val="24"/>
        </w:rPr>
        <w:t>Consejos Estatales de Desarrollo Rural Sustentable</w:t>
      </w:r>
      <w:r w:rsidRPr="00EA4E5B">
        <w:rPr>
          <w:rFonts w:ascii="Century Gothic" w:hAnsi="Century Gothic" w:cs="Calibri"/>
          <w:b/>
          <w:sz w:val="24"/>
          <w:szCs w:val="24"/>
        </w:rPr>
        <w:t>.</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b/>
          <w:sz w:val="24"/>
          <w:szCs w:val="24"/>
        </w:rPr>
        <w:t>Artículo 6o.-</w:t>
      </w:r>
      <w:r w:rsidRPr="00EA4E5B">
        <w:rPr>
          <w:rFonts w:ascii="Century Gothic" w:hAnsi="Century Gothic" w:cs="Calibri"/>
          <w:sz w:val="24"/>
          <w:szCs w:val="24"/>
        </w:rPr>
        <w:t xml:space="preserve"> Tendrán carácter prioritario las acciones que el Estado, a través de los tres órdenes de gobierno y en los términos de las leyes aplicables, realice en el medio rural. En dichas acciones, que se efectuarán bajo los criterios de equidad social y de género, integralidad, productividad, sustentabilidad </w:t>
      </w:r>
      <w:r w:rsidRPr="00EA4E5B">
        <w:rPr>
          <w:rFonts w:ascii="Century Gothic" w:hAnsi="Century Gothic" w:cs="Calibri"/>
          <w:b/>
          <w:sz w:val="24"/>
          <w:szCs w:val="24"/>
        </w:rPr>
        <w:t>y regionalización</w:t>
      </w:r>
      <w:r w:rsidRPr="00EA4E5B">
        <w:rPr>
          <w:rFonts w:ascii="Century Gothic" w:hAnsi="Century Gothic" w:cs="Calibri"/>
          <w:sz w:val="24"/>
          <w:szCs w:val="24"/>
        </w:rPr>
        <w:t>; podrán participar los sectores social y privado.</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b/>
          <w:sz w:val="24"/>
          <w:szCs w:val="24"/>
        </w:rPr>
        <w:t>Artículo 8o.-</w:t>
      </w:r>
      <w:r w:rsidRPr="00EA4E5B">
        <w:rPr>
          <w:rFonts w:ascii="Century Gothic" w:hAnsi="Century Gothic" w:cs="Calibri"/>
          <w:sz w:val="24"/>
          <w:szCs w:val="24"/>
        </w:rPr>
        <w:t xml:space="preserve"> Las acciones de desarrollo rural sustentable que efectúe el Estado, atenderán de manera diferenciada y prioritaria a las regiones y zonas con mayor rezago social y económico </w:t>
      </w:r>
      <w:r w:rsidRPr="00EA4E5B">
        <w:rPr>
          <w:rFonts w:ascii="Century Gothic" w:hAnsi="Century Gothic" w:cs="Calibri"/>
          <w:b/>
          <w:sz w:val="24"/>
          <w:szCs w:val="24"/>
        </w:rPr>
        <w:t>así como aquellos con potencial productivo orientados a la exportación</w:t>
      </w:r>
      <w:r w:rsidRPr="00EA4E5B">
        <w:rPr>
          <w:rFonts w:ascii="Century Gothic" w:hAnsi="Century Gothic" w:cs="Calibri"/>
          <w:sz w:val="24"/>
          <w:szCs w:val="24"/>
        </w:rPr>
        <w:t xml:space="preserve">, mediante el impulso a las actividades del medio rural, el incremento a la inversión productiva, el </w:t>
      </w:r>
      <w:r w:rsidRPr="00EA4E5B">
        <w:rPr>
          <w:rFonts w:ascii="Century Gothic" w:hAnsi="Century Gothic" w:cs="Calibri"/>
          <w:sz w:val="24"/>
          <w:szCs w:val="24"/>
        </w:rPr>
        <w:lastRenderedPageBreak/>
        <w:t>fomento a la diversificación de oportunidades de empleo e ingreso y la promoción de vínculos entre los ámbitos rural y urbano para facilitar a los agentes de la sociedad rural el acceso a los apoyos que requiere su actividad productiva, así como a los servicios para su bienestar.</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t xml:space="preserve">Para lo anterior, el Estado promoverá lo necesario para formular y llevar a cabo </w:t>
      </w:r>
      <w:r w:rsidRPr="00EA4E5B">
        <w:rPr>
          <w:rFonts w:ascii="Century Gothic" w:hAnsi="Century Gothic" w:cs="Calibri"/>
          <w:b/>
          <w:sz w:val="24"/>
          <w:szCs w:val="24"/>
        </w:rPr>
        <w:t>presupuestos y reglas de operación, regionales y especiales,</w:t>
      </w:r>
      <w:r w:rsidRPr="00EA4E5B">
        <w:rPr>
          <w:rFonts w:ascii="Century Gothic" w:hAnsi="Century Gothic" w:cs="Calibri"/>
          <w:sz w:val="24"/>
          <w:szCs w:val="24"/>
        </w:rPr>
        <w:t xml:space="preserve"> programas de atención especial, con la concurrencia de los instrumentos de política de desarrollo social y de población a cargo de las dependencias y entidades de la administración pública federal competentes, de las entidades federativas, y los municipios.</w:t>
      </w:r>
    </w:p>
    <w:p w:rsidR="00C51D21" w:rsidRPr="00EA4E5B" w:rsidRDefault="00C51D21">
      <w:pPr>
        <w:spacing w:after="200" w:line="276" w:lineRule="auto"/>
        <w:rPr>
          <w:rFonts w:ascii="Century Gothic" w:hAnsi="Century Gothic" w:cs="Calibri"/>
          <w:b/>
          <w:sz w:val="24"/>
          <w:szCs w:val="24"/>
        </w:rPr>
      </w:pPr>
      <w:r w:rsidRPr="00EA4E5B">
        <w:rPr>
          <w:rFonts w:ascii="Century Gothic" w:hAnsi="Century Gothic" w:cs="Calibri"/>
          <w:b/>
          <w:sz w:val="24"/>
          <w:szCs w:val="24"/>
        </w:rPr>
        <w:br w:type="page"/>
      </w:r>
    </w:p>
    <w:p w:rsidR="003B1103" w:rsidRPr="00EA4E5B" w:rsidRDefault="003B1103" w:rsidP="003B1103">
      <w:pPr>
        <w:spacing w:after="200" w:line="360" w:lineRule="auto"/>
        <w:jc w:val="center"/>
        <w:rPr>
          <w:rFonts w:ascii="Century Gothic" w:hAnsi="Century Gothic" w:cs="Calibri"/>
          <w:sz w:val="24"/>
          <w:szCs w:val="24"/>
        </w:rPr>
      </w:pPr>
      <w:r w:rsidRPr="00EA4E5B">
        <w:rPr>
          <w:rFonts w:ascii="Century Gothic" w:hAnsi="Century Gothic" w:cs="Calibri"/>
          <w:b/>
          <w:sz w:val="24"/>
          <w:szCs w:val="24"/>
        </w:rPr>
        <w:lastRenderedPageBreak/>
        <w:t>TRANSITORIOS.</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b/>
          <w:sz w:val="24"/>
          <w:szCs w:val="24"/>
        </w:rPr>
        <w:t>ÚNICO:</w:t>
      </w:r>
      <w:r w:rsidRPr="00EA4E5B">
        <w:rPr>
          <w:rFonts w:ascii="Century Gothic" w:hAnsi="Century Gothic" w:cs="Calibri"/>
          <w:sz w:val="24"/>
          <w:szCs w:val="24"/>
        </w:rPr>
        <w:t xml:space="preserve"> Una vez aprobado el presente Decreto ante el Honorable Congreso </w:t>
      </w:r>
      <w:r w:rsidR="00B04069" w:rsidRPr="00EA4E5B">
        <w:rPr>
          <w:rFonts w:ascii="Century Gothic" w:hAnsi="Century Gothic" w:cs="Calibri"/>
          <w:sz w:val="24"/>
          <w:szCs w:val="24"/>
        </w:rPr>
        <w:t>del Estado</w:t>
      </w:r>
      <w:r w:rsidR="00B04069" w:rsidRPr="00EA4E5B">
        <w:rPr>
          <w:rFonts w:ascii="Century Gothic" w:hAnsi="Century Gothic" w:cs="Calibri"/>
          <w:b/>
          <w:color w:val="FF0000"/>
          <w:sz w:val="24"/>
          <w:szCs w:val="24"/>
        </w:rPr>
        <w:t>,</w:t>
      </w:r>
      <w:r w:rsidRPr="00EA4E5B">
        <w:rPr>
          <w:rFonts w:ascii="Century Gothic" w:hAnsi="Century Gothic" w:cs="Calibri"/>
          <w:sz w:val="24"/>
          <w:szCs w:val="24"/>
        </w:rPr>
        <w:t xml:space="preserve"> remítase al Honorable Congreso de la Unión, de conformidad con lo dispuesto por el artículo 71 fracción III de la Constitución Política de los Estados Unidos Mexicanos.</w:t>
      </w:r>
    </w:p>
    <w:p w:rsidR="003B1103" w:rsidRPr="00EA4E5B" w:rsidRDefault="003B1103" w:rsidP="003B1103">
      <w:pPr>
        <w:spacing w:after="200" w:line="360" w:lineRule="auto"/>
        <w:jc w:val="both"/>
        <w:rPr>
          <w:rFonts w:ascii="Century Gothic" w:hAnsi="Century Gothic" w:cs="Calibri"/>
          <w:sz w:val="24"/>
          <w:szCs w:val="24"/>
        </w:rPr>
      </w:pPr>
      <w:r w:rsidRPr="00EA4E5B">
        <w:rPr>
          <w:rFonts w:ascii="Century Gothic" w:hAnsi="Century Gothic" w:cs="Calibri"/>
          <w:sz w:val="24"/>
          <w:szCs w:val="24"/>
        </w:rPr>
        <w:br/>
        <w:t>Dado en el Salón de Sesiones del Poder Legislativo, a los dieciocho días de septiembre del año dos mil dieciocho.</w:t>
      </w:r>
    </w:p>
    <w:p w:rsidR="003B1103" w:rsidRPr="00EA4E5B" w:rsidRDefault="003B1103" w:rsidP="003B1103">
      <w:pPr>
        <w:spacing w:after="200" w:line="360" w:lineRule="auto"/>
        <w:jc w:val="both"/>
        <w:rPr>
          <w:rFonts w:ascii="Century Gothic" w:hAnsi="Century Gothic" w:cs="Calibri"/>
          <w:sz w:val="24"/>
          <w:szCs w:val="24"/>
        </w:rPr>
      </w:pPr>
    </w:p>
    <w:p w:rsidR="003B1103" w:rsidRPr="00EA4E5B" w:rsidRDefault="003B1103" w:rsidP="003B1103">
      <w:pPr>
        <w:spacing w:after="200" w:line="360" w:lineRule="auto"/>
        <w:jc w:val="both"/>
        <w:rPr>
          <w:rFonts w:ascii="Century Gothic" w:hAnsi="Century Gothic" w:cs="Calibri"/>
          <w:sz w:val="24"/>
          <w:szCs w:val="24"/>
        </w:rPr>
      </w:pPr>
    </w:p>
    <w:p w:rsidR="003B1103" w:rsidRPr="00EA4E5B" w:rsidRDefault="003B1103" w:rsidP="003B1103">
      <w:pPr>
        <w:tabs>
          <w:tab w:val="center" w:pos="4419"/>
          <w:tab w:val="left" w:pos="5827"/>
        </w:tabs>
        <w:spacing w:line="360" w:lineRule="auto"/>
        <w:rPr>
          <w:rFonts w:ascii="Century Gothic" w:hAnsi="Century Gothic"/>
          <w:b/>
          <w:bCs/>
          <w:sz w:val="24"/>
          <w:szCs w:val="24"/>
        </w:rPr>
      </w:pPr>
      <w:r w:rsidRPr="00EA4E5B">
        <w:rPr>
          <w:rFonts w:ascii="Century Gothic" w:hAnsi="Century Gothic"/>
          <w:b/>
          <w:bCs/>
          <w:sz w:val="24"/>
          <w:szCs w:val="24"/>
        </w:rPr>
        <w:tab/>
        <w:t>A T E N T A M E N T E</w:t>
      </w:r>
      <w:r w:rsidRPr="00EA4E5B">
        <w:rPr>
          <w:rFonts w:ascii="Century Gothic" w:hAnsi="Century Gothic"/>
          <w:b/>
          <w:bCs/>
          <w:sz w:val="24"/>
          <w:szCs w:val="24"/>
        </w:rPr>
        <w:tab/>
      </w:r>
    </w:p>
    <w:p w:rsidR="003B1103" w:rsidRPr="00EA4E5B" w:rsidRDefault="003B1103" w:rsidP="003B1103">
      <w:pPr>
        <w:tabs>
          <w:tab w:val="center" w:pos="4419"/>
          <w:tab w:val="left" w:pos="5827"/>
        </w:tabs>
        <w:spacing w:line="360" w:lineRule="auto"/>
        <w:rPr>
          <w:rFonts w:ascii="Century Gothic" w:hAnsi="Century Gothic"/>
          <w:b/>
          <w:bCs/>
          <w:sz w:val="24"/>
          <w:szCs w:val="24"/>
        </w:rPr>
      </w:pPr>
    </w:p>
    <w:p w:rsidR="003B1103" w:rsidRPr="00EA4E5B" w:rsidRDefault="003B1103" w:rsidP="003B1103">
      <w:pPr>
        <w:spacing w:line="360" w:lineRule="auto"/>
        <w:jc w:val="both"/>
        <w:rPr>
          <w:rFonts w:ascii="Century Gothic" w:hAnsi="Century Gothic"/>
          <w:b/>
          <w:sz w:val="24"/>
          <w:szCs w:val="24"/>
        </w:rPr>
      </w:pPr>
    </w:p>
    <w:p w:rsidR="003B1103" w:rsidRPr="00EA4E5B" w:rsidRDefault="003B1103" w:rsidP="003B1103">
      <w:pPr>
        <w:pStyle w:val="paragraph"/>
        <w:spacing w:before="0" w:beforeAutospacing="0" w:after="0" w:afterAutospacing="0" w:line="360" w:lineRule="auto"/>
        <w:jc w:val="center"/>
        <w:textAlignment w:val="baseline"/>
        <w:rPr>
          <w:rFonts w:ascii="Century Gothic" w:hAnsi="Century Gothic" w:cs="Segoe UI"/>
        </w:rPr>
      </w:pPr>
      <w:r w:rsidRPr="00EA4E5B">
        <w:rPr>
          <w:rStyle w:val="normaltextrun"/>
          <w:rFonts w:ascii="Century Gothic" w:eastAsia="Calibri" w:hAnsi="Century Gothic" w:cs="Segoe UI"/>
          <w:b/>
          <w:bCs/>
        </w:rPr>
        <w:t>DIP. JESÚS VELÁZQUEZ RODRÍGUEZ</w:t>
      </w:r>
    </w:p>
    <w:p w:rsidR="003B1103" w:rsidRPr="00EA4E5B" w:rsidRDefault="003B1103" w:rsidP="003B1103">
      <w:pPr>
        <w:spacing w:line="360" w:lineRule="auto"/>
        <w:rPr>
          <w:rFonts w:ascii="Century Gothic" w:hAnsi="Century Gothic"/>
          <w:sz w:val="24"/>
          <w:szCs w:val="24"/>
        </w:rPr>
      </w:pPr>
    </w:p>
    <w:p w:rsidR="002841F3" w:rsidRPr="00EA4E5B" w:rsidRDefault="002841F3">
      <w:pPr>
        <w:rPr>
          <w:sz w:val="24"/>
          <w:szCs w:val="24"/>
        </w:rPr>
      </w:pPr>
      <w:bookmarkStart w:id="0" w:name="_GoBack"/>
      <w:bookmarkEnd w:id="0"/>
    </w:p>
    <w:sectPr w:rsidR="002841F3" w:rsidRPr="00EA4E5B" w:rsidSect="000A04A6">
      <w:headerReference w:type="default" r:id="rId6"/>
      <w:footerReference w:type="default" r:id="rId7"/>
      <w:pgSz w:w="12240" w:h="15840"/>
      <w:pgMar w:top="3402"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122" w:rsidRDefault="00F01122">
      <w:r>
        <w:separator/>
      </w:r>
    </w:p>
  </w:endnote>
  <w:endnote w:type="continuationSeparator" w:id="1">
    <w:p w:rsidR="00F01122" w:rsidRDefault="00F0112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1047"/>
      <w:docPartObj>
        <w:docPartGallery w:val="Page Numbers (Bottom of Page)"/>
        <w:docPartUnique/>
      </w:docPartObj>
    </w:sdtPr>
    <w:sdtContent>
      <w:p w:rsidR="00416AC3" w:rsidRDefault="00EF5EB1">
        <w:pPr>
          <w:pStyle w:val="Piedepgina"/>
          <w:jc w:val="center"/>
        </w:pPr>
        <w:r>
          <w:fldChar w:fldCharType="begin"/>
        </w:r>
        <w:r w:rsidR="003B1103">
          <w:instrText xml:space="preserve"> PAGE   \* MERGEFORMAT </w:instrText>
        </w:r>
        <w:r>
          <w:fldChar w:fldCharType="separate"/>
        </w:r>
        <w:r w:rsidR="00585AAE">
          <w:rPr>
            <w:noProof/>
          </w:rPr>
          <w:t>11</w:t>
        </w:r>
        <w:r>
          <w:fldChar w:fldCharType="end"/>
        </w:r>
      </w:p>
    </w:sdtContent>
  </w:sdt>
  <w:p w:rsidR="00416AC3" w:rsidRDefault="00F0112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122" w:rsidRDefault="00F01122">
      <w:r>
        <w:separator/>
      </w:r>
    </w:p>
  </w:footnote>
  <w:footnote w:type="continuationSeparator" w:id="1">
    <w:p w:rsidR="00F01122" w:rsidRDefault="00F011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AC3" w:rsidRDefault="003B1103" w:rsidP="00262FAD">
    <w:pPr>
      <w:pStyle w:val="paragraph"/>
      <w:spacing w:before="0" w:beforeAutospacing="0" w:after="0" w:afterAutospacing="0"/>
      <w:jc w:val="right"/>
      <w:textAlignment w:val="baseline"/>
      <w:rPr>
        <w:rFonts w:ascii="Segoe UI" w:hAnsi="Segoe UI" w:cs="Segoe UI"/>
        <w:sz w:val="18"/>
        <w:szCs w:val="18"/>
      </w:rPr>
    </w:pPr>
    <w:r>
      <w:rPr>
        <w:rFonts w:ascii="Edwardian Script ITC" w:hAnsi="Edwardian Script ITC" w:cs="Segoe UI"/>
        <w:noProof/>
        <w:sz w:val="32"/>
        <w:szCs w:val="32"/>
        <w:lang w:bidi="ar-SA"/>
      </w:rPr>
      <w:drawing>
        <wp:anchor distT="0" distB="0" distL="114300" distR="114300" simplePos="0" relativeHeight="251659264" behindDoc="1" locked="0" layoutInCell="1" allowOverlap="1">
          <wp:simplePos x="0" y="0"/>
          <wp:positionH relativeFrom="column">
            <wp:posOffset>-540385</wp:posOffset>
          </wp:positionH>
          <wp:positionV relativeFrom="paragraph">
            <wp:posOffset>-88265</wp:posOffset>
          </wp:positionV>
          <wp:extent cx="1054735" cy="1020445"/>
          <wp:effectExtent l="19050" t="0" r="0" b="0"/>
          <wp:wrapNone/>
          <wp:docPr id="1" name="Imagen 1"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srcRect/>
                  <a:stretch>
                    <a:fillRect/>
                  </a:stretch>
                </pic:blipFill>
                <pic:spPr bwMode="auto">
                  <a:xfrm>
                    <a:off x="0" y="0"/>
                    <a:ext cx="1054735" cy="1020445"/>
                  </a:xfrm>
                  <a:prstGeom prst="rect">
                    <a:avLst/>
                  </a:prstGeom>
                  <a:noFill/>
                  <a:ln w="9525">
                    <a:noFill/>
                    <a:miter lim="800000"/>
                    <a:headEnd/>
                    <a:tailEnd/>
                  </a:ln>
                </pic:spPr>
              </pic:pic>
            </a:graphicData>
          </a:graphic>
        </wp:anchor>
      </w:drawing>
    </w:r>
    <w:r>
      <w:rPr>
        <w:rStyle w:val="normaltextrun"/>
        <w:rFonts w:ascii="Edwardian Script ITC" w:eastAsia="Calibri" w:hAnsi="Edwardian Script ITC" w:cs="Segoe UI"/>
        <w:sz w:val="32"/>
        <w:szCs w:val="32"/>
      </w:rP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3B1103"/>
    <w:rsid w:val="000106C5"/>
    <w:rsid w:val="00087484"/>
    <w:rsid w:val="00097186"/>
    <w:rsid w:val="000A7A72"/>
    <w:rsid w:val="000C22CE"/>
    <w:rsid w:val="00132934"/>
    <w:rsid w:val="00152488"/>
    <w:rsid w:val="001F68EE"/>
    <w:rsid w:val="002706BC"/>
    <w:rsid w:val="00281DF5"/>
    <w:rsid w:val="002841F3"/>
    <w:rsid w:val="00327088"/>
    <w:rsid w:val="003B1103"/>
    <w:rsid w:val="00452586"/>
    <w:rsid w:val="00474EFD"/>
    <w:rsid w:val="005459BA"/>
    <w:rsid w:val="00585AAE"/>
    <w:rsid w:val="00596C8B"/>
    <w:rsid w:val="005E0136"/>
    <w:rsid w:val="005E1C54"/>
    <w:rsid w:val="005E5D1D"/>
    <w:rsid w:val="005E6F48"/>
    <w:rsid w:val="00612FC6"/>
    <w:rsid w:val="0061366B"/>
    <w:rsid w:val="0067784F"/>
    <w:rsid w:val="00732D08"/>
    <w:rsid w:val="00737924"/>
    <w:rsid w:val="0079271B"/>
    <w:rsid w:val="00913FD4"/>
    <w:rsid w:val="009B5BD1"/>
    <w:rsid w:val="00A12554"/>
    <w:rsid w:val="00A913C4"/>
    <w:rsid w:val="00AE4FFD"/>
    <w:rsid w:val="00B04069"/>
    <w:rsid w:val="00BB7D5B"/>
    <w:rsid w:val="00BC3ED0"/>
    <w:rsid w:val="00C4324E"/>
    <w:rsid w:val="00C51D21"/>
    <w:rsid w:val="00C549D5"/>
    <w:rsid w:val="00CA020A"/>
    <w:rsid w:val="00D72978"/>
    <w:rsid w:val="00E40517"/>
    <w:rsid w:val="00E515B5"/>
    <w:rsid w:val="00EA4E5B"/>
    <w:rsid w:val="00EB6BDA"/>
    <w:rsid w:val="00EE0B12"/>
    <w:rsid w:val="00EE4649"/>
    <w:rsid w:val="00EF5EB1"/>
    <w:rsid w:val="00F01122"/>
    <w:rsid w:val="00F015B4"/>
    <w:rsid w:val="00F21C15"/>
    <w:rsid w:val="00F75435"/>
    <w:rsid w:val="00FE2E23"/>
    <w:rsid w:val="00FF60AD"/>
    <w:rsid w:val="00FF642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C15"/>
    <w:rPr>
      <w:lang w:val="es-MX"/>
    </w:rPr>
  </w:style>
  <w:style w:type="paragraph" w:styleId="Ttulo1">
    <w:name w:val="heading 1"/>
    <w:basedOn w:val="Normal"/>
    <w:next w:val="Normal"/>
    <w:link w:val="Ttulo1Car"/>
    <w:uiPriority w:val="9"/>
    <w:qFormat/>
    <w:rsid w:val="00F21C15"/>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tulo2">
    <w:name w:val="heading 2"/>
    <w:basedOn w:val="Normal"/>
    <w:next w:val="Normal"/>
    <w:link w:val="Ttulo2Car"/>
    <w:uiPriority w:val="9"/>
    <w:semiHidden/>
    <w:unhideWhenUsed/>
    <w:qFormat/>
    <w:rsid w:val="00F21C15"/>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tulo3">
    <w:name w:val="heading 3"/>
    <w:basedOn w:val="Normal"/>
    <w:next w:val="Normal"/>
    <w:link w:val="Ttulo3Car"/>
    <w:uiPriority w:val="9"/>
    <w:semiHidden/>
    <w:unhideWhenUsed/>
    <w:qFormat/>
    <w:rsid w:val="00F21C15"/>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tulo4">
    <w:name w:val="heading 4"/>
    <w:basedOn w:val="Normal"/>
    <w:next w:val="Normal"/>
    <w:link w:val="Ttulo4Car"/>
    <w:uiPriority w:val="9"/>
    <w:semiHidden/>
    <w:unhideWhenUsed/>
    <w:qFormat/>
    <w:rsid w:val="00F21C15"/>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tulo5">
    <w:name w:val="heading 5"/>
    <w:basedOn w:val="Normal"/>
    <w:next w:val="Normal"/>
    <w:link w:val="Ttulo5Car"/>
    <w:uiPriority w:val="9"/>
    <w:semiHidden/>
    <w:unhideWhenUsed/>
    <w:qFormat/>
    <w:rsid w:val="00F21C15"/>
    <w:pPr>
      <w:spacing w:before="200" w:after="80"/>
      <w:ind w:firstLine="0"/>
      <w:outlineLvl w:val="4"/>
    </w:pPr>
    <w:rPr>
      <w:rFonts w:asciiTheme="majorHAnsi" w:eastAsiaTheme="majorEastAsia" w:hAnsiTheme="majorHAnsi" w:cstheme="majorBidi"/>
      <w:color w:val="4F81BD" w:themeColor="accent1"/>
    </w:rPr>
  </w:style>
  <w:style w:type="paragraph" w:styleId="Ttulo6">
    <w:name w:val="heading 6"/>
    <w:basedOn w:val="Normal"/>
    <w:next w:val="Normal"/>
    <w:link w:val="Ttulo6Car"/>
    <w:uiPriority w:val="9"/>
    <w:semiHidden/>
    <w:unhideWhenUsed/>
    <w:qFormat/>
    <w:rsid w:val="00F21C15"/>
    <w:pPr>
      <w:spacing w:before="280" w:after="100"/>
      <w:ind w:firstLine="0"/>
      <w:outlineLvl w:val="5"/>
    </w:pPr>
    <w:rPr>
      <w:rFonts w:asciiTheme="majorHAnsi" w:eastAsiaTheme="majorEastAsia" w:hAnsiTheme="majorHAnsi" w:cstheme="majorBidi"/>
      <w:i/>
      <w:iCs/>
      <w:color w:val="4F81BD" w:themeColor="accent1"/>
    </w:rPr>
  </w:style>
  <w:style w:type="paragraph" w:styleId="Ttulo7">
    <w:name w:val="heading 7"/>
    <w:basedOn w:val="Normal"/>
    <w:next w:val="Normal"/>
    <w:link w:val="Ttulo7Car"/>
    <w:uiPriority w:val="9"/>
    <w:semiHidden/>
    <w:unhideWhenUsed/>
    <w:qFormat/>
    <w:rsid w:val="00F21C15"/>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tulo8">
    <w:name w:val="heading 8"/>
    <w:basedOn w:val="Normal"/>
    <w:next w:val="Normal"/>
    <w:link w:val="Ttulo8Car"/>
    <w:uiPriority w:val="9"/>
    <w:semiHidden/>
    <w:unhideWhenUsed/>
    <w:qFormat/>
    <w:rsid w:val="00F21C15"/>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tulo9">
    <w:name w:val="heading 9"/>
    <w:basedOn w:val="Normal"/>
    <w:next w:val="Normal"/>
    <w:link w:val="Ttulo9Car"/>
    <w:uiPriority w:val="9"/>
    <w:semiHidden/>
    <w:unhideWhenUsed/>
    <w:qFormat/>
    <w:rsid w:val="00F21C15"/>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3B1103"/>
    <w:pPr>
      <w:spacing w:before="100" w:beforeAutospacing="1" w:after="100" w:afterAutospacing="1"/>
    </w:pPr>
    <w:rPr>
      <w:rFonts w:ascii="Times New Roman" w:eastAsia="Times New Roman" w:hAnsi="Times New Roman"/>
      <w:sz w:val="24"/>
      <w:szCs w:val="24"/>
      <w:lang w:eastAsia="es-MX"/>
    </w:rPr>
  </w:style>
  <w:style w:type="character" w:customStyle="1" w:styleId="normaltextrun">
    <w:name w:val="normaltextrun"/>
    <w:basedOn w:val="Fuentedeprrafopredeter"/>
    <w:rsid w:val="003B1103"/>
  </w:style>
  <w:style w:type="character" w:customStyle="1" w:styleId="eop">
    <w:name w:val="eop"/>
    <w:basedOn w:val="Fuentedeprrafopredeter"/>
    <w:rsid w:val="003B1103"/>
  </w:style>
  <w:style w:type="paragraph" w:styleId="Piedepgina">
    <w:name w:val="footer"/>
    <w:basedOn w:val="Normal"/>
    <w:link w:val="PiedepginaCar"/>
    <w:uiPriority w:val="99"/>
    <w:unhideWhenUsed/>
    <w:rsid w:val="003B1103"/>
    <w:pPr>
      <w:tabs>
        <w:tab w:val="center" w:pos="4419"/>
        <w:tab w:val="right" w:pos="8838"/>
      </w:tabs>
    </w:pPr>
  </w:style>
  <w:style w:type="character" w:customStyle="1" w:styleId="PiedepginaCar">
    <w:name w:val="Pie de página Car"/>
    <w:basedOn w:val="Fuentedeprrafopredeter"/>
    <w:link w:val="Piedepgina"/>
    <w:uiPriority w:val="99"/>
    <w:rsid w:val="003B1103"/>
    <w:rPr>
      <w:rFonts w:ascii="Calibri" w:eastAsia="Calibri" w:hAnsi="Calibri" w:cs="Times New Roman"/>
    </w:rPr>
  </w:style>
  <w:style w:type="character" w:styleId="Refdecomentario">
    <w:name w:val="annotation reference"/>
    <w:basedOn w:val="Fuentedeprrafopredeter"/>
    <w:uiPriority w:val="99"/>
    <w:semiHidden/>
    <w:unhideWhenUsed/>
    <w:rsid w:val="00C51D21"/>
    <w:rPr>
      <w:sz w:val="16"/>
      <w:szCs w:val="16"/>
    </w:rPr>
  </w:style>
  <w:style w:type="paragraph" w:styleId="Textocomentario">
    <w:name w:val="annotation text"/>
    <w:basedOn w:val="Normal"/>
    <w:link w:val="TextocomentarioCar"/>
    <w:uiPriority w:val="99"/>
    <w:semiHidden/>
    <w:unhideWhenUsed/>
    <w:rsid w:val="00C51D21"/>
    <w:rPr>
      <w:sz w:val="20"/>
      <w:szCs w:val="20"/>
    </w:rPr>
  </w:style>
  <w:style w:type="character" w:customStyle="1" w:styleId="TextocomentarioCar">
    <w:name w:val="Texto comentario Car"/>
    <w:basedOn w:val="Fuentedeprrafopredeter"/>
    <w:link w:val="Textocomentario"/>
    <w:uiPriority w:val="99"/>
    <w:semiHidden/>
    <w:rsid w:val="00C51D21"/>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51D21"/>
    <w:rPr>
      <w:b/>
      <w:bCs/>
    </w:rPr>
  </w:style>
  <w:style w:type="character" w:customStyle="1" w:styleId="AsuntodelcomentarioCar">
    <w:name w:val="Asunto del comentario Car"/>
    <w:basedOn w:val="TextocomentarioCar"/>
    <w:link w:val="Asuntodelcomentario"/>
    <w:uiPriority w:val="99"/>
    <w:semiHidden/>
    <w:rsid w:val="00C51D21"/>
    <w:rPr>
      <w:b/>
      <w:bCs/>
    </w:rPr>
  </w:style>
  <w:style w:type="paragraph" w:styleId="Textodeglobo">
    <w:name w:val="Balloon Text"/>
    <w:basedOn w:val="Normal"/>
    <w:link w:val="TextodegloboCar"/>
    <w:uiPriority w:val="99"/>
    <w:semiHidden/>
    <w:unhideWhenUsed/>
    <w:rsid w:val="00C51D21"/>
    <w:rPr>
      <w:rFonts w:ascii="Tahoma" w:hAnsi="Tahoma" w:cs="Tahoma"/>
      <w:sz w:val="16"/>
      <w:szCs w:val="16"/>
    </w:rPr>
  </w:style>
  <w:style w:type="character" w:customStyle="1" w:styleId="TextodegloboCar">
    <w:name w:val="Texto de globo Car"/>
    <w:basedOn w:val="Fuentedeprrafopredeter"/>
    <w:link w:val="Textodeglobo"/>
    <w:uiPriority w:val="99"/>
    <w:semiHidden/>
    <w:rsid w:val="00C51D21"/>
    <w:rPr>
      <w:rFonts w:ascii="Tahoma" w:eastAsia="Calibri" w:hAnsi="Tahoma" w:cs="Tahoma"/>
      <w:sz w:val="16"/>
      <w:szCs w:val="16"/>
    </w:rPr>
  </w:style>
  <w:style w:type="character" w:customStyle="1" w:styleId="Ttulo1Car">
    <w:name w:val="Título 1 Car"/>
    <w:basedOn w:val="Fuentedeprrafopredeter"/>
    <w:link w:val="Ttulo1"/>
    <w:uiPriority w:val="9"/>
    <w:rsid w:val="00F21C15"/>
    <w:rPr>
      <w:rFonts w:asciiTheme="majorHAnsi" w:eastAsiaTheme="majorEastAsia" w:hAnsiTheme="majorHAnsi" w:cstheme="majorBidi"/>
      <w:b/>
      <w:bCs/>
      <w:color w:val="365F91" w:themeColor="accent1" w:themeShade="BF"/>
      <w:sz w:val="24"/>
      <w:szCs w:val="24"/>
    </w:rPr>
  </w:style>
  <w:style w:type="character" w:customStyle="1" w:styleId="Ttulo2Car">
    <w:name w:val="Título 2 Car"/>
    <w:basedOn w:val="Fuentedeprrafopredeter"/>
    <w:link w:val="Ttulo2"/>
    <w:uiPriority w:val="9"/>
    <w:semiHidden/>
    <w:rsid w:val="00F21C15"/>
    <w:rPr>
      <w:rFonts w:asciiTheme="majorHAnsi" w:eastAsiaTheme="majorEastAsia" w:hAnsiTheme="majorHAnsi" w:cstheme="majorBidi"/>
      <w:color w:val="365F91" w:themeColor="accent1" w:themeShade="BF"/>
      <w:sz w:val="24"/>
      <w:szCs w:val="24"/>
    </w:rPr>
  </w:style>
  <w:style w:type="character" w:customStyle="1" w:styleId="Ttulo3Car">
    <w:name w:val="Título 3 Car"/>
    <w:basedOn w:val="Fuentedeprrafopredeter"/>
    <w:link w:val="Ttulo3"/>
    <w:uiPriority w:val="9"/>
    <w:semiHidden/>
    <w:rsid w:val="00F21C15"/>
    <w:rPr>
      <w:rFonts w:asciiTheme="majorHAnsi" w:eastAsiaTheme="majorEastAsia" w:hAnsiTheme="majorHAnsi" w:cstheme="majorBidi"/>
      <w:color w:val="4F81BD" w:themeColor="accent1"/>
      <w:sz w:val="24"/>
      <w:szCs w:val="24"/>
    </w:rPr>
  </w:style>
  <w:style w:type="character" w:customStyle="1" w:styleId="Ttulo4Car">
    <w:name w:val="Título 4 Car"/>
    <w:basedOn w:val="Fuentedeprrafopredeter"/>
    <w:link w:val="Ttulo4"/>
    <w:uiPriority w:val="9"/>
    <w:semiHidden/>
    <w:rsid w:val="00F21C15"/>
    <w:rPr>
      <w:rFonts w:asciiTheme="majorHAnsi" w:eastAsiaTheme="majorEastAsia" w:hAnsiTheme="majorHAnsi" w:cstheme="majorBidi"/>
      <w:i/>
      <w:iCs/>
      <w:color w:val="4F81BD" w:themeColor="accent1"/>
      <w:sz w:val="24"/>
      <w:szCs w:val="24"/>
    </w:rPr>
  </w:style>
  <w:style w:type="character" w:customStyle="1" w:styleId="Ttulo5Car">
    <w:name w:val="Título 5 Car"/>
    <w:basedOn w:val="Fuentedeprrafopredeter"/>
    <w:link w:val="Ttulo5"/>
    <w:uiPriority w:val="9"/>
    <w:semiHidden/>
    <w:rsid w:val="00F21C15"/>
    <w:rPr>
      <w:rFonts w:asciiTheme="majorHAnsi" w:eastAsiaTheme="majorEastAsia" w:hAnsiTheme="majorHAnsi" w:cstheme="majorBidi"/>
      <w:color w:val="4F81BD" w:themeColor="accent1"/>
    </w:rPr>
  </w:style>
  <w:style w:type="character" w:customStyle="1" w:styleId="Ttulo6Car">
    <w:name w:val="Título 6 Car"/>
    <w:basedOn w:val="Fuentedeprrafopredeter"/>
    <w:link w:val="Ttulo6"/>
    <w:uiPriority w:val="9"/>
    <w:semiHidden/>
    <w:rsid w:val="00F21C15"/>
    <w:rPr>
      <w:rFonts w:asciiTheme="majorHAnsi" w:eastAsiaTheme="majorEastAsia" w:hAnsiTheme="majorHAnsi" w:cstheme="majorBidi"/>
      <w:i/>
      <w:iCs/>
      <w:color w:val="4F81BD" w:themeColor="accent1"/>
    </w:rPr>
  </w:style>
  <w:style w:type="character" w:customStyle="1" w:styleId="Ttulo7Car">
    <w:name w:val="Título 7 Car"/>
    <w:basedOn w:val="Fuentedeprrafopredeter"/>
    <w:link w:val="Ttulo7"/>
    <w:uiPriority w:val="9"/>
    <w:semiHidden/>
    <w:rsid w:val="00F21C15"/>
    <w:rPr>
      <w:rFonts w:asciiTheme="majorHAnsi" w:eastAsiaTheme="majorEastAsia" w:hAnsiTheme="majorHAnsi" w:cstheme="majorBidi"/>
      <w:b/>
      <w:bCs/>
      <w:color w:val="9BBB59" w:themeColor="accent3"/>
      <w:sz w:val="20"/>
      <w:szCs w:val="20"/>
    </w:rPr>
  </w:style>
  <w:style w:type="character" w:customStyle="1" w:styleId="Ttulo8Car">
    <w:name w:val="Título 8 Car"/>
    <w:basedOn w:val="Fuentedeprrafopredeter"/>
    <w:link w:val="Ttulo8"/>
    <w:uiPriority w:val="9"/>
    <w:semiHidden/>
    <w:rsid w:val="00F21C15"/>
    <w:rPr>
      <w:rFonts w:asciiTheme="majorHAnsi" w:eastAsiaTheme="majorEastAsia" w:hAnsiTheme="majorHAnsi" w:cstheme="majorBidi"/>
      <w:b/>
      <w:bCs/>
      <w:i/>
      <w:iCs/>
      <w:color w:val="9BBB59" w:themeColor="accent3"/>
      <w:sz w:val="20"/>
      <w:szCs w:val="20"/>
    </w:rPr>
  </w:style>
  <w:style w:type="character" w:customStyle="1" w:styleId="Ttulo9Car">
    <w:name w:val="Título 9 Car"/>
    <w:basedOn w:val="Fuentedeprrafopredeter"/>
    <w:link w:val="Ttulo9"/>
    <w:uiPriority w:val="9"/>
    <w:semiHidden/>
    <w:rsid w:val="00F21C15"/>
    <w:rPr>
      <w:rFonts w:asciiTheme="majorHAnsi" w:eastAsiaTheme="majorEastAsia" w:hAnsiTheme="majorHAnsi" w:cstheme="majorBidi"/>
      <w:i/>
      <w:iCs/>
      <w:color w:val="9BBB59" w:themeColor="accent3"/>
      <w:sz w:val="20"/>
      <w:szCs w:val="20"/>
    </w:rPr>
  </w:style>
  <w:style w:type="paragraph" w:styleId="Epgrafe">
    <w:name w:val="caption"/>
    <w:basedOn w:val="Normal"/>
    <w:next w:val="Normal"/>
    <w:uiPriority w:val="35"/>
    <w:semiHidden/>
    <w:unhideWhenUsed/>
    <w:qFormat/>
    <w:rsid w:val="00F21C15"/>
    <w:rPr>
      <w:b/>
      <w:bCs/>
      <w:sz w:val="18"/>
      <w:szCs w:val="18"/>
    </w:rPr>
  </w:style>
  <w:style w:type="paragraph" w:styleId="Ttulo">
    <w:name w:val="Title"/>
    <w:basedOn w:val="Normal"/>
    <w:next w:val="Normal"/>
    <w:link w:val="TtuloCar"/>
    <w:uiPriority w:val="10"/>
    <w:qFormat/>
    <w:rsid w:val="00F21C15"/>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tuloCar">
    <w:name w:val="Título Car"/>
    <w:basedOn w:val="Fuentedeprrafopredeter"/>
    <w:link w:val="Ttulo"/>
    <w:uiPriority w:val="10"/>
    <w:rsid w:val="00F21C15"/>
    <w:rPr>
      <w:rFonts w:asciiTheme="majorHAnsi" w:eastAsiaTheme="majorEastAsia" w:hAnsiTheme="majorHAnsi" w:cstheme="majorBidi"/>
      <w:i/>
      <w:iCs/>
      <w:color w:val="243F60" w:themeColor="accent1" w:themeShade="7F"/>
      <w:sz w:val="60"/>
      <w:szCs w:val="60"/>
    </w:rPr>
  </w:style>
  <w:style w:type="paragraph" w:styleId="Subttulo">
    <w:name w:val="Subtitle"/>
    <w:basedOn w:val="Normal"/>
    <w:next w:val="Normal"/>
    <w:link w:val="SubttuloCar"/>
    <w:uiPriority w:val="11"/>
    <w:qFormat/>
    <w:rsid w:val="00F21C15"/>
    <w:pPr>
      <w:spacing w:before="200" w:after="900"/>
      <w:ind w:firstLine="0"/>
      <w:jc w:val="right"/>
    </w:pPr>
    <w:rPr>
      <w:i/>
      <w:iCs/>
      <w:sz w:val="24"/>
      <w:szCs w:val="24"/>
    </w:rPr>
  </w:style>
  <w:style w:type="character" w:customStyle="1" w:styleId="SubttuloCar">
    <w:name w:val="Subtítulo Car"/>
    <w:basedOn w:val="Fuentedeprrafopredeter"/>
    <w:link w:val="Subttulo"/>
    <w:uiPriority w:val="11"/>
    <w:rsid w:val="00F21C15"/>
    <w:rPr>
      <w:rFonts w:asciiTheme="minorHAnsi"/>
      <w:i/>
      <w:iCs/>
      <w:sz w:val="24"/>
      <w:szCs w:val="24"/>
    </w:rPr>
  </w:style>
  <w:style w:type="character" w:styleId="Textoennegrita">
    <w:name w:val="Strong"/>
    <w:basedOn w:val="Fuentedeprrafopredeter"/>
    <w:uiPriority w:val="22"/>
    <w:qFormat/>
    <w:rsid w:val="00F21C15"/>
    <w:rPr>
      <w:b/>
      <w:bCs/>
      <w:spacing w:val="0"/>
    </w:rPr>
  </w:style>
  <w:style w:type="character" w:styleId="nfasis">
    <w:name w:val="Emphasis"/>
    <w:uiPriority w:val="20"/>
    <w:qFormat/>
    <w:rsid w:val="00F21C15"/>
    <w:rPr>
      <w:b/>
      <w:bCs/>
      <w:i/>
      <w:iCs/>
      <w:color w:val="5A5A5A" w:themeColor="text1" w:themeTint="A5"/>
    </w:rPr>
  </w:style>
  <w:style w:type="paragraph" w:styleId="Sinespaciado">
    <w:name w:val="No Spacing"/>
    <w:basedOn w:val="Normal"/>
    <w:link w:val="SinespaciadoCar"/>
    <w:uiPriority w:val="1"/>
    <w:qFormat/>
    <w:rsid w:val="00F21C15"/>
    <w:pPr>
      <w:ind w:firstLine="0"/>
    </w:pPr>
  </w:style>
  <w:style w:type="character" w:customStyle="1" w:styleId="SinespaciadoCar">
    <w:name w:val="Sin espaciado Car"/>
    <w:basedOn w:val="Fuentedeprrafopredeter"/>
    <w:link w:val="Sinespaciado"/>
    <w:uiPriority w:val="1"/>
    <w:rsid w:val="00F21C15"/>
  </w:style>
  <w:style w:type="paragraph" w:styleId="Prrafodelista">
    <w:name w:val="List Paragraph"/>
    <w:basedOn w:val="Normal"/>
    <w:uiPriority w:val="34"/>
    <w:qFormat/>
    <w:rsid w:val="00F21C15"/>
    <w:pPr>
      <w:ind w:left="720"/>
      <w:contextualSpacing/>
    </w:pPr>
  </w:style>
  <w:style w:type="paragraph" w:styleId="Cita">
    <w:name w:val="Quote"/>
    <w:basedOn w:val="Normal"/>
    <w:next w:val="Normal"/>
    <w:link w:val="CitaCar"/>
    <w:uiPriority w:val="29"/>
    <w:qFormat/>
    <w:rsid w:val="00F21C15"/>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F21C15"/>
    <w:rPr>
      <w:rFonts w:asciiTheme="majorHAnsi" w:eastAsiaTheme="majorEastAsia" w:hAnsiTheme="majorHAnsi" w:cstheme="majorBidi"/>
      <w:i/>
      <w:iCs/>
      <w:color w:val="5A5A5A" w:themeColor="text1" w:themeTint="A5"/>
    </w:rPr>
  </w:style>
  <w:style w:type="paragraph" w:styleId="Citadestacada">
    <w:name w:val="Intense Quote"/>
    <w:basedOn w:val="Normal"/>
    <w:next w:val="Normal"/>
    <w:link w:val="CitadestacadaCar"/>
    <w:uiPriority w:val="30"/>
    <w:qFormat/>
    <w:rsid w:val="00F21C15"/>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destacadaCar">
    <w:name w:val="Cita destacada Car"/>
    <w:basedOn w:val="Fuentedeprrafopredeter"/>
    <w:link w:val="Citadestacada"/>
    <w:uiPriority w:val="30"/>
    <w:rsid w:val="00F21C15"/>
    <w:rPr>
      <w:rFonts w:asciiTheme="majorHAnsi" w:eastAsiaTheme="majorEastAsia" w:hAnsiTheme="majorHAnsi" w:cstheme="majorBidi"/>
      <w:i/>
      <w:iCs/>
      <w:color w:val="FFFFFF" w:themeColor="background1"/>
      <w:sz w:val="24"/>
      <w:szCs w:val="24"/>
      <w:shd w:val="clear" w:color="auto" w:fill="4F81BD" w:themeFill="accent1"/>
    </w:rPr>
  </w:style>
  <w:style w:type="character" w:styleId="nfasissutil">
    <w:name w:val="Subtle Emphasis"/>
    <w:uiPriority w:val="19"/>
    <w:qFormat/>
    <w:rsid w:val="00F21C15"/>
    <w:rPr>
      <w:i/>
      <w:iCs/>
      <w:color w:val="5A5A5A" w:themeColor="text1" w:themeTint="A5"/>
    </w:rPr>
  </w:style>
  <w:style w:type="character" w:styleId="nfasisintenso">
    <w:name w:val="Intense Emphasis"/>
    <w:uiPriority w:val="21"/>
    <w:qFormat/>
    <w:rsid w:val="00F21C15"/>
    <w:rPr>
      <w:b/>
      <w:bCs/>
      <w:i/>
      <w:iCs/>
      <w:color w:val="4F81BD" w:themeColor="accent1"/>
      <w:sz w:val="22"/>
      <w:szCs w:val="22"/>
    </w:rPr>
  </w:style>
  <w:style w:type="character" w:styleId="Referenciasutil">
    <w:name w:val="Subtle Reference"/>
    <w:uiPriority w:val="31"/>
    <w:qFormat/>
    <w:rsid w:val="00F21C15"/>
    <w:rPr>
      <w:color w:val="auto"/>
      <w:u w:val="single" w:color="9BBB59" w:themeColor="accent3"/>
    </w:rPr>
  </w:style>
  <w:style w:type="character" w:styleId="Referenciaintensa">
    <w:name w:val="Intense Reference"/>
    <w:basedOn w:val="Fuentedeprrafopredeter"/>
    <w:uiPriority w:val="32"/>
    <w:qFormat/>
    <w:rsid w:val="00F21C15"/>
    <w:rPr>
      <w:b/>
      <w:bCs/>
      <w:color w:val="76923C" w:themeColor="accent3" w:themeShade="BF"/>
      <w:u w:val="single" w:color="9BBB59" w:themeColor="accent3"/>
    </w:rPr>
  </w:style>
  <w:style w:type="character" w:styleId="Ttulodellibro">
    <w:name w:val="Book Title"/>
    <w:basedOn w:val="Fuentedeprrafopredeter"/>
    <w:uiPriority w:val="33"/>
    <w:qFormat/>
    <w:rsid w:val="00F21C15"/>
    <w:rPr>
      <w:rFonts w:asciiTheme="majorHAnsi" w:eastAsiaTheme="majorEastAsia" w:hAnsiTheme="majorHAnsi" w:cstheme="majorBidi"/>
      <w:b/>
      <w:bCs/>
      <w:i/>
      <w:iCs/>
      <w:color w:val="auto"/>
    </w:rPr>
  </w:style>
  <w:style w:type="paragraph" w:styleId="TtulodeTDC">
    <w:name w:val="TOC Heading"/>
    <w:basedOn w:val="Ttulo1"/>
    <w:next w:val="Normal"/>
    <w:uiPriority w:val="39"/>
    <w:semiHidden/>
    <w:unhideWhenUsed/>
    <w:qFormat/>
    <w:rsid w:val="00F21C15"/>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2136</Words>
  <Characters>11751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dipjvelazquez</dc:creator>
  <cp:lastModifiedBy>sperez</cp:lastModifiedBy>
  <cp:revision>2</cp:revision>
  <cp:lastPrinted>2018-09-17T22:18:00Z</cp:lastPrinted>
  <dcterms:created xsi:type="dcterms:W3CDTF">2018-09-17T22:19:00Z</dcterms:created>
  <dcterms:modified xsi:type="dcterms:W3CDTF">2018-09-17T22:19:00Z</dcterms:modified>
</cp:coreProperties>
</file>