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EAF9" w14:textId="77777777" w:rsidR="00124C58" w:rsidRPr="00CB59E1" w:rsidRDefault="00124C58" w:rsidP="00124C58">
      <w:pPr>
        <w:jc w:val="both"/>
        <w:rPr>
          <w:rFonts w:ascii="Arial" w:hAnsi="Arial" w:cs="Arial"/>
          <w:b/>
          <w:sz w:val="22"/>
          <w:szCs w:val="22"/>
        </w:rPr>
      </w:pPr>
      <w:r w:rsidRPr="00CB59E1">
        <w:rPr>
          <w:rFonts w:ascii="Arial" w:hAnsi="Arial" w:cs="Arial"/>
          <w:b/>
          <w:sz w:val="22"/>
          <w:szCs w:val="22"/>
        </w:rPr>
        <w:t>H. CONGRESO DEL ESTADO DE CHIHUAHUA</w:t>
      </w:r>
    </w:p>
    <w:p w14:paraId="0580300C" w14:textId="77777777" w:rsidR="00124C58" w:rsidRPr="00CB59E1" w:rsidRDefault="00124C58" w:rsidP="00124C58">
      <w:pPr>
        <w:jc w:val="both"/>
        <w:rPr>
          <w:rFonts w:ascii="Arial" w:hAnsi="Arial" w:cs="Arial"/>
          <w:b/>
          <w:sz w:val="22"/>
          <w:szCs w:val="22"/>
        </w:rPr>
      </w:pPr>
      <w:r w:rsidRPr="00CB59E1">
        <w:rPr>
          <w:rFonts w:ascii="Arial" w:hAnsi="Arial" w:cs="Arial"/>
          <w:b/>
          <w:sz w:val="22"/>
          <w:szCs w:val="22"/>
        </w:rPr>
        <w:t xml:space="preserve">P R E S E N T E. </w:t>
      </w:r>
    </w:p>
    <w:p w14:paraId="21BFEAD1" w14:textId="77777777" w:rsidR="00124C58" w:rsidRPr="00CB59E1" w:rsidRDefault="00124C58" w:rsidP="00124C58">
      <w:pPr>
        <w:jc w:val="both"/>
        <w:rPr>
          <w:rFonts w:ascii="Arial" w:hAnsi="Arial" w:cs="Arial"/>
          <w:b/>
          <w:sz w:val="22"/>
          <w:szCs w:val="22"/>
        </w:rPr>
      </w:pPr>
    </w:p>
    <w:p w14:paraId="5AA01F14" w14:textId="5CFD2E2A" w:rsidR="00124C58" w:rsidRPr="00CB59E1" w:rsidRDefault="000A0602" w:rsidP="00124C58">
      <w:pPr>
        <w:jc w:val="both"/>
        <w:rPr>
          <w:rFonts w:ascii="Arial" w:hAnsi="Arial" w:cs="Arial"/>
          <w:b/>
          <w:bCs/>
          <w:sz w:val="22"/>
          <w:szCs w:val="22"/>
        </w:rPr>
      </w:pPr>
      <w:r w:rsidRPr="000A0602">
        <w:rPr>
          <w:rFonts w:ascii="Arial" w:hAnsi="Arial" w:cs="Arial"/>
          <w:sz w:val="22"/>
          <w:szCs w:val="22"/>
        </w:rPr>
        <w:t xml:space="preserve">Quienes suscribimos, </w:t>
      </w:r>
      <w:r w:rsidRPr="000A0602">
        <w:rPr>
          <w:rFonts w:ascii="Arial" w:hAnsi="Arial" w:cs="Arial"/>
          <w:b/>
          <w:bCs/>
          <w:sz w:val="22"/>
          <w:szCs w:val="22"/>
        </w:rPr>
        <w:t>Edin Cuauhtémoc Estrada Sotelo, Leticia Ortega Máynez, Óscar Daniel Avitia Arellanes, Rosana Díaz Reyes, Gustavo de la Rosa Hickerson, Magdalena Rentería Pérez, María Antonieta Pérez Reyes, Benjamín Carrera Chávez, David Óscar Castrejón Rivas e Ilse América García Soto</w:t>
      </w:r>
      <w:r w:rsidRPr="000A0602">
        <w:rPr>
          <w:rFonts w:ascii="Arial" w:hAnsi="Arial" w:cs="Arial"/>
          <w:sz w:val="22"/>
          <w:szCs w:val="22"/>
        </w:rPr>
        <w:t xml:space="preserve">, en nuestro carácter de </w:t>
      </w:r>
      <w:r w:rsidR="00CF38A7">
        <w:rPr>
          <w:rFonts w:ascii="Arial" w:hAnsi="Arial" w:cs="Arial"/>
          <w:sz w:val="22"/>
          <w:szCs w:val="22"/>
        </w:rPr>
        <w:t xml:space="preserve">Diputadas y </w:t>
      </w:r>
      <w:r w:rsidRPr="000A0602">
        <w:rPr>
          <w:rFonts w:ascii="Arial" w:hAnsi="Arial" w:cs="Arial"/>
          <w:sz w:val="22"/>
          <w:szCs w:val="22"/>
        </w:rPr>
        <w:t>Diputados de la Sexagésima Séptima Legislatura del Honorable Congreso del Estado de Chihuahua e integrantes del Grupo Parlamentario de Morena</w:t>
      </w:r>
      <w:r w:rsidR="00124C58" w:rsidRPr="00CB59E1">
        <w:rPr>
          <w:rFonts w:ascii="Arial" w:hAnsi="Arial" w:cs="Arial"/>
          <w:sz w:val="22"/>
          <w:szCs w:val="22"/>
        </w:rPr>
        <w:t>; con fundamento en lo dispuesto en los artículos</w:t>
      </w:r>
      <w:r w:rsidR="007003A1" w:rsidRPr="00CB59E1">
        <w:rPr>
          <w:rFonts w:ascii="Arial" w:hAnsi="Arial" w:cs="Arial"/>
          <w:sz w:val="22"/>
          <w:szCs w:val="22"/>
        </w:rPr>
        <w:t xml:space="preserve"> </w:t>
      </w:r>
      <w:r w:rsidR="00124C58" w:rsidRPr="00CB59E1">
        <w:rPr>
          <w:rFonts w:ascii="Arial" w:hAnsi="Arial" w:cs="Arial"/>
          <w:sz w:val="22"/>
          <w:szCs w:val="22"/>
        </w:rPr>
        <w:t xml:space="preserve">167 fracción I, 169 y 174, de la Ley Orgánica del Poder Legislativo; así como los numerales 75 y 76 del Reglamento Interior de Prácticas Parlamentarias del Poder Legislativo, todos ordenamientos del Estado de Chihuahua, acudimos ante esta Honorable Asamblea Legislativa, a fin de presentar una </w:t>
      </w:r>
      <w:r w:rsidR="00CF38A7">
        <w:rPr>
          <w:rFonts w:ascii="Arial" w:hAnsi="Arial" w:cs="Arial"/>
          <w:b/>
          <w:bCs/>
          <w:sz w:val="22"/>
          <w:szCs w:val="22"/>
        </w:rPr>
        <w:t>P</w:t>
      </w:r>
      <w:r w:rsidR="003627A1" w:rsidRPr="00CB59E1">
        <w:rPr>
          <w:rFonts w:ascii="Arial" w:hAnsi="Arial" w:cs="Arial"/>
          <w:b/>
          <w:bCs/>
          <w:sz w:val="22"/>
          <w:szCs w:val="22"/>
        </w:rPr>
        <w:t>roposición</w:t>
      </w:r>
      <w:r w:rsidR="00124C58" w:rsidRPr="00CB59E1">
        <w:rPr>
          <w:rFonts w:ascii="Arial" w:hAnsi="Arial" w:cs="Arial"/>
          <w:b/>
          <w:bCs/>
          <w:sz w:val="22"/>
          <w:szCs w:val="22"/>
        </w:rPr>
        <w:t xml:space="preserve"> </w:t>
      </w:r>
      <w:r w:rsidR="00124C58" w:rsidRPr="003C4CF5">
        <w:rPr>
          <w:rFonts w:ascii="Arial" w:hAnsi="Arial" w:cs="Arial"/>
          <w:b/>
          <w:bCs/>
          <w:sz w:val="22"/>
          <w:szCs w:val="22"/>
        </w:rPr>
        <w:t>con carácter de</w:t>
      </w:r>
      <w:r w:rsidR="003627A1" w:rsidRPr="003C4CF5">
        <w:rPr>
          <w:rFonts w:ascii="Arial" w:hAnsi="Arial" w:cs="Arial"/>
          <w:b/>
          <w:bCs/>
          <w:sz w:val="22"/>
          <w:szCs w:val="22"/>
        </w:rPr>
        <w:t xml:space="preserve"> punto de</w:t>
      </w:r>
      <w:r w:rsidR="00124C58" w:rsidRPr="003C4CF5">
        <w:rPr>
          <w:rFonts w:ascii="Arial" w:hAnsi="Arial" w:cs="Arial"/>
          <w:b/>
          <w:bCs/>
          <w:sz w:val="22"/>
          <w:szCs w:val="22"/>
        </w:rPr>
        <w:t xml:space="preserve"> Acuerdo,</w:t>
      </w:r>
      <w:r w:rsidR="001A6ECD" w:rsidRPr="003C4CF5">
        <w:rPr>
          <w:rFonts w:ascii="Arial" w:hAnsi="Arial" w:cs="Arial"/>
          <w:b/>
          <w:bCs/>
          <w:sz w:val="22"/>
          <w:szCs w:val="22"/>
        </w:rPr>
        <w:t xml:space="preserve"> </w:t>
      </w:r>
      <w:r w:rsidR="006676C3" w:rsidRPr="003C4CF5">
        <w:rPr>
          <w:rFonts w:ascii="Arial" w:hAnsi="Arial" w:cs="Arial"/>
          <w:b/>
          <w:bCs/>
          <w:sz w:val="22"/>
          <w:szCs w:val="22"/>
        </w:rPr>
        <w:t xml:space="preserve">con el fin de </w:t>
      </w:r>
      <w:r w:rsidR="00124C58" w:rsidRPr="003C4CF5">
        <w:rPr>
          <w:rFonts w:ascii="Arial" w:hAnsi="Arial" w:cs="Arial"/>
          <w:b/>
          <w:bCs/>
          <w:sz w:val="22"/>
          <w:szCs w:val="22"/>
        </w:rPr>
        <w:t>exhortar</w:t>
      </w:r>
      <w:bookmarkStart w:id="0" w:name="_Hlk126152418"/>
      <w:r w:rsidR="00300E78" w:rsidRPr="003C4CF5">
        <w:rPr>
          <w:rFonts w:ascii="Arial" w:hAnsi="Arial" w:cs="Arial"/>
          <w:b/>
          <w:bCs/>
          <w:sz w:val="22"/>
          <w:szCs w:val="22"/>
        </w:rPr>
        <w:t xml:space="preserve"> </w:t>
      </w:r>
      <w:r w:rsidR="008E6724" w:rsidRPr="003C4CF5">
        <w:rPr>
          <w:rFonts w:ascii="Arial" w:hAnsi="Arial" w:cs="Arial"/>
          <w:b/>
          <w:bCs/>
          <w:sz w:val="22"/>
          <w:szCs w:val="22"/>
        </w:rPr>
        <w:t>a la</w:t>
      </w:r>
      <w:r w:rsidR="001A6ECD" w:rsidRPr="003C4CF5">
        <w:rPr>
          <w:rFonts w:ascii="Arial" w:hAnsi="Arial" w:cs="Arial"/>
          <w:sz w:val="22"/>
          <w:szCs w:val="22"/>
        </w:rPr>
        <w:t xml:space="preserve"> </w:t>
      </w:r>
      <w:r w:rsidR="003C7AA9" w:rsidRPr="003C4CF5">
        <w:rPr>
          <w:rFonts w:ascii="Arial" w:hAnsi="Arial" w:cs="Arial"/>
          <w:b/>
          <w:bCs/>
          <w:sz w:val="22"/>
          <w:szCs w:val="22"/>
        </w:rPr>
        <w:t>Gobernadora, la Mtra. María Eugenia Campos Galván</w:t>
      </w:r>
      <w:r w:rsidR="008E6724" w:rsidRPr="003C4CF5">
        <w:rPr>
          <w:rFonts w:ascii="Arial" w:hAnsi="Arial" w:cs="Arial"/>
          <w:b/>
          <w:bCs/>
          <w:sz w:val="22"/>
          <w:szCs w:val="22"/>
        </w:rPr>
        <w:t xml:space="preserve">, </w:t>
      </w:r>
      <w:r w:rsidR="00CF38A7" w:rsidRPr="003C4CF5">
        <w:rPr>
          <w:rFonts w:ascii="Arial" w:hAnsi="Arial" w:cs="Arial"/>
          <w:b/>
          <w:bCs/>
          <w:sz w:val="22"/>
          <w:szCs w:val="22"/>
        </w:rPr>
        <w:t xml:space="preserve">para que </w:t>
      </w:r>
      <w:r w:rsidR="003C7AA9" w:rsidRPr="003C4CF5">
        <w:rPr>
          <w:rFonts w:ascii="Arial" w:hAnsi="Arial" w:cs="Arial"/>
          <w:b/>
          <w:bCs/>
          <w:sz w:val="22"/>
          <w:szCs w:val="22"/>
        </w:rPr>
        <w:t>informe sobre</w:t>
      </w:r>
      <w:r w:rsidR="00D0424F" w:rsidRPr="003C4CF5">
        <w:rPr>
          <w:rFonts w:ascii="Arial" w:hAnsi="Arial" w:cs="Arial"/>
          <w:b/>
          <w:bCs/>
          <w:sz w:val="22"/>
          <w:szCs w:val="22"/>
        </w:rPr>
        <w:t xml:space="preserve"> los costos del </w:t>
      </w:r>
      <w:r w:rsidR="005D4622" w:rsidRPr="003C4CF5">
        <w:rPr>
          <w:rFonts w:ascii="Arial" w:hAnsi="Arial" w:cs="Arial"/>
          <w:b/>
          <w:bCs/>
          <w:sz w:val="22"/>
          <w:szCs w:val="22"/>
        </w:rPr>
        <w:t>servicio de consulta</w:t>
      </w:r>
      <w:r w:rsidR="00D0424F" w:rsidRPr="003C4CF5">
        <w:rPr>
          <w:rFonts w:ascii="Arial" w:hAnsi="Arial" w:cs="Arial"/>
          <w:b/>
          <w:bCs/>
          <w:sz w:val="22"/>
          <w:szCs w:val="22"/>
        </w:rPr>
        <w:t xml:space="preserve"> que realizó José Antonio Meade Kuribreña</w:t>
      </w:r>
      <w:r w:rsidR="00A42B80" w:rsidRPr="003C4CF5">
        <w:rPr>
          <w:rFonts w:ascii="Arial" w:hAnsi="Arial" w:cs="Arial"/>
          <w:sz w:val="22"/>
          <w:szCs w:val="22"/>
        </w:rPr>
        <w:t>,</w:t>
      </w:r>
      <w:r w:rsidR="00A42B80" w:rsidRPr="003C4CF5">
        <w:rPr>
          <w:rFonts w:ascii="Arial" w:hAnsi="Arial" w:cs="Arial"/>
          <w:b/>
          <w:bCs/>
          <w:sz w:val="22"/>
          <w:szCs w:val="22"/>
        </w:rPr>
        <w:t xml:space="preserve"> </w:t>
      </w:r>
      <w:r w:rsidR="00124C58" w:rsidRPr="003C4CF5">
        <w:rPr>
          <w:rFonts w:ascii="Arial" w:hAnsi="Arial" w:cs="Arial"/>
          <w:sz w:val="22"/>
          <w:szCs w:val="22"/>
        </w:rPr>
        <w:t>lo anterior con sustento en la siguiente</w:t>
      </w:r>
      <w:bookmarkEnd w:id="0"/>
      <w:r w:rsidR="00124C58" w:rsidRPr="003C4CF5">
        <w:rPr>
          <w:rFonts w:ascii="Arial" w:hAnsi="Arial" w:cs="Arial"/>
          <w:sz w:val="22"/>
          <w:szCs w:val="22"/>
        </w:rPr>
        <w:t>:</w:t>
      </w:r>
      <w:r w:rsidR="00124C58" w:rsidRPr="00CB59E1">
        <w:rPr>
          <w:rFonts w:ascii="Arial" w:hAnsi="Arial" w:cs="Arial"/>
          <w:sz w:val="22"/>
          <w:szCs w:val="22"/>
        </w:rPr>
        <w:t xml:space="preserve">  </w:t>
      </w:r>
    </w:p>
    <w:p w14:paraId="4AB51D32" w14:textId="77777777" w:rsidR="00124C58" w:rsidRPr="00CB59E1" w:rsidRDefault="00124C58" w:rsidP="00124C58">
      <w:pPr>
        <w:jc w:val="both"/>
        <w:rPr>
          <w:rFonts w:ascii="Arial" w:hAnsi="Arial" w:cs="Arial"/>
          <w:sz w:val="22"/>
          <w:szCs w:val="22"/>
        </w:rPr>
      </w:pPr>
    </w:p>
    <w:p w14:paraId="212DD8B0" w14:textId="7EF40485" w:rsidR="00124C58" w:rsidRPr="00CB59E1" w:rsidRDefault="00124C58" w:rsidP="00124C58">
      <w:pPr>
        <w:jc w:val="center"/>
        <w:rPr>
          <w:rFonts w:ascii="Arial" w:hAnsi="Arial" w:cs="Arial"/>
          <w:b/>
          <w:sz w:val="22"/>
          <w:szCs w:val="22"/>
        </w:rPr>
      </w:pPr>
      <w:r w:rsidRPr="00CB59E1">
        <w:rPr>
          <w:rFonts w:ascii="Arial" w:hAnsi="Arial" w:cs="Arial"/>
          <w:b/>
          <w:sz w:val="22"/>
          <w:szCs w:val="22"/>
        </w:rPr>
        <w:t>EXPOSICIÓN DE MOTIVOS:</w:t>
      </w:r>
    </w:p>
    <w:p w14:paraId="725E4E96" w14:textId="26F9BC77" w:rsidR="006676C3" w:rsidRPr="00CB59E1" w:rsidRDefault="006676C3" w:rsidP="00124C58">
      <w:pPr>
        <w:jc w:val="center"/>
        <w:rPr>
          <w:rFonts w:ascii="Arial" w:hAnsi="Arial" w:cs="Arial"/>
          <w:bCs/>
          <w:sz w:val="22"/>
          <w:szCs w:val="22"/>
        </w:rPr>
      </w:pPr>
    </w:p>
    <w:p w14:paraId="55BFF154" w14:textId="49DB3EF5" w:rsidR="006676C3" w:rsidRPr="00CB59E1" w:rsidRDefault="00174F61" w:rsidP="00C00832">
      <w:pPr>
        <w:jc w:val="both"/>
        <w:rPr>
          <w:rFonts w:ascii="Arial" w:hAnsi="Arial" w:cs="Arial"/>
          <w:bCs/>
          <w:sz w:val="22"/>
          <w:szCs w:val="22"/>
        </w:rPr>
      </w:pPr>
      <w:r w:rsidRPr="00CB59E1">
        <w:rPr>
          <w:rFonts w:ascii="Arial" w:hAnsi="Arial" w:cs="Arial"/>
          <w:bCs/>
          <w:sz w:val="22"/>
          <w:szCs w:val="22"/>
        </w:rPr>
        <w:t>En abril del presente año</w:t>
      </w:r>
      <w:r w:rsidR="00C07620">
        <w:rPr>
          <w:rFonts w:ascii="Arial" w:hAnsi="Arial" w:cs="Arial"/>
          <w:bCs/>
          <w:sz w:val="22"/>
          <w:szCs w:val="22"/>
        </w:rPr>
        <w:t>,</w:t>
      </w:r>
      <w:r w:rsidRPr="00CB59E1">
        <w:rPr>
          <w:rFonts w:ascii="Arial" w:hAnsi="Arial" w:cs="Arial"/>
          <w:bCs/>
          <w:sz w:val="22"/>
          <w:szCs w:val="22"/>
        </w:rPr>
        <w:t xml:space="preserve"> se dio a conocer por parte </w:t>
      </w:r>
      <w:r w:rsidR="005D4622">
        <w:rPr>
          <w:rFonts w:ascii="Arial" w:hAnsi="Arial" w:cs="Arial"/>
          <w:bCs/>
          <w:sz w:val="22"/>
          <w:szCs w:val="22"/>
        </w:rPr>
        <w:t>diversos medios de comunicación</w:t>
      </w:r>
      <w:r w:rsidR="00C07620">
        <w:rPr>
          <w:rFonts w:ascii="Arial" w:hAnsi="Arial" w:cs="Arial"/>
          <w:bCs/>
          <w:sz w:val="22"/>
          <w:szCs w:val="22"/>
        </w:rPr>
        <w:t xml:space="preserve"> locales</w:t>
      </w:r>
      <w:r w:rsidRPr="00CB59E1">
        <w:rPr>
          <w:rStyle w:val="Refdenotaalpie"/>
          <w:rFonts w:ascii="Arial" w:hAnsi="Arial" w:cs="Arial"/>
          <w:bCs/>
          <w:sz w:val="22"/>
          <w:szCs w:val="22"/>
        </w:rPr>
        <w:footnoteReference w:id="1"/>
      </w:r>
      <w:r w:rsidRPr="00CB59E1">
        <w:rPr>
          <w:rFonts w:ascii="Arial" w:hAnsi="Arial" w:cs="Arial"/>
          <w:bCs/>
          <w:sz w:val="22"/>
          <w:szCs w:val="22"/>
        </w:rPr>
        <w:t xml:space="preserve"> que la </w:t>
      </w:r>
      <w:r w:rsidR="005D4622">
        <w:rPr>
          <w:rFonts w:ascii="Arial" w:hAnsi="Arial" w:cs="Arial"/>
          <w:bCs/>
          <w:sz w:val="22"/>
          <w:szCs w:val="22"/>
        </w:rPr>
        <w:t>G</w:t>
      </w:r>
      <w:r w:rsidRPr="00CB59E1">
        <w:rPr>
          <w:rFonts w:ascii="Arial" w:hAnsi="Arial" w:cs="Arial"/>
          <w:bCs/>
          <w:sz w:val="22"/>
          <w:szCs w:val="22"/>
        </w:rPr>
        <w:t>obernadora</w:t>
      </w:r>
      <w:r w:rsidR="00C07620">
        <w:rPr>
          <w:rFonts w:ascii="Arial" w:hAnsi="Arial" w:cs="Arial"/>
          <w:bCs/>
          <w:sz w:val="22"/>
          <w:szCs w:val="22"/>
        </w:rPr>
        <w:t xml:space="preserve"> </w:t>
      </w:r>
      <w:r w:rsidR="005D4622">
        <w:rPr>
          <w:rFonts w:ascii="Arial" w:hAnsi="Arial" w:cs="Arial"/>
          <w:bCs/>
          <w:sz w:val="22"/>
          <w:szCs w:val="22"/>
        </w:rPr>
        <w:t xml:space="preserve">celebró una reunión </w:t>
      </w:r>
      <w:r w:rsidRPr="00CB59E1">
        <w:rPr>
          <w:rFonts w:ascii="Arial" w:hAnsi="Arial" w:cs="Arial"/>
          <w:bCs/>
          <w:sz w:val="22"/>
          <w:szCs w:val="22"/>
        </w:rPr>
        <w:t xml:space="preserve">con </w:t>
      </w:r>
      <w:r w:rsidR="005D4622">
        <w:rPr>
          <w:rFonts w:ascii="Arial" w:hAnsi="Arial" w:cs="Arial"/>
          <w:bCs/>
          <w:sz w:val="22"/>
          <w:szCs w:val="22"/>
        </w:rPr>
        <w:t xml:space="preserve">el </w:t>
      </w:r>
      <w:r w:rsidR="005D4622" w:rsidRPr="005D4622">
        <w:rPr>
          <w:rFonts w:ascii="Arial" w:hAnsi="Arial" w:cs="Arial"/>
          <w:sz w:val="22"/>
          <w:szCs w:val="22"/>
        </w:rPr>
        <w:t>exsecretario de Hacienda durante el sexenio pasado</w:t>
      </w:r>
      <w:r w:rsidRPr="00CB59E1">
        <w:rPr>
          <w:rFonts w:ascii="Arial" w:hAnsi="Arial" w:cs="Arial"/>
          <w:bCs/>
          <w:sz w:val="22"/>
          <w:szCs w:val="22"/>
        </w:rPr>
        <w:t xml:space="preserve">, </w:t>
      </w:r>
      <w:r w:rsidR="005D4622" w:rsidRPr="005D4622">
        <w:rPr>
          <w:rFonts w:ascii="Arial" w:hAnsi="Arial" w:cs="Arial"/>
          <w:sz w:val="22"/>
          <w:szCs w:val="22"/>
        </w:rPr>
        <w:t>José Antonio Meade Kuribreña</w:t>
      </w:r>
      <w:r w:rsidR="005D4622">
        <w:rPr>
          <w:rFonts w:ascii="Arial" w:hAnsi="Arial" w:cs="Arial"/>
          <w:bCs/>
          <w:sz w:val="22"/>
          <w:szCs w:val="22"/>
        </w:rPr>
        <w:t xml:space="preserve">, quien durante </w:t>
      </w:r>
      <w:r w:rsidR="00C07620">
        <w:rPr>
          <w:rFonts w:ascii="Arial" w:hAnsi="Arial" w:cs="Arial"/>
          <w:bCs/>
          <w:sz w:val="22"/>
          <w:szCs w:val="22"/>
        </w:rPr>
        <w:t xml:space="preserve">en </w:t>
      </w:r>
      <w:r w:rsidR="005D4622">
        <w:rPr>
          <w:rFonts w:ascii="Arial" w:hAnsi="Arial" w:cs="Arial"/>
          <w:bCs/>
          <w:sz w:val="22"/>
          <w:szCs w:val="22"/>
        </w:rPr>
        <w:t xml:space="preserve">los últimos años se ha dedicado al servicio privado, siendo una de sus actividades principales el brindar consultas en los ramos bancario, financiero, desarrollo social e incluso cambio climático. </w:t>
      </w:r>
    </w:p>
    <w:p w14:paraId="57DDD816" w14:textId="74B7B3B5" w:rsidR="00E117D9" w:rsidRPr="00CB59E1" w:rsidRDefault="00E117D9" w:rsidP="00C00832">
      <w:pPr>
        <w:jc w:val="both"/>
        <w:rPr>
          <w:rFonts w:ascii="Arial" w:hAnsi="Arial" w:cs="Arial"/>
          <w:bCs/>
          <w:sz w:val="22"/>
          <w:szCs w:val="22"/>
        </w:rPr>
      </w:pPr>
    </w:p>
    <w:p w14:paraId="1060155A" w14:textId="3C6F3E94" w:rsidR="00354238" w:rsidRDefault="00C07620" w:rsidP="005D4622">
      <w:pPr>
        <w:jc w:val="both"/>
        <w:rPr>
          <w:rFonts w:ascii="Arial" w:hAnsi="Arial" w:cs="Arial"/>
          <w:bCs/>
          <w:sz w:val="22"/>
          <w:szCs w:val="22"/>
        </w:rPr>
      </w:pPr>
      <w:r>
        <w:rPr>
          <w:rFonts w:ascii="Arial" w:hAnsi="Arial" w:cs="Arial"/>
          <w:bCs/>
          <w:sz w:val="22"/>
          <w:szCs w:val="22"/>
        </w:rPr>
        <w:t xml:space="preserve">En las palabras que el propio </w:t>
      </w:r>
      <w:r w:rsidR="003C4CF5" w:rsidRPr="005D4622">
        <w:rPr>
          <w:rFonts w:ascii="Arial" w:hAnsi="Arial" w:cs="Arial"/>
          <w:sz w:val="22"/>
          <w:szCs w:val="22"/>
        </w:rPr>
        <w:t>Meade Kuribreña</w:t>
      </w:r>
      <w:r w:rsidR="003C4CF5">
        <w:rPr>
          <w:rFonts w:ascii="Arial" w:hAnsi="Arial" w:cs="Arial"/>
          <w:sz w:val="22"/>
          <w:szCs w:val="22"/>
        </w:rPr>
        <w:t>,</w:t>
      </w:r>
      <w:r>
        <w:rPr>
          <w:rFonts w:ascii="Arial" w:hAnsi="Arial" w:cs="Arial"/>
          <w:bCs/>
          <w:sz w:val="22"/>
          <w:szCs w:val="22"/>
        </w:rPr>
        <w:t xml:space="preserve"> brindó a las y los reporteros locales, confesó que dicha sesión </w:t>
      </w:r>
      <w:r w:rsidRPr="003C4CF5">
        <w:rPr>
          <w:rFonts w:ascii="Arial" w:hAnsi="Arial" w:cs="Arial"/>
          <w:bCs/>
          <w:i/>
          <w:iCs/>
          <w:sz w:val="22"/>
          <w:szCs w:val="22"/>
        </w:rPr>
        <w:t>“fue una reunión de trabajo, estuvimos viendo algunos temas de indicadores sociales, su comportamiento y algunas acciones que pudieran ayudar a mejorar los indicadores”</w:t>
      </w:r>
      <w:r w:rsidR="00B20897">
        <w:rPr>
          <w:rStyle w:val="Refdenotaalpie"/>
          <w:rFonts w:ascii="Arial" w:hAnsi="Arial" w:cs="Arial"/>
          <w:bCs/>
          <w:i/>
          <w:iCs/>
          <w:sz w:val="22"/>
          <w:szCs w:val="22"/>
        </w:rPr>
        <w:footnoteReference w:id="2"/>
      </w:r>
      <w:r>
        <w:rPr>
          <w:rFonts w:ascii="Arial" w:hAnsi="Arial" w:cs="Arial"/>
          <w:bCs/>
          <w:sz w:val="22"/>
          <w:szCs w:val="22"/>
        </w:rPr>
        <w:t>.</w:t>
      </w:r>
    </w:p>
    <w:p w14:paraId="029AC91C" w14:textId="0721E6AE" w:rsidR="00C07620" w:rsidRDefault="00C07620" w:rsidP="005D4622">
      <w:pPr>
        <w:jc w:val="both"/>
        <w:rPr>
          <w:rFonts w:ascii="Arial" w:hAnsi="Arial" w:cs="Arial"/>
          <w:bCs/>
          <w:sz w:val="22"/>
          <w:szCs w:val="22"/>
        </w:rPr>
      </w:pPr>
    </w:p>
    <w:p w14:paraId="3A9B5AD5" w14:textId="3576B8C7" w:rsidR="00C07620" w:rsidRDefault="00C07620" w:rsidP="005D4622">
      <w:pPr>
        <w:jc w:val="both"/>
        <w:rPr>
          <w:rFonts w:ascii="Arial" w:hAnsi="Arial" w:cs="Arial"/>
          <w:bCs/>
          <w:sz w:val="22"/>
          <w:szCs w:val="22"/>
        </w:rPr>
      </w:pPr>
      <w:r>
        <w:rPr>
          <w:rFonts w:ascii="Arial" w:hAnsi="Arial" w:cs="Arial"/>
          <w:bCs/>
          <w:sz w:val="22"/>
          <w:szCs w:val="22"/>
        </w:rPr>
        <w:t xml:space="preserve">Resulta alarmante y grave que se contraten los servicios de consulta de una persona que tiene una estrecha relación con el ejercicio de una presidencia federal corrupta y que, además, existe la presunción de que Meade participó en la </w:t>
      </w:r>
      <w:r w:rsidRPr="003C4CF5">
        <w:rPr>
          <w:rFonts w:ascii="Arial" w:hAnsi="Arial" w:cs="Arial"/>
          <w:bCs/>
          <w:i/>
          <w:iCs/>
          <w:sz w:val="22"/>
          <w:szCs w:val="22"/>
        </w:rPr>
        <w:t>“</w:t>
      </w:r>
      <w:r w:rsidR="006D027D" w:rsidRPr="003C4CF5">
        <w:rPr>
          <w:rFonts w:ascii="Arial" w:hAnsi="Arial" w:cs="Arial"/>
          <w:bCs/>
          <w:i/>
          <w:iCs/>
          <w:sz w:val="22"/>
          <w:szCs w:val="22"/>
        </w:rPr>
        <w:t>E</w:t>
      </w:r>
      <w:r w:rsidRPr="003C4CF5">
        <w:rPr>
          <w:rFonts w:ascii="Arial" w:hAnsi="Arial" w:cs="Arial"/>
          <w:bCs/>
          <w:i/>
          <w:iCs/>
          <w:sz w:val="22"/>
          <w:szCs w:val="22"/>
        </w:rPr>
        <w:t xml:space="preserve">stafa </w:t>
      </w:r>
      <w:r w:rsidR="006D027D" w:rsidRPr="003C4CF5">
        <w:rPr>
          <w:rFonts w:ascii="Arial" w:hAnsi="Arial" w:cs="Arial"/>
          <w:bCs/>
          <w:i/>
          <w:iCs/>
          <w:sz w:val="22"/>
          <w:szCs w:val="22"/>
        </w:rPr>
        <w:t>M</w:t>
      </w:r>
      <w:r w:rsidRPr="003C4CF5">
        <w:rPr>
          <w:rFonts w:ascii="Arial" w:hAnsi="Arial" w:cs="Arial"/>
          <w:bCs/>
          <w:i/>
          <w:iCs/>
          <w:sz w:val="22"/>
          <w:szCs w:val="22"/>
        </w:rPr>
        <w:t>aestra”</w:t>
      </w:r>
      <w:r w:rsidR="00B20897">
        <w:rPr>
          <w:rStyle w:val="Refdenotaalpie"/>
          <w:rFonts w:ascii="Arial" w:hAnsi="Arial" w:cs="Arial"/>
          <w:bCs/>
          <w:i/>
          <w:iCs/>
          <w:sz w:val="22"/>
          <w:szCs w:val="22"/>
        </w:rPr>
        <w:footnoteReference w:id="3"/>
      </w:r>
      <w:r>
        <w:rPr>
          <w:rFonts w:ascii="Arial" w:hAnsi="Arial" w:cs="Arial"/>
          <w:bCs/>
          <w:sz w:val="22"/>
          <w:szCs w:val="22"/>
        </w:rPr>
        <w:t xml:space="preserve">. </w:t>
      </w:r>
    </w:p>
    <w:p w14:paraId="2FEE1C88" w14:textId="5CC95E7A" w:rsidR="006D027D" w:rsidRDefault="006D027D" w:rsidP="005D4622">
      <w:pPr>
        <w:jc w:val="both"/>
        <w:rPr>
          <w:rFonts w:ascii="Arial" w:hAnsi="Arial" w:cs="Arial"/>
          <w:bCs/>
          <w:sz w:val="22"/>
          <w:szCs w:val="22"/>
        </w:rPr>
      </w:pPr>
    </w:p>
    <w:p w14:paraId="343A5CB1" w14:textId="150AB5CE" w:rsidR="006D027D" w:rsidRDefault="006D027D" w:rsidP="005D4622">
      <w:pPr>
        <w:jc w:val="both"/>
        <w:rPr>
          <w:rFonts w:ascii="Arial" w:hAnsi="Arial" w:cs="Arial"/>
          <w:bCs/>
          <w:sz w:val="22"/>
          <w:szCs w:val="22"/>
        </w:rPr>
      </w:pPr>
      <w:r>
        <w:rPr>
          <w:rFonts w:ascii="Arial" w:hAnsi="Arial" w:cs="Arial"/>
          <w:bCs/>
          <w:sz w:val="22"/>
          <w:szCs w:val="22"/>
        </w:rPr>
        <w:t xml:space="preserve">Recordemos que, durante el sexenio pasado, </w:t>
      </w:r>
      <w:r w:rsidR="003C4CF5" w:rsidRPr="005D4622">
        <w:rPr>
          <w:rFonts w:ascii="Arial" w:hAnsi="Arial" w:cs="Arial"/>
          <w:sz w:val="22"/>
          <w:szCs w:val="22"/>
        </w:rPr>
        <w:t>Meade Kuribreña</w:t>
      </w:r>
      <w:r>
        <w:rPr>
          <w:rFonts w:ascii="Arial" w:hAnsi="Arial" w:cs="Arial"/>
          <w:bCs/>
          <w:sz w:val="22"/>
          <w:szCs w:val="22"/>
        </w:rPr>
        <w:t xml:space="preserve"> encabezó la Secretaría de Desarrollo Social, siendo </w:t>
      </w:r>
      <w:r w:rsidR="00ED042E">
        <w:rPr>
          <w:rFonts w:ascii="Arial" w:hAnsi="Arial" w:cs="Arial"/>
          <w:bCs/>
          <w:sz w:val="22"/>
          <w:szCs w:val="22"/>
        </w:rPr>
        <w:t>justamente é</w:t>
      </w:r>
      <w:r>
        <w:rPr>
          <w:rFonts w:ascii="Arial" w:hAnsi="Arial" w:cs="Arial"/>
          <w:bCs/>
          <w:sz w:val="22"/>
          <w:szCs w:val="22"/>
        </w:rPr>
        <w:t>sta en la que se documentaron varias irregularidades</w:t>
      </w:r>
      <w:r w:rsidR="00ED042E">
        <w:rPr>
          <w:rFonts w:ascii="Arial" w:hAnsi="Arial" w:cs="Arial"/>
          <w:bCs/>
          <w:sz w:val="22"/>
          <w:szCs w:val="22"/>
        </w:rPr>
        <w:t xml:space="preserve"> </w:t>
      </w:r>
      <w:r w:rsidR="00ED042E">
        <w:rPr>
          <w:rFonts w:ascii="Arial" w:hAnsi="Arial" w:cs="Arial"/>
          <w:bCs/>
          <w:sz w:val="22"/>
          <w:szCs w:val="22"/>
        </w:rPr>
        <w:lastRenderedPageBreak/>
        <w:t xml:space="preserve">no solventadas por </w:t>
      </w:r>
      <w:r w:rsidR="00ED042E" w:rsidRPr="00ED042E">
        <w:rPr>
          <w:rFonts w:ascii="Arial" w:hAnsi="Arial" w:cs="Arial"/>
          <w:b/>
          <w:sz w:val="22"/>
          <w:szCs w:val="22"/>
        </w:rPr>
        <w:t>casi 3 mil millones de pesos</w:t>
      </w:r>
      <w:r>
        <w:rPr>
          <w:rFonts w:ascii="Arial" w:hAnsi="Arial" w:cs="Arial"/>
          <w:bCs/>
          <w:sz w:val="22"/>
          <w:szCs w:val="22"/>
        </w:rPr>
        <w:t xml:space="preserve">, por lo cual resulta </w:t>
      </w:r>
      <w:r w:rsidR="00ED042E">
        <w:rPr>
          <w:rFonts w:ascii="Arial" w:hAnsi="Arial" w:cs="Arial"/>
          <w:bCs/>
          <w:sz w:val="22"/>
          <w:szCs w:val="22"/>
        </w:rPr>
        <w:t>inadecuado</w:t>
      </w:r>
      <w:r>
        <w:rPr>
          <w:rFonts w:ascii="Arial" w:hAnsi="Arial" w:cs="Arial"/>
          <w:bCs/>
          <w:sz w:val="22"/>
          <w:szCs w:val="22"/>
        </w:rPr>
        <w:t xml:space="preserve"> que la Gubernatura le haya solicitado su opinión técnica siendo precisamente esta área en la que </w:t>
      </w:r>
      <w:r w:rsidR="003C4CF5">
        <w:rPr>
          <w:rFonts w:ascii="Arial" w:hAnsi="Arial" w:cs="Arial"/>
          <w:bCs/>
          <w:sz w:val="22"/>
          <w:szCs w:val="22"/>
        </w:rPr>
        <w:t>el exfuncionario</w:t>
      </w:r>
      <w:r>
        <w:rPr>
          <w:rFonts w:ascii="Arial" w:hAnsi="Arial" w:cs="Arial"/>
          <w:bCs/>
          <w:sz w:val="22"/>
          <w:szCs w:val="22"/>
        </w:rPr>
        <w:t xml:space="preserve"> tuvo </w:t>
      </w:r>
      <w:r w:rsidR="00ED042E">
        <w:rPr>
          <w:rFonts w:ascii="Arial" w:hAnsi="Arial" w:cs="Arial"/>
          <w:bCs/>
          <w:sz w:val="22"/>
          <w:szCs w:val="22"/>
        </w:rPr>
        <w:t>anomalías en su desempeño</w:t>
      </w:r>
      <w:r>
        <w:rPr>
          <w:rFonts w:ascii="Arial" w:hAnsi="Arial" w:cs="Arial"/>
          <w:bCs/>
          <w:sz w:val="22"/>
          <w:szCs w:val="22"/>
        </w:rPr>
        <w:t xml:space="preserve">, </w:t>
      </w:r>
      <w:r w:rsidR="00ED042E">
        <w:rPr>
          <w:rFonts w:ascii="Arial" w:hAnsi="Arial" w:cs="Arial"/>
          <w:bCs/>
          <w:sz w:val="22"/>
          <w:szCs w:val="22"/>
        </w:rPr>
        <w:t>en otras palabras</w:t>
      </w:r>
      <w:r>
        <w:rPr>
          <w:rFonts w:ascii="Arial" w:hAnsi="Arial" w:cs="Arial"/>
          <w:bCs/>
          <w:sz w:val="22"/>
          <w:szCs w:val="22"/>
        </w:rPr>
        <w:t>, fue corrupto de acuerdo con el informe de la Auditoría Superior de la Federación sobre las cuentas públicas del gobierno federal en</w:t>
      </w:r>
      <w:r w:rsidR="00ED042E">
        <w:rPr>
          <w:rFonts w:ascii="Arial" w:hAnsi="Arial" w:cs="Arial"/>
          <w:bCs/>
          <w:sz w:val="22"/>
          <w:szCs w:val="22"/>
        </w:rPr>
        <w:t>tre</w:t>
      </w:r>
      <w:r>
        <w:rPr>
          <w:rFonts w:ascii="Arial" w:hAnsi="Arial" w:cs="Arial"/>
          <w:bCs/>
          <w:sz w:val="22"/>
          <w:szCs w:val="22"/>
        </w:rPr>
        <w:t xml:space="preserve"> 2013 y 201</w:t>
      </w:r>
      <w:r w:rsidR="00ED042E">
        <w:rPr>
          <w:rFonts w:ascii="Arial" w:hAnsi="Arial" w:cs="Arial"/>
          <w:bCs/>
          <w:sz w:val="22"/>
          <w:szCs w:val="22"/>
        </w:rPr>
        <w:t>7.</w:t>
      </w:r>
    </w:p>
    <w:p w14:paraId="7D48B82F" w14:textId="3B3A30C0" w:rsidR="006D027D" w:rsidRDefault="006D027D" w:rsidP="005D4622">
      <w:pPr>
        <w:jc w:val="both"/>
        <w:rPr>
          <w:rFonts w:ascii="Arial" w:hAnsi="Arial" w:cs="Arial"/>
          <w:bCs/>
          <w:sz w:val="22"/>
          <w:szCs w:val="22"/>
        </w:rPr>
      </w:pPr>
    </w:p>
    <w:p w14:paraId="426D137C" w14:textId="76C96E51" w:rsidR="006D027D" w:rsidRDefault="00B20897" w:rsidP="005D4622">
      <w:pPr>
        <w:jc w:val="both"/>
        <w:rPr>
          <w:rFonts w:ascii="Arial" w:hAnsi="Arial" w:cs="Arial"/>
          <w:bCs/>
          <w:sz w:val="22"/>
          <w:szCs w:val="22"/>
        </w:rPr>
      </w:pPr>
      <w:r>
        <w:rPr>
          <w:rFonts w:ascii="Arial" w:hAnsi="Arial" w:cs="Arial"/>
          <w:noProof/>
          <w:sz w:val="22"/>
          <w:szCs w:val="22"/>
          <w:shd w:val="clear" w:color="auto" w:fill="FFFFFF"/>
        </w:rPr>
        <w:drawing>
          <wp:anchor distT="0" distB="0" distL="114300" distR="114300" simplePos="0" relativeHeight="251659264" behindDoc="1" locked="0" layoutInCell="1" allowOverlap="1" wp14:anchorId="5ABF0152" wp14:editId="46D026E7">
            <wp:simplePos x="0" y="0"/>
            <wp:positionH relativeFrom="column">
              <wp:posOffset>291465</wp:posOffset>
            </wp:positionH>
            <wp:positionV relativeFrom="paragraph">
              <wp:posOffset>2792095</wp:posOffset>
            </wp:positionV>
            <wp:extent cx="5991225" cy="2040890"/>
            <wp:effectExtent l="0" t="0" r="9525" b="0"/>
            <wp:wrapTight wrapText="bothSides">
              <wp:wrapPolygon edited="0">
                <wp:start x="0" y="0"/>
                <wp:lineTo x="0" y="21371"/>
                <wp:lineTo x="21566" y="21371"/>
                <wp:lineTo x="2156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2040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shd w:val="clear" w:color="auto" w:fill="FFFFFF"/>
        </w:rPr>
        <w:drawing>
          <wp:anchor distT="0" distB="0" distL="114300" distR="114300" simplePos="0" relativeHeight="251658240" behindDoc="1" locked="0" layoutInCell="1" allowOverlap="1" wp14:anchorId="22814F97" wp14:editId="63128A8F">
            <wp:simplePos x="0" y="0"/>
            <wp:positionH relativeFrom="column">
              <wp:posOffset>214630</wp:posOffset>
            </wp:positionH>
            <wp:positionV relativeFrom="paragraph">
              <wp:posOffset>534670</wp:posOffset>
            </wp:positionV>
            <wp:extent cx="6042025" cy="2319020"/>
            <wp:effectExtent l="0" t="0" r="0" b="5080"/>
            <wp:wrapTight wrapText="bothSides">
              <wp:wrapPolygon edited="0">
                <wp:start x="0" y="0"/>
                <wp:lineTo x="0" y="21470"/>
                <wp:lineTo x="21521" y="21470"/>
                <wp:lineTo x="21521"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2025" cy="2319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027D">
        <w:rPr>
          <w:rFonts w:ascii="Arial" w:hAnsi="Arial" w:cs="Arial"/>
          <w:bCs/>
          <w:sz w:val="22"/>
          <w:szCs w:val="22"/>
        </w:rPr>
        <w:t>Además, no solo es la Estafa Maestra, las cuentas que Meade dejó en la Secretaría de Hacienda y Crédito Público, así como en la Secretaría de Relaciones Exteriores tampoco salen bien</w:t>
      </w:r>
      <w:r w:rsidR="00ED042E">
        <w:rPr>
          <w:rFonts w:ascii="Arial" w:hAnsi="Arial" w:cs="Arial"/>
          <w:bCs/>
          <w:sz w:val="22"/>
          <w:szCs w:val="22"/>
        </w:rPr>
        <w:t>.</w:t>
      </w:r>
    </w:p>
    <w:p w14:paraId="79C0EDCD" w14:textId="7BE1278F" w:rsidR="00C53F18" w:rsidRPr="00C53F18" w:rsidRDefault="00C53F18" w:rsidP="00C53F18">
      <w:pPr>
        <w:pStyle w:val="NormalWeb"/>
        <w:spacing w:before="0" w:beforeAutospacing="0" w:after="0" w:afterAutospacing="0"/>
        <w:textAlignment w:val="baseline"/>
        <w:rPr>
          <w:rFonts w:ascii="Arial" w:hAnsi="Arial" w:cs="Arial"/>
          <w:sz w:val="18"/>
          <w:szCs w:val="18"/>
        </w:rPr>
      </w:pPr>
      <w:r w:rsidRPr="00C53F18">
        <w:rPr>
          <w:rFonts w:ascii="Arial" w:hAnsi="Arial" w:cs="Arial"/>
          <w:sz w:val="18"/>
          <w:szCs w:val="18"/>
        </w:rPr>
        <w:t>N/A: No aplica; N/D: No disponible. Nota: Todas las cifras monetarias están expresadas en pesos corrientes.</w:t>
      </w:r>
      <w:r w:rsidRPr="00C53F18">
        <w:rPr>
          <w:rStyle w:val="Refdenotaalpie"/>
          <w:rFonts w:ascii="Arial" w:hAnsi="Arial" w:cs="Arial"/>
          <w:sz w:val="18"/>
          <w:szCs w:val="18"/>
        </w:rPr>
        <w:footnoteReference w:id="4"/>
      </w:r>
    </w:p>
    <w:p w14:paraId="429604DC" w14:textId="69A0A2A1" w:rsidR="00ED042E" w:rsidRPr="00260184" w:rsidRDefault="00623B3C" w:rsidP="005D4622">
      <w:pPr>
        <w:jc w:val="both"/>
        <w:rPr>
          <w:rFonts w:ascii="Arial" w:hAnsi="Arial" w:cs="Arial"/>
          <w:sz w:val="22"/>
          <w:szCs w:val="22"/>
          <w:shd w:val="clear" w:color="auto" w:fill="FFFFFF"/>
        </w:rPr>
      </w:pPr>
      <w:r>
        <w:rPr>
          <w:rFonts w:ascii="Arial" w:hAnsi="Arial" w:cs="Arial"/>
          <w:noProof/>
          <w:sz w:val="22"/>
          <w:szCs w:val="22"/>
          <w:shd w:val="clear" w:color="auto" w:fill="FFFFFF"/>
        </w:rPr>
        <w:lastRenderedPageBreak/>
        <w:drawing>
          <wp:anchor distT="0" distB="0" distL="114300" distR="114300" simplePos="0" relativeHeight="251657215" behindDoc="1" locked="0" layoutInCell="1" allowOverlap="1" wp14:anchorId="7C238705" wp14:editId="41F463A9">
            <wp:simplePos x="0" y="0"/>
            <wp:positionH relativeFrom="column">
              <wp:posOffset>-591185</wp:posOffset>
            </wp:positionH>
            <wp:positionV relativeFrom="paragraph">
              <wp:posOffset>4392930</wp:posOffset>
            </wp:positionV>
            <wp:extent cx="6870700" cy="2451100"/>
            <wp:effectExtent l="0" t="0" r="6350" b="6350"/>
            <wp:wrapTight wrapText="bothSides">
              <wp:wrapPolygon edited="0">
                <wp:start x="0" y="0"/>
                <wp:lineTo x="0" y="21488"/>
                <wp:lineTo x="21560" y="21488"/>
                <wp:lineTo x="21560"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70700" cy="245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shd w:val="clear" w:color="auto" w:fill="FFFFFF"/>
        </w:rPr>
        <w:drawing>
          <wp:anchor distT="0" distB="0" distL="114300" distR="114300" simplePos="0" relativeHeight="251661312" behindDoc="1" locked="0" layoutInCell="1" allowOverlap="1" wp14:anchorId="20F75C70" wp14:editId="21B35BDF">
            <wp:simplePos x="0" y="0"/>
            <wp:positionH relativeFrom="column">
              <wp:posOffset>-591185</wp:posOffset>
            </wp:positionH>
            <wp:positionV relativeFrom="paragraph">
              <wp:posOffset>2399665</wp:posOffset>
            </wp:positionV>
            <wp:extent cx="6870700" cy="2294890"/>
            <wp:effectExtent l="0" t="0" r="6350" b="0"/>
            <wp:wrapThrough wrapText="bothSides">
              <wp:wrapPolygon edited="0">
                <wp:start x="0" y="0"/>
                <wp:lineTo x="0" y="21337"/>
                <wp:lineTo x="21560" y="21337"/>
                <wp:lineTo x="21560"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0700" cy="2294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Cs/>
          <w:noProof/>
          <w:sz w:val="22"/>
          <w:szCs w:val="22"/>
        </w:rPr>
        <w:drawing>
          <wp:anchor distT="0" distB="0" distL="114300" distR="114300" simplePos="0" relativeHeight="251660288" behindDoc="1" locked="0" layoutInCell="1" allowOverlap="1" wp14:anchorId="25ACB037" wp14:editId="7AEFC36E">
            <wp:simplePos x="0" y="0"/>
            <wp:positionH relativeFrom="column">
              <wp:posOffset>-591185</wp:posOffset>
            </wp:positionH>
            <wp:positionV relativeFrom="paragraph">
              <wp:posOffset>0</wp:posOffset>
            </wp:positionV>
            <wp:extent cx="6870700" cy="2399030"/>
            <wp:effectExtent l="0" t="0" r="6350" b="1270"/>
            <wp:wrapThrough wrapText="bothSides">
              <wp:wrapPolygon edited="0">
                <wp:start x="0" y="0"/>
                <wp:lineTo x="0" y="21440"/>
                <wp:lineTo x="21560" y="21440"/>
                <wp:lineTo x="21560"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0" cy="2399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szCs w:val="22"/>
          <w:shd w:val="clear" w:color="auto" w:fill="FFFFFF"/>
        </w:rPr>
        <w:br/>
      </w:r>
      <w:r w:rsidR="00ED042E" w:rsidRPr="00260184">
        <w:rPr>
          <w:rFonts w:ascii="Arial" w:hAnsi="Arial" w:cs="Arial"/>
          <w:sz w:val="22"/>
          <w:szCs w:val="22"/>
          <w:shd w:val="clear" w:color="auto" w:fill="FFFFFF"/>
        </w:rPr>
        <w:lastRenderedPageBreak/>
        <w:t xml:space="preserve">Si bien no hay pruebas en su contra y él asegura que su actuar como funcionario público siempre ocurrió con </w:t>
      </w:r>
      <w:r w:rsidR="00ED042E" w:rsidRPr="003C4CF5">
        <w:rPr>
          <w:rFonts w:ascii="Arial" w:hAnsi="Arial" w:cs="Arial"/>
          <w:i/>
          <w:iCs/>
          <w:sz w:val="22"/>
          <w:szCs w:val="22"/>
          <w:shd w:val="clear" w:color="auto" w:fill="FFFFFF"/>
        </w:rPr>
        <w:t>“absoluta honorabilidad y legalidad”</w:t>
      </w:r>
      <w:r w:rsidR="00ED042E" w:rsidRPr="00260184">
        <w:rPr>
          <w:rFonts w:ascii="Arial" w:hAnsi="Arial" w:cs="Arial"/>
          <w:sz w:val="22"/>
          <w:szCs w:val="22"/>
          <w:shd w:val="clear" w:color="auto" w:fill="FFFFFF"/>
        </w:rPr>
        <w:t xml:space="preserve">, durante su gestión como </w:t>
      </w:r>
      <w:proofErr w:type="gramStart"/>
      <w:r w:rsidR="00ED042E" w:rsidRPr="00260184">
        <w:rPr>
          <w:rFonts w:ascii="Arial" w:hAnsi="Arial" w:cs="Arial"/>
          <w:sz w:val="22"/>
          <w:szCs w:val="22"/>
          <w:shd w:val="clear" w:color="auto" w:fill="FFFFFF"/>
        </w:rPr>
        <w:t>Secretario</w:t>
      </w:r>
      <w:proofErr w:type="gramEnd"/>
      <w:r w:rsidR="00ED042E" w:rsidRPr="00260184">
        <w:rPr>
          <w:rFonts w:ascii="Arial" w:hAnsi="Arial" w:cs="Arial"/>
          <w:sz w:val="22"/>
          <w:szCs w:val="22"/>
          <w:shd w:val="clear" w:color="auto" w:fill="FFFFFF"/>
        </w:rPr>
        <w:t xml:space="preserve"> de Estado entre 2013 y 2017, las dependencias que encabezó causaron probables </w:t>
      </w:r>
      <w:r w:rsidR="00ED042E" w:rsidRPr="00260184">
        <w:rPr>
          <w:rStyle w:val="Textoennegrita"/>
          <w:rFonts w:ascii="Arial" w:hAnsi="Arial" w:cs="Arial"/>
          <w:sz w:val="22"/>
          <w:szCs w:val="22"/>
          <w:shd w:val="clear" w:color="auto" w:fill="FFFFFF"/>
        </w:rPr>
        <w:t>daños al erario público federal</w:t>
      </w:r>
      <w:r w:rsidR="00ED042E" w:rsidRPr="00260184">
        <w:rPr>
          <w:rFonts w:ascii="Arial" w:hAnsi="Arial" w:cs="Arial"/>
          <w:sz w:val="22"/>
          <w:szCs w:val="22"/>
          <w:shd w:val="clear" w:color="auto" w:fill="FFFFFF"/>
        </w:rPr>
        <w:t> por 2 mil 979 millones 721 mil 445 pesos, de acuerdo con cifras de la Auditoría Superior de la Federación.</w:t>
      </w:r>
    </w:p>
    <w:p w14:paraId="528BD9B9" w14:textId="5A2C62E0" w:rsidR="00C53F18" w:rsidRPr="00260184" w:rsidRDefault="00C53F18" w:rsidP="005D4622">
      <w:pPr>
        <w:jc w:val="both"/>
        <w:rPr>
          <w:rFonts w:ascii="Arial" w:hAnsi="Arial" w:cs="Arial"/>
          <w:sz w:val="22"/>
          <w:szCs w:val="22"/>
          <w:shd w:val="clear" w:color="auto" w:fill="FFFFFF"/>
        </w:rPr>
      </w:pPr>
    </w:p>
    <w:p w14:paraId="73DA0EF4" w14:textId="7D4E3474" w:rsidR="00C53F18" w:rsidRPr="00260184" w:rsidRDefault="00C53F18" w:rsidP="005D4622">
      <w:pPr>
        <w:jc w:val="both"/>
        <w:rPr>
          <w:rFonts w:ascii="Arial" w:hAnsi="Arial" w:cs="Arial"/>
          <w:sz w:val="22"/>
          <w:szCs w:val="22"/>
          <w:shd w:val="clear" w:color="auto" w:fill="FFFFFF"/>
        </w:rPr>
      </w:pPr>
      <w:r w:rsidRPr="00260184">
        <w:rPr>
          <w:rFonts w:ascii="Arial" w:hAnsi="Arial" w:cs="Arial"/>
          <w:sz w:val="22"/>
          <w:szCs w:val="22"/>
          <w:shd w:val="clear" w:color="auto" w:fill="FFFFFF"/>
        </w:rPr>
        <w:t xml:space="preserve">Aun cuando </w:t>
      </w:r>
      <w:r w:rsidR="003C4CF5">
        <w:rPr>
          <w:rFonts w:ascii="Arial" w:hAnsi="Arial" w:cs="Arial"/>
          <w:sz w:val="22"/>
          <w:szCs w:val="22"/>
          <w:shd w:val="clear" w:color="auto" w:fill="FFFFFF"/>
        </w:rPr>
        <w:t xml:space="preserve">el ex candidato a la presidencia de la </w:t>
      </w:r>
      <w:proofErr w:type="gramStart"/>
      <w:r w:rsidR="003C4CF5">
        <w:rPr>
          <w:rFonts w:ascii="Arial" w:hAnsi="Arial" w:cs="Arial"/>
          <w:sz w:val="22"/>
          <w:szCs w:val="22"/>
          <w:shd w:val="clear" w:color="auto" w:fill="FFFFFF"/>
        </w:rPr>
        <w:t xml:space="preserve">República, </w:t>
      </w:r>
      <w:r w:rsidRPr="00260184">
        <w:rPr>
          <w:rFonts w:ascii="Arial" w:hAnsi="Arial" w:cs="Arial"/>
          <w:sz w:val="22"/>
          <w:szCs w:val="22"/>
          <w:shd w:val="clear" w:color="auto" w:fill="FFFFFF"/>
        </w:rPr>
        <w:t xml:space="preserve"> sea</w:t>
      </w:r>
      <w:proofErr w:type="gramEnd"/>
      <w:r w:rsidRPr="00260184">
        <w:rPr>
          <w:rFonts w:ascii="Arial" w:hAnsi="Arial" w:cs="Arial"/>
          <w:sz w:val="22"/>
          <w:szCs w:val="22"/>
          <w:shd w:val="clear" w:color="auto" w:fill="FFFFFF"/>
        </w:rPr>
        <w:t xml:space="preserve"> inocente de actos directos o intencionales de corrupción, la normatividad no lo exime de toda responsabilidad, siempre y cuando estuviera enterado de la comisión de irregularidades y no hubiera hecho algo para impedirlo y para facilitar la procuración de justicia.</w:t>
      </w:r>
    </w:p>
    <w:p w14:paraId="15B43FBA" w14:textId="296F6B93" w:rsidR="006D027D" w:rsidRPr="00260184" w:rsidRDefault="006D027D" w:rsidP="00EA78DB">
      <w:pPr>
        <w:jc w:val="both"/>
        <w:rPr>
          <w:rFonts w:ascii="Arial" w:hAnsi="Arial" w:cs="Arial"/>
          <w:bCs/>
          <w:noProof/>
          <w:sz w:val="22"/>
          <w:szCs w:val="22"/>
        </w:rPr>
      </w:pPr>
    </w:p>
    <w:p w14:paraId="327EBAFF" w14:textId="685A6DF8" w:rsidR="00C53F18" w:rsidRPr="00260184" w:rsidRDefault="00C53F18" w:rsidP="00EA78DB">
      <w:pPr>
        <w:jc w:val="both"/>
        <w:rPr>
          <w:rFonts w:ascii="Arial" w:hAnsi="Arial" w:cs="Arial"/>
          <w:color w:val="212529"/>
          <w:sz w:val="22"/>
          <w:szCs w:val="22"/>
          <w:shd w:val="clear" w:color="auto" w:fill="FFFFFF"/>
        </w:rPr>
      </w:pPr>
      <w:r w:rsidRPr="00260184">
        <w:rPr>
          <w:rFonts w:ascii="Arial" w:hAnsi="Arial" w:cs="Arial"/>
          <w:color w:val="212529"/>
          <w:sz w:val="22"/>
          <w:szCs w:val="22"/>
          <w:shd w:val="clear" w:color="auto" w:fill="FFFFFF"/>
        </w:rPr>
        <w:t>Entre 2013 y 2015, cuando Meade fungió como Canciller de México, la Secretaría de Relaciones Exteriores acumuló irregularidades no solventadas por 52 millones 350 mil 15 pesos</w:t>
      </w:r>
      <w:r w:rsidR="00B20897">
        <w:rPr>
          <w:rStyle w:val="Refdenotaalpie"/>
          <w:rFonts w:ascii="Arial" w:hAnsi="Arial" w:cs="Arial"/>
          <w:color w:val="212529"/>
          <w:sz w:val="22"/>
          <w:szCs w:val="22"/>
          <w:shd w:val="clear" w:color="auto" w:fill="FFFFFF"/>
        </w:rPr>
        <w:footnoteReference w:id="5"/>
      </w:r>
      <w:r w:rsidRPr="00260184">
        <w:rPr>
          <w:rFonts w:ascii="Arial" w:hAnsi="Arial" w:cs="Arial"/>
          <w:color w:val="212529"/>
          <w:sz w:val="22"/>
          <w:szCs w:val="22"/>
          <w:shd w:val="clear" w:color="auto" w:fill="FFFFFF"/>
        </w:rPr>
        <w:t xml:space="preserve">. Más adelante, ya como </w:t>
      </w:r>
      <w:proofErr w:type="gramStart"/>
      <w:r w:rsidRPr="00260184">
        <w:rPr>
          <w:rFonts w:ascii="Arial" w:hAnsi="Arial" w:cs="Arial"/>
          <w:color w:val="212529"/>
          <w:sz w:val="22"/>
          <w:szCs w:val="22"/>
          <w:shd w:val="clear" w:color="auto" w:fill="FFFFFF"/>
        </w:rPr>
        <w:t>Secretario</w:t>
      </w:r>
      <w:proofErr w:type="gramEnd"/>
      <w:r w:rsidRPr="00260184">
        <w:rPr>
          <w:rFonts w:ascii="Arial" w:hAnsi="Arial" w:cs="Arial"/>
          <w:color w:val="212529"/>
          <w:sz w:val="22"/>
          <w:szCs w:val="22"/>
          <w:shd w:val="clear" w:color="auto" w:fill="FFFFFF"/>
        </w:rPr>
        <w:t xml:space="preserve"> de Desarrollo Social, la Sedesol a su cargo (2015-2016) quedó a deber la aclaración de 2 mil 337 millones 294 mil 687 pesos. Y bajo su administración durante 2016-2017, la Secretaría de Hacienda y Crédito Público también causó probables daños a la Hacienda Pública Federal por 590 millones 76 mil 743 pesos.</w:t>
      </w:r>
    </w:p>
    <w:p w14:paraId="5570425E" w14:textId="4EAEF36E" w:rsidR="00C53F18" w:rsidRPr="00260184" w:rsidRDefault="00C53F18" w:rsidP="00EA78DB">
      <w:pPr>
        <w:jc w:val="both"/>
        <w:rPr>
          <w:rFonts w:ascii="Arial" w:hAnsi="Arial" w:cs="Arial"/>
          <w:color w:val="212529"/>
          <w:sz w:val="22"/>
          <w:szCs w:val="22"/>
          <w:shd w:val="clear" w:color="auto" w:fill="FFFFFF"/>
        </w:rPr>
      </w:pPr>
    </w:p>
    <w:p w14:paraId="28BD904A" w14:textId="747AAA09" w:rsidR="00C53F18" w:rsidRPr="00260184" w:rsidRDefault="00C53F18" w:rsidP="00EA78DB">
      <w:pPr>
        <w:jc w:val="both"/>
        <w:rPr>
          <w:rFonts w:ascii="Arial" w:hAnsi="Arial" w:cs="Arial"/>
          <w:noProof/>
          <w:sz w:val="22"/>
          <w:szCs w:val="22"/>
        </w:rPr>
      </w:pPr>
      <w:r w:rsidRPr="00260184">
        <w:rPr>
          <w:rFonts w:ascii="Arial" w:hAnsi="Arial" w:cs="Arial"/>
          <w:sz w:val="22"/>
          <w:szCs w:val="22"/>
          <w:shd w:val="clear" w:color="auto" w:fill="FFFFFF"/>
        </w:rPr>
        <w:t xml:space="preserve">En la opinión de los politólogos José Fernández Santillán (ITESM) y Enrique </w:t>
      </w:r>
      <w:proofErr w:type="spellStart"/>
      <w:r w:rsidRPr="00260184">
        <w:rPr>
          <w:rFonts w:ascii="Arial" w:hAnsi="Arial" w:cs="Arial"/>
          <w:sz w:val="22"/>
          <w:szCs w:val="22"/>
          <w:shd w:val="clear" w:color="auto" w:fill="FFFFFF"/>
        </w:rPr>
        <w:t>Toussaint</w:t>
      </w:r>
      <w:proofErr w:type="spellEnd"/>
      <w:r w:rsidRPr="00260184">
        <w:rPr>
          <w:rFonts w:ascii="Arial" w:hAnsi="Arial" w:cs="Arial"/>
          <w:sz w:val="22"/>
          <w:szCs w:val="22"/>
          <w:shd w:val="clear" w:color="auto" w:fill="FFFFFF"/>
        </w:rPr>
        <w:t xml:space="preserve"> (UdeG)</w:t>
      </w:r>
      <w:r w:rsidR="00B20897">
        <w:rPr>
          <w:rStyle w:val="Refdenotaalpie"/>
          <w:rFonts w:ascii="Arial" w:hAnsi="Arial" w:cs="Arial"/>
          <w:sz w:val="22"/>
          <w:szCs w:val="22"/>
          <w:shd w:val="clear" w:color="auto" w:fill="FFFFFF"/>
        </w:rPr>
        <w:footnoteReference w:id="6"/>
      </w:r>
      <w:r w:rsidRPr="00260184">
        <w:rPr>
          <w:rFonts w:ascii="Arial" w:hAnsi="Arial" w:cs="Arial"/>
          <w:sz w:val="22"/>
          <w:szCs w:val="22"/>
          <w:shd w:val="clear" w:color="auto" w:fill="FFFFFF"/>
        </w:rPr>
        <w:t xml:space="preserve">, </w:t>
      </w:r>
      <w:r w:rsidRPr="003C4CF5">
        <w:rPr>
          <w:rFonts w:ascii="Arial" w:hAnsi="Arial" w:cs="Arial"/>
          <w:i/>
          <w:iCs/>
          <w:sz w:val="22"/>
          <w:szCs w:val="22"/>
          <w:shd w:val="clear" w:color="auto" w:fill="FFFFFF"/>
        </w:rPr>
        <w:t>“aunque él puede decir que es muy puro, muy casto, que nunca ha cometido un acto de corrupción, hay muchos casos de corrupción que inician en la Secretaría de Hacienda y parece que él cerró los ojos frente a esas posibles desviaciones”</w:t>
      </w:r>
      <w:r w:rsidRPr="00260184">
        <w:rPr>
          <w:rFonts w:ascii="Arial" w:hAnsi="Arial" w:cs="Arial"/>
          <w:sz w:val="22"/>
          <w:szCs w:val="22"/>
          <w:shd w:val="clear" w:color="auto" w:fill="FFFFFF"/>
        </w:rPr>
        <w:t>.</w:t>
      </w:r>
    </w:p>
    <w:p w14:paraId="4E483F4B" w14:textId="7CD53FE4" w:rsidR="00DE59BA" w:rsidRPr="00260184" w:rsidRDefault="00DE59BA" w:rsidP="00EA78DB">
      <w:pPr>
        <w:jc w:val="both"/>
        <w:rPr>
          <w:rFonts w:ascii="Arial" w:hAnsi="Arial" w:cs="Arial"/>
          <w:bCs/>
          <w:sz w:val="22"/>
          <w:szCs w:val="22"/>
        </w:rPr>
      </w:pPr>
    </w:p>
    <w:p w14:paraId="6092575E" w14:textId="7A268D14" w:rsidR="00ED042E" w:rsidRPr="00260184" w:rsidRDefault="00C53F18" w:rsidP="00EA78DB">
      <w:pPr>
        <w:jc w:val="both"/>
        <w:rPr>
          <w:rFonts w:ascii="Arial" w:hAnsi="Arial" w:cs="Arial"/>
          <w:sz w:val="22"/>
          <w:szCs w:val="22"/>
          <w:shd w:val="clear" w:color="auto" w:fill="FFFFFF"/>
        </w:rPr>
      </w:pPr>
      <w:r w:rsidRPr="00260184">
        <w:rPr>
          <w:rFonts w:ascii="Arial" w:hAnsi="Arial" w:cs="Arial"/>
          <w:sz w:val="22"/>
          <w:szCs w:val="22"/>
          <w:shd w:val="clear" w:color="auto" w:fill="FFFFFF"/>
        </w:rPr>
        <w:t xml:space="preserve">Incluso, el </w:t>
      </w:r>
      <w:proofErr w:type="gramStart"/>
      <w:r w:rsidRPr="00260184">
        <w:rPr>
          <w:rFonts w:ascii="Arial" w:hAnsi="Arial" w:cs="Arial"/>
          <w:sz w:val="22"/>
          <w:szCs w:val="22"/>
          <w:shd w:val="clear" w:color="auto" w:fill="FFFFFF"/>
        </w:rPr>
        <w:t>Presidente</w:t>
      </w:r>
      <w:proofErr w:type="gramEnd"/>
      <w:r w:rsidRPr="00260184">
        <w:rPr>
          <w:rFonts w:ascii="Arial" w:hAnsi="Arial" w:cs="Arial"/>
          <w:sz w:val="22"/>
          <w:szCs w:val="22"/>
          <w:shd w:val="clear" w:color="auto" w:fill="FFFFFF"/>
        </w:rPr>
        <w:t> </w:t>
      </w:r>
      <w:r w:rsidRPr="00260184">
        <w:rPr>
          <w:rStyle w:val="Textoennegrita"/>
          <w:rFonts w:ascii="Arial" w:hAnsi="Arial" w:cs="Arial"/>
          <w:b w:val="0"/>
          <w:bCs w:val="0"/>
          <w:sz w:val="22"/>
          <w:szCs w:val="22"/>
          <w:shd w:val="clear" w:color="auto" w:fill="FFFFFF"/>
        </w:rPr>
        <w:t>Andrés Manuel López Obrador</w:t>
      </w:r>
      <w:r w:rsidRPr="00260184">
        <w:rPr>
          <w:rFonts w:ascii="Arial" w:hAnsi="Arial" w:cs="Arial"/>
          <w:sz w:val="22"/>
          <w:szCs w:val="22"/>
          <w:shd w:val="clear" w:color="auto" w:fill="FFFFFF"/>
        </w:rPr>
        <w:t> comparte éste punto de vista. A finales de 2017, el entonces candidato presidencial afirmó que casos como el de la </w:t>
      </w:r>
      <w:r w:rsidRPr="00260184">
        <w:rPr>
          <w:rStyle w:val="Textoennegrita"/>
          <w:rFonts w:ascii="Arial" w:hAnsi="Arial" w:cs="Arial"/>
          <w:b w:val="0"/>
          <w:bCs w:val="0"/>
          <w:sz w:val="22"/>
          <w:szCs w:val="22"/>
          <w:shd w:val="clear" w:color="auto" w:fill="FFFFFF"/>
        </w:rPr>
        <w:t>Operación Zafiro</w:t>
      </w:r>
      <w:r w:rsidRPr="00260184">
        <w:rPr>
          <w:rFonts w:ascii="Arial" w:hAnsi="Arial" w:cs="Arial"/>
          <w:sz w:val="22"/>
          <w:szCs w:val="22"/>
          <w:shd w:val="clear" w:color="auto" w:fill="FFFFFF"/>
        </w:rPr>
        <w:t> en Chihuahua para desviar recursos a favor del PRI contaron con el manejo de fondos del exsecretario de Hacienda </w:t>
      </w:r>
      <w:r w:rsidRPr="00260184">
        <w:rPr>
          <w:rStyle w:val="Textoennegrita"/>
          <w:rFonts w:ascii="Arial" w:hAnsi="Arial" w:cs="Arial"/>
          <w:b w:val="0"/>
          <w:bCs w:val="0"/>
          <w:sz w:val="22"/>
          <w:szCs w:val="22"/>
          <w:shd w:val="clear" w:color="auto" w:fill="FFFFFF"/>
        </w:rPr>
        <w:t>Luis</w:t>
      </w:r>
      <w:r w:rsidRPr="00260184">
        <w:rPr>
          <w:rStyle w:val="Textoennegrita"/>
          <w:rFonts w:ascii="Arial" w:hAnsi="Arial" w:cs="Arial"/>
          <w:sz w:val="22"/>
          <w:szCs w:val="22"/>
          <w:shd w:val="clear" w:color="auto" w:fill="FFFFFF"/>
        </w:rPr>
        <w:t xml:space="preserve"> </w:t>
      </w:r>
      <w:r w:rsidRPr="00260184">
        <w:rPr>
          <w:rStyle w:val="Textoennegrita"/>
          <w:rFonts w:ascii="Arial" w:hAnsi="Arial" w:cs="Arial"/>
          <w:b w:val="0"/>
          <w:bCs w:val="0"/>
          <w:sz w:val="22"/>
          <w:szCs w:val="22"/>
          <w:shd w:val="clear" w:color="auto" w:fill="FFFFFF"/>
        </w:rPr>
        <w:t>Videgaray Caso</w:t>
      </w:r>
      <w:r w:rsidRPr="00260184">
        <w:rPr>
          <w:rFonts w:ascii="Arial" w:hAnsi="Arial" w:cs="Arial"/>
          <w:sz w:val="22"/>
          <w:szCs w:val="22"/>
          <w:shd w:val="clear" w:color="auto" w:fill="FFFFFF"/>
        </w:rPr>
        <w:t>, </w:t>
      </w:r>
      <w:r w:rsidRPr="003C4CF5">
        <w:rPr>
          <w:rFonts w:ascii="Arial" w:hAnsi="Arial" w:cs="Arial"/>
          <w:i/>
          <w:iCs/>
          <w:sz w:val="22"/>
          <w:szCs w:val="22"/>
          <w:shd w:val="clear" w:color="auto" w:fill="FFFFFF"/>
        </w:rPr>
        <w:t>“y el que tapó, el que sirvió de tapadera, fue Meade”</w:t>
      </w:r>
      <w:r w:rsidRPr="00260184">
        <w:rPr>
          <w:rFonts w:ascii="Arial" w:hAnsi="Arial" w:cs="Arial"/>
          <w:sz w:val="22"/>
          <w:szCs w:val="22"/>
          <w:shd w:val="clear" w:color="auto" w:fill="FFFFFF"/>
        </w:rPr>
        <w:t>, quien lo sucedió al frente de la S</w:t>
      </w:r>
      <w:r w:rsidR="00EB462D" w:rsidRPr="00260184">
        <w:rPr>
          <w:rFonts w:ascii="Arial" w:hAnsi="Arial" w:cs="Arial"/>
          <w:sz w:val="22"/>
          <w:szCs w:val="22"/>
          <w:shd w:val="clear" w:color="auto" w:fill="FFFFFF"/>
        </w:rPr>
        <w:t xml:space="preserve">ecretaría de </w:t>
      </w:r>
      <w:r w:rsidRPr="00260184">
        <w:rPr>
          <w:rFonts w:ascii="Arial" w:hAnsi="Arial" w:cs="Arial"/>
          <w:sz w:val="22"/>
          <w:szCs w:val="22"/>
          <w:shd w:val="clear" w:color="auto" w:fill="FFFFFF"/>
        </w:rPr>
        <w:t>H</w:t>
      </w:r>
      <w:r w:rsidR="00EB462D" w:rsidRPr="00260184">
        <w:rPr>
          <w:rFonts w:ascii="Arial" w:hAnsi="Arial" w:cs="Arial"/>
          <w:sz w:val="22"/>
          <w:szCs w:val="22"/>
          <w:shd w:val="clear" w:color="auto" w:fill="FFFFFF"/>
        </w:rPr>
        <w:t xml:space="preserve">acienda y </w:t>
      </w:r>
      <w:r w:rsidRPr="00260184">
        <w:rPr>
          <w:rFonts w:ascii="Arial" w:hAnsi="Arial" w:cs="Arial"/>
          <w:sz w:val="22"/>
          <w:szCs w:val="22"/>
          <w:shd w:val="clear" w:color="auto" w:fill="FFFFFF"/>
        </w:rPr>
        <w:t>C</w:t>
      </w:r>
      <w:r w:rsidR="00EB462D" w:rsidRPr="00260184">
        <w:rPr>
          <w:rFonts w:ascii="Arial" w:hAnsi="Arial" w:cs="Arial"/>
          <w:sz w:val="22"/>
          <w:szCs w:val="22"/>
          <w:shd w:val="clear" w:color="auto" w:fill="FFFFFF"/>
        </w:rPr>
        <w:t xml:space="preserve">rédito </w:t>
      </w:r>
      <w:r w:rsidRPr="00260184">
        <w:rPr>
          <w:rFonts w:ascii="Arial" w:hAnsi="Arial" w:cs="Arial"/>
          <w:sz w:val="22"/>
          <w:szCs w:val="22"/>
          <w:shd w:val="clear" w:color="auto" w:fill="FFFFFF"/>
        </w:rPr>
        <w:t>P</w:t>
      </w:r>
      <w:r w:rsidR="00EB462D" w:rsidRPr="00260184">
        <w:rPr>
          <w:rFonts w:ascii="Arial" w:hAnsi="Arial" w:cs="Arial"/>
          <w:sz w:val="22"/>
          <w:szCs w:val="22"/>
          <w:shd w:val="clear" w:color="auto" w:fill="FFFFFF"/>
        </w:rPr>
        <w:t>úblico</w:t>
      </w:r>
      <w:r w:rsidRPr="00260184">
        <w:rPr>
          <w:rFonts w:ascii="Arial" w:hAnsi="Arial" w:cs="Arial"/>
          <w:sz w:val="22"/>
          <w:szCs w:val="22"/>
          <w:shd w:val="clear" w:color="auto" w:fill="FFFFFF"/>
        </w:rPr>
        <w:t>.</w:t>
      </w:r>
    </w:p>
    <w:p w14:paraId="33FF20DE" w14:textId="5D9CAE00" w:rsidR="00EB462D" w:rsidRPr="00260184" w:rsidRDefault="00EB462D" w:rsidP="00EA78DB">
      <w:pPr>
        <w:jc w:val="both"/>
        <w:rPr>
          <w:rFonts w:ascii="Arial" w:hAnsi="Arial" w:cs="Arial"/>
          <w:sz w:val="22"/>
          <w:szCs w:val="22"/>
          <w:shd w:val="clear" w:color="auto" w:fill="FFFFFF"/>
        </w:rPr>
      </w:pPr>
    </w:p>
    <w:p w14:paraId="4FE4B05C" w14:textId="71C9EF27" w:rsidR="00EB462D" w:rsidRPr="00260184" w:rsidRDefault="00EB462D" w:rsidP="00EB462D">
      <w:pPr>
        <w:pStyle w:val="NormalWeb"/>
        <w:shd w:val="clear" w:color="auto" w:fill="FFFFFF"/>
        <w:spacing w:before="0" w:beforeAutospacing="0"/>
        <w:jc w:val="both"/>
        <w:rPr>
          <w:rFonts w:ascii="Arial" w:hAnsi="Arial" w:cs="Arial"/>
          <w:sz w:val="22"/>
          <w:szCs w:val="22"/>
          <w:lang w:val="es-MX"/>
        </w:rPr>
      </w:pPr>
      <w:r w:rsidRPr="00260184">
        <w:rPr>
          <w:rStyle w:val="Textoennegrita"/>
          <w:rFonts w:ascii="Arial" w:hAnsi="Arial" w:cs="Arial"/>
          <w:sz w:val="22"/>
          <w:szCs w:val="22"/>
        </w:rPr>
        <w:t>Golpe al desarrollo social</w:t>
      </w:r>
    </w:p>
    <w:p w14:paraId="134E936A" w14:textId="0AF44779" w:rsidR="00EB462D" w:rsidRPr="00260184" w:rsidRDefault="00EB462D" w:rsidP="00EB462D">
      <w:pPr>
        <w:pStyle w:val="NormalWeb"/>
        <w:shd w:val="clear" w:color="auto" w:fill="FFFFFF"/>
        <w:jc w:val="both"/>
        <w:rPr>
          <w:rFonts w:ascii="Segoe UI" w:hAnsi="Segoe UI" w:cs="Segoe UI"/>
          <w:b/>
          <w:bCs/>
          <w:sz w:val="22"/>
          <w:szCs w:val="22"/>
        </w:rPr>
      </w:pPr>
      <w:r w:rsidRPr="00260184">
        <w:rPr>
          <w:rFonts w:ascii="Arial" w:hAnsi="Arial" w:cs="Arial"/>
          <w:sz w:val="22"/>
          <w:szCs w:val="22"/>
        </w:rPr>
        <w:t>José Antonio Meade Kuribreña estuvo a cargo de la Sedesol entre agosto de 2015 y septiembre de 2016. En ese par de años, el monto de las irregularidades no solventadas (casi 3 mil millones de pesos) fue equiparable, por ejemplo, al presupuesto ejercido (2.6 mil millones de pesos) en el Programa de Fomento a la</w:t>
      </w:r>
      <w:r w:rsidRPr="00260184">
        <w:rPr>
          <w:rFonts w:ascii="Segoe UI" w:hAnsi="Segoe UI" w:cs="Segoe UI"/>
          <w:b/>
          <w:bCs/>
          <w:sz w:val="22"/>
          <w:szCs w:val="22"/>
        </w:rPr>
        <w:t xml:space="preserve"> </w:t>
      </w:r>
      <w:r w:rsidRPr="00260184">
        <w:rPr>
          <w:rFonts w:ascii="Arial" w:hAnsi="Arial" w:cs="Arial"/>
          <w:sz w:val="22"/>
          <w:szCs w:val="22"/>
        </w:rPr>
        <w:t>Economía Social, cuya finalidad es invertir en proyectos productivos que contribuyan a mejorar el ingreso de las personas en situación de pobreza.</w:t>
      </w:r>
    </w:p>
    <w:p w14:paraId="5ECC2F88" w14:textId="0572710B" w:rsidR="00EB462D" w:rsidRPr="00EB462D" w:rsidRDefault="00EB462D" w:rsidP="00EA78DB">
      <w:pPr>
        <w:jc w:val="both"/>
        <w:rPr>
          <w:rFonts w:ascii="Arial" w:hAnsi="Arial" w:cs="Arial"/>
          <w:b/>
          <w:bCs/>
          <w:sz w:val="24"/>
          <w:szCs w:val="24"/>
        </w:rPr>
      </w:pPr>
      <w:r w:rsidRPr="00EB462D">
        <w:rPr>
          <w:rFonts w:ascii="Arial" w:hAnsi="Arial" w:cs="Arial"/>
          <w:b/>
          <w:bCs/>
          <w:sz w:val="24"/>
          <w:szCs w:val="24"/>
        </w:rPr>
        <w:lastRenderedPageBreak/>
        <w:t>Fundamento jurídico</w:t>
      </w:r>
    </w:p>
    <w:p w14:paraId="3833462E" w14:textId="27CE2018" w:rsidR="009D692D" w:rsidRDefault="009D692D" w:rsidP="00EA78DB">
      <w:pPr>
        <w:jc w:val="both"/>
        <w:rPr>
          <w:rFonts w:ascii="Arial" w:hAnsi="Arial" w:cs="Arial"/>
          <w:bCs/>
          <w:sz w:val="22"/>
          <w:szCs w:val="22"/>
        </w:rPr>
      </w:pPr>
      <w:r>
        <w:rPr>
          <w:rFonts w:ascii="Arial" w:hAnsi="Arial" w:cs="Arial"/>
          <w:bCs/>
          <w:sz w:val="22"/>
          <w:szCs w:val="22"/>
        </w:rPr>
        <w:t>Resulta aplicable al caso en concreto la Ley de Adquisiciones</w:t>
      </w:r>
      <w:r w:rsidRPr="00CB59E1">
        <w:rPr>
          <w:rFonts w:ascii="Arial" w:hAnsi="Arial" w:cs="Arial"/>
          <w:bCs/>
          <w:sz w:val="22"/>
          <w:szCs w:val="22"/>
        </w:rPr>
        <w:t>,</w:t>
      </w:r>
      <w:r>
        <w:rPr>
          <w:rFonts w:ascii="Arial" w:hAnsi="Arial" w:cs="Arial"/>
          <w:bCs/>
          <w:sz w:val="22"/>
          <w:szCs w:val="22"/>
        </w:rPr>
        <w:t xml:space="preserve"> Arrendamientos y Contratación de Servicios del Estado de Chihuahua, ya que el artículo 3 de su Reglamento, de manera expresa señala que la regulación de la Ley contempla a las consultorías. </w:t>
      </w:r>
    </w:p>
    <w:p w14:paraId="065DC7FB" w14:textId="77777777" w:rsidR="009D692D" w:rsidRDefault="009D692D" w:rsidP="00EA78DB">
      <w:pPr>
        <w:jc w:val="both"/>
        <w:rPr>
          <w:rFonts w:ascii="Arial" w:hAnsi="Arial" w:cs="Arial"/>
          <w:bCs/>
          <w:sz w:val="22"/>
          <w:szCs w:val="22"/>
        </w:rPr>
      </w:pPr>
    </w:p>
    <w:p w14:paraId="6513BFCC" w14:textId="77FF3DF9" w:rsidR="009D692D" w:rsidRDefault="009D692D" w:rsidP="009D692D">
      <w:pPr>
        <w:ind w:left="567"/>
        <w:jc w:val="both"/>
        <w:rPr>
          <w:rFonts w:ascii="Arial" w:hAnsi="Arial" w:cs="Arial"/>
          <w:sz w:val="22"/>
          <w:szCs w:val="22"/>
        </w:rPr>
      </w:pPr>
      <w:r w:rsidRPr="009D692D">
        <w:rPr>
          <w:rFonts w:ascii="Arial" w:hAnsi="Arial" w:cs="Arial"/>
          <w:b/>
          <w:bCs/>
          <w:sz w:val="22"/>
          <w:szCs w:val="22"/>
        </w:rPr>
        <w:t>Artículo 3</w:t>
      </w:r>
      <w:r>
        <w:rPr>
          <w:rFonts w:ascii="Arial" w:hAnsi="Arial" w:cs="Arial"/>
          <w:b/>
          <w:bCs/>
          <w:sz w:val="22"/>
          <w:szCs w:val="22"/>
        </w:rPr>
        <w:t xml:space="preserve"> del Reglamento</w:t>
      </w:r>
      <w:r w:rsidRPr="009D692D">
        <w:rPr>
          <w:rFonts w:ascii="Arial" w:hAnsi="Arial" w:cs="Arial"/>
          <w:b/>
          <w:bCs/>
          <w:sz w:val="22"/>
          <w:szCs w:val="22"/>
        </w:rPr>
        <w:t>.</w:t>
      </w:r>
      <w:r w:rsidRPr="009D692D">
        <w:rPr>
          <w:rFonts w:ascii="Arial" w:hAnsi="Arial" w:cs="Arial"/>
          <w:sz w:val="22"/>
          <w:szCs w:val="22"/>
        </w:rPr>
        <w:t xml:space="preserve"> En términos de lo dispuesto por el artículo 4 de la Ley, en las adquisiciones, arrendamientos y la contratación de servicios, quedan comprendidos de manera enunciativa y no limitativa:</w:t>
      </w:r>
    </w:p>
    <w:p w14:paraId="03759654" w14:textId="77777777" w:rsidR="009D692D" w:rsidRPr="009D692D" w:rsidRDefault="009D692D" w:rsidP="009D692D">
      <w:pPr>
        <w:ind w:left="567"/>
        <w:jc w:val="both"/>
        <w:rPr>
          <w:rFonts w:ascii="Arial" w:hAnsi="Arial" w:cs="Arial"/>
          <w:sz w:val="22"/>
          <w:szCs w:val="22"/>
        </w:rPr>
      </w:pPr>
    </w:p>
    <w:p w14:paraId="41B1E308" w14:textId="5114D806" w:rsidR="009D692D" w:rsidRDefault="009D692D" w:rsidP="009D692D">
      <w:pPr>
        <w:ind w:left="567"/>
        <w:jc w:val="both"/>
        <w:rPr>
          <w:rFonts w:ascii="Arial" w:hAnsi="Arial" w:cs="Arial"/>
          <w:sz w:val="22"/>
          <w:szCs w:val="22"/>
        </w:rPr>
      </w:pPr>
      <w:r w:rsidRPr="009D692D">
        <w:rPr>
          <w:rFonts w:ascii="Arial" w:hAnsi="Arial" w:cs="Arial"/>
          <w:sz w:val="22"/>
          <w:szCs w:val="22"/>
        </w:rPr>
        <w:t>(…)</w:t>
      </w:r>
    </w:p>
    <w:p w14:paraId="27B05145" w14:textId="77777777" w:rsidR="009D692D" w:rsidRPr="009D692D" w:rsidRDefault="009D692D" w:rsidP="009D692D">
      <w:pPr>
        <w:ind w:left="567"/>
        <w:jc w:val="both"/>
        <w:rPr>
          <w:rFonts w:ascii="Arial" w:hAnsi="Arial" w:cs="Arial"/>
          <w:sz w:val="22"/>
          <w:szCs w:val="22"/>
        </w:rPr>
      </w:pPr>
    </w:p>
    <w:p w14:paraId="605F6F4A" w14:textId="77777777" w:rsidR="009D692D" w:rsidRPr="009D692D" w:rsidRDefault="009D692D" w:rsidP="009D692D">
      <w:pPr>
        <w:ind w:left="567"/>
        <w:jc w:val="both"/>
        <w:rPr>
          <w:rFonts w:ascii="Arial" w:hAnsi="Arial" w:cs="Arial"/>
          <w:sz w:val="22"/>
          <w:szCs w:val="22"/>
        </w:rPr>
      </w:pPr>
      <w:r w:rsidRPr="009D692D">
        <w:rPr>
          <w:rFonts w:ascii="Arial" w:hAnsi="Arial" w:cs="Arial"/>
          <w:b/>
          <w:bCs/>
          <w:sz w:val="22"/>
          <w:szCs w:val="22"/>
        </w:rPr>
        <w:t>VII.</w:t>
      </w:r>
      <w:r w:rsidRPr="009D692D">
        <w:rPr>
          <w:rFonts w:ascii="Arial" w:hAnsi="Arial" w:cs="Arial"/>
          <w:sz w:val="22"/>
          <w:szCs w:val="22"/>
        </w:rPr>
        <w:t xml:space="preserve"> La contratación de </w:t>
      </w:r>
      <w:r w:rsidRPr="009D692D">
        <w:rPr>
          <w:rFonts w:ascii="Arial" w:hAnsi="Arial" w:cs="Arial"/>
          <w:b/>
          <w:bCs/>
          <w:sz w:val="22"/>
          <w:szCs w:val="22"/>
        </w:rPr>
        <w:t>consultorías</w:t>
      </w:r>
      <w:r w:rsidRPr="009D692D">
        <w:rPr>
          <w:rFonts w:ascii="Arial" w:hAnsi="Arial" w:cs="Arial"/>
          <w:sz w:val="22"/>
          <w:szCs w:val="22"/>
        </w:rPr>
        <w:t>, asesorías, estudios e investigaciones, y</w:t>
      </w:r>
    </w:p>
    <w:p w14:paraId="7E0D7378" w14:textId="77777777" w:rsidR="009D692D" w:rsidRDefault="009D692D" w:rsidP="00EA78DB">
      <w:pPr>
        <w:jc w:val="both"/>
        <w:rPr>
          <w:rFonts w:ascii="Arial" w:hAnsi="Arial" w:cs="Arial"/>
          <w:bCs/>
          <w:sz w:val="22"/>
          <w:szCs w:val="22"/>
        </w:rPr>
      </w:pPr>
    </w:p>
    <w:p w14:paraId="1CFAA343" w14:textId="2277C545" w:rsidR="009D692D" w:rsidRDefault="009D692D" w:rsidP="00260184">
      <w:pPr>
        <w:jc w:val="both"/>
        <w:rPr>
          <w:rFonts w:ascii="Arial" w:hAnsi="Arial" w:cs="Arial"/>
          <w:sz w:val="22"/>
          <w:szCs w:val="22"/>
          <w:shd w:val="clear" w:color="auto" w:fill="FFFFFF"/>
        </w:rPr>
      </w:pPr>
      <w:r>
        <w:rPr>
          <w:rFonts w:ascii="Arial" w:hAnsi="Arial" w:cs="Arial"/>
          <w:bCs/>
          <w:sz w:val="22"/>
          <w:szCs w:val="22"/>
        </w:rPr>
        <w:t xml:space="preserve">Por su parte, el diccionario de Oxford define a las consultas como </w:t>
      </w:r>
      <w:r w:rsidRPr="009D692D">
        <w:rPr>
          <w:rFonts w:ascii="Arial" w:hAnsi="Arial" w:cs="Arial"/>
          <w:bCs/>
          <w:sz w:val="22"/>
          <w:szCs w:val="22"/>
        </w:rPr>
        <w:t>“p</w:t>
      </w:r>
      <w:r w:rsidRPr="009D692D">
        <w:rPr>
          <w:rFonts w:ascii="Arial" w:hAnsi="Arial" w:cs="Arial"/>
          <w:sz w:val="22"/>
          <w:szCs w:val="22"/>
          <w:shd w:val="clear" w:color="auto" w:fill="FFFFFF"/>
        </w:rPr>
        <w:t>etición de información, opinión o consejo sobre una materia determinada</w:t>
      </w:r>
      <w:r w:rsidR="005C169C">
        <w:rPr>
          <w:rFonts w:ascii="Arial" w:hAnsi="Arial" w:cs="Arial"/>
          <w:sz w:val="22"/>
          <w:szCs w:val="22"/>
          <w:shd w:val="clear" w:color="auto" w:fill="FFFFFF"/>
        </w:rPr>
        <w:t>”.</w:t>
      </w:r>
    </w:p>
    <w:p w14:paraId="0D803318" w14:textId="77777777" w:rsidR="009D692D" w:rsidRPr="009D692D" w:rsidRDefault="009D692D" w:rsidP="00260184">
      <w:pPr>
        <w:jc w:val="both"/>
        <w:rPr>
          <w:rFonts w:ascii="Arial" w:hAnsi="Arial" w:cs="Arial"/>
          <w:bCs/>
          <w:sz w:val="22"/>
          <w:szCs w:val="22"/>
        </w:rPr>
      </w:pPr>
    </w:p>
    <w:p w14:paraId="13281E35" w14:textId="1C199876" w:rsidR="00260184" w:rsidRDefault="00EB462D" w:rsidP="00260184">
      <w:pPr>
        <w:jc w:val="both"/>
        <w:rPr>
          <w:rFonts w:ascii="Arial" w:hAnsi="Arial" w:cs="Arial"/>
          <w:sz w:val="22"/>
          <w:szCs w:val="22"/>
        </w:rPr>
      </w:pPr>
      <w:r>
        <w:rPr>
          <w:rFonts w:ascii="Arial" w:hAnsi="Arial" w:cs="Arial"/>
          <w:bCs/>
          <w:sz w:val="22"/>
          <w:szCs w:val="22"/>
        </w:rPr>
        <w:t>D</w:t>
      </w:r>
      <w:r w:rsidR="00EA78DB" w:rsidRPr="00CB59E1">
        <w:rPr>
          <w:rFonts w:ascii="Arial" w:hAnsi="Arial" w:cs="Arial"/>
          <w:bCs/>
          <w:sz w:val="22"/>
          <w:szCs w:val="22"/>
        </w:rPr>
        <w:t xml:space="preserve">e acuerdo con </w:t>
      </w:r>
      <w:r w:rsidR="00260184">
        <w:rPr>
          <w:rFonts w:ascii="Arial" w:hAnsi="Arial" w:cs="Arial"/>
          <w:bCs/>
          <w:sz w:val="22"/>
          <w:szCs w:val="22"/>
        </w:rPr>
        <w:t>los</w:t>
      </w:r>
      <w:r w:rsidR="00EA78DB" w:rsidRPr="00CB59E1">
        <w:rPr>
          <w:rFonts w:ascii="Arial" w:hAnsi="Arial" w:cs="Arial"/>
          <w:bCs/>
          <w:sz w:val="22"/>
          <w:szCs w:val="22"/>
        </w:rPr>
        <w:t xml:space="preserve"> art</w:t>
      </w:r>
      <w:r w:rsidR="00CF38A7">
        <w:rPr>
          <w:rFonts w:ascii="Arial" w:hAnsi="Arial" w:cs="Arial"/>
          <w:bCs/>
          <w:sz w:val="22"/>
          <w:szCs w:val="22"/>
        </w:rPr>
        <w:t>í</w:t>
      </w:r>
      <w:r w:rsidR="00EA78DB" w:rsidRPr="00CB59E1">
        <w:rPr>
          <w:rFonts w:ascii="Arial" w:hAnsi="Arial" w:cs="Arial"/>
          <w:bCs/>
          <w:sz w:val="22"/>
          <w:szCs w:val="22"/>
        </w:rPr>
        <w:t>culo</w:t>
      </w:r>
      <w:r w:rsidR="00260184">
        <w:rPr>
          <w:rFonts w:ascii="Arial" w:hAnsi="Arial" w:cs="Arial"/>
          <w:bCs/>
          <w:sz w:val="22"/>
          <w:szCs w:val="22"/>
        </w:rPr>
        <w:t>s</w:t>
      </w:r>
      <w:r w:rsidR="00EA78DB" w:rsidRPr="00CB59E1">
        <w:rPr>
          <w:rFonts w:ascii="Arial" w:hAnsi="Arial" w:cs="Arial"/>
          <w:bCs/>
          <w:sz w:val="22"/>
          <w:szCs w:val="22"/>
        </w:rPr>
        <w:t xml:space="preserve"> </w:t>
      </w:r>
      <w:r w:rsidR="00260184">
        <w:rPr>
          <w:rFonts w:ascii="Arial" w:hAnsi="Arial" w:cs="Arial"/>
          <w:bCs/>
          <w:sz w:val="22"/>
          <w:szCs w:val="22"/>
        </w:rPr>
        <w:t>24 y 25</w:t>
      </w:r>
      <w:r w:rsidR="00EA78DB" w:rsidRPr="00CB59E1">
        <w:rPr>
          <w:rFonts w:ascii="Arial" w:hAnsi="Arial" w:cs="Arial"/>
          <w:bCs/>
          <w:sz w:val="22"/>
          <w:szCs w:val="22"/>
        </w:rPr>
        <w:t xml:space="preserve"> de</w:t>
      </w:r>
      <w:r w:rsidR="00260184">
        <w:rPr>
          <w:rFonts w:ascii="Arial" w:hAnsi="Arial" w:cs="Arial"/>
          <w:bCs/>
          <w:sz w:val="22"/>
          <w:szCs w:val="22"/>
        </w:rPr>
        <w:t xml:space="preserve"> la Ley de</w:t>
      </w:r>
      <w:r w:rsidR="00EA78DB" w:rsidRPr="00CB59E1">
        <w:rPr>
          <w:rFonts w:ascii="Arial" w:hAnsi="Arial" w:cs="Arial"/>
          <w:bCs/>
          <w:sz w:val="22"/>
          <w:szCs w:val="22"/>
        </w:rPr>
        <w:t xml:space="preserve"> </w:t>
      </w:r>
      <w:r>
        <w:rPr>
          <w:rFonts w:ascii="Arial" w:hAnsi="Arial" w:cs="Arial"/>
          <w:bCs/>
          <w:sz w:val="22"/>
          <w:szCs w:val="22"/>
        </w:rPr>
        <w:t>Adquisiciones</w:t>
      </w:r>
      <w:r w:rsidR="00EA78DB" w:rsidRPr="00CB59E1">
        <w:rPr>
          <w:rFonts w:ascii="Arial" w:hAnsi="Arial" w:cs="Arial"/>
          <w:bCs/>
          <w:sz w:val="22"/>
          <w:szCs w:val="22"/>
        </w:rPr>
        <w:t>,</w:t>
      </w:r>
      <w:r>
        <w:rPr>
          <w:rFonts w:ascii="Arial" w:hAnsi="Arial" w:cs="Arial"/>
          <w:bCs/>
          <w:sz w:val="22"/>
          <w:szCs w:val="22"/>
        </w:rPr>
        <w:t xml:space="preserve"> Arrendamientos y Contratación de Servicios del Estado de Chihuahua,</w:t>
      </w:r>
      <w:r w:rsidR="00EA78DB" w:rsidRPr="00CB59E1">
        <w:rPr>
          <w:rFonts w:ascii="Arial" w:hAnsi="Arial" w:cs="Arial"/>
          <w:bCs/>
          <w:sz w:val="22"/>
          <w:szCs w:val="22"/>
        </w:rPr>
        <w:t xml:space="preserve"> </w:t>
      </w:r>
      <w:r w:rsidR="00260184">
        <w:rPr>
          <w:rFonts w:ascii="Arial" w:hAnsi="Arial" w:cs="Arial"/>
          <w:bCs/>
          <w:sz w:val="22"/>
          <w:szCs w:val="22"/>
        </w:rPr>
        <w:t>todo ente público</w:t>
      </w:r>
      <w:r w:rsidR="00260184">
        <w:rPr>
          <w:rStyle w:val="Refdenotaalpie"/>
          <w:rFonts w:ascii="Arial" w:hAnsi="Arial" w:cs="Arial"/>
          <w:bCs/>
          <w:sz w:val="22"/>
          <w:szCs w:val="22"/>
        </w:rPr>
        <w:footnoteReference w:id="7"/>
      </w:r>
      <w:r w:rsidR="00260184">
        <w:rPr>
          <w:rFonts w:ascii="Arial" w:hAnsi="Arial" w:cs="Arial"/>
          <w:bCs/>
          <w:sz w:val="22"/>
          <w:szCs w:val="22"/>
        </w:rPr>
        <w:t xml:space="preserve"> </w:t>
      </w:r>
      <w:r w:rsidR="00260184" w:rsidRPr="00260184">
        <w:rPr>
          <w:rFonts w:ascii="Arial" w:hAnsi="Arial" w:cs="Arial"/>
          <w:sz w:val="22"/>
          <w:szCs w:val="22"/>
        </w:rPr>
        <w:t xml:space="preserve">que requiera contratar servicios de consultorías, asesorías, estudios e investigaciones verificará previamente en sus archivos la existencia de trabajos sobre la materia de que se trate. </w:t>
      </w:r>
      <w:r w:rsidR="00260184">
        <w:rPr>
          <w:rFonts w:ascii="Arial" w:hAnsi="Arial" w:cs="Arial"/>
          <w:sz w:val="22"/>
          <w:szCs w:val="22"/>
        </w:rPr>
        <w:t>Además, p</w:t>
      </w:r>
      <w:r w:rsidR="00260184" w:rsidRPr="00260184">
        <w:rPr>
          <w:rFonts w:ascii="Arial" w:hAnsi="Arial" w:cs="Arial"/>
          <w:sz w:val="22"/>
          <w:szCs w:val="22"/>
        </w:rPr>
        <w:t>revio a la contratación de servicios de consultorías, asesorías, estudios e investigaciones, el ente público requerirá la autorización de un Comité Especial</w:t>
      </w:r>
      <w:r w:rsidR="00260184">
        <w:rPr>
          <w:rFonts w:ascii="Arial" w:hAnsi="Arial" w:cs="Arial"/>
          <w:sz w:val="22"/>
          <w:szCs w:val="22"/>
        </w:rPr>
        <w:t>.</w:t>
      </w:r>
    </w:p>
    <w:p w14:paraId="7A068C39" w14:textId="683E5B25" w:rsidR="00260184" w:rsidRDefault="00260184" w:rsidP="00260184">
      <w:pPr>
        <w:jc w:val="both"/>
        <w:rPr>
          <w:rFonts w:ascii="Arial" w:hAnsi="Arial" w:cs="Arial"/>
          <w:sz w:val="22"/>
          <w:szCs w:val="22"/>
        </w:rPr>
      </w:pPr>
    </w:p>
    <w:p w14:paraId="747B2DB8" w14:textId="4CC87F17" w:rsidR="00260184" w:rsidRDefault="00260184" w:rsidP="00260184">
      <w:pPr>
        <w:jc w:val="both"/>
        <w:rPr>
          <w:rFonts w:ascii="Arial" w:hAnsi="Arial" w:cs="Arial"/>
          <w:sz w:val="22"/>
          <w:szCs w:val="22"/>
        </w:rPr>
      </w:pPr>
      <w:r>
        <w:rPr>
          <w:rFonts w:ascii="Arial" w:hAnsi="Arial" w:cs="Arial"/>
          <w:sz w:val="22"/>
          <w:szCs w:val="22"/>
        </w:rPr>
        <w:t>Aunado a lo anterior, los artículos 78</w:t>
      </w:r>
      <w:r w:rsidR="00F665E7">
        <w:rPr>
          <w:rFonts w:ascii="Arial" w:hAnsi="Arial" w:cs="Arial"/>
          <w:sz w:val="22"/>
          <w:szCs w:val="22"/>
        </w:rPr>
        <w:t>,</w:t>
      </w:r>
      <w:r>
        <w:rPr>
          <w:rFonts w:ascii="Arial" w:hAnsi="Arial" w:cs="Arial"/>
          <w:sz w:val="22"/>
          <w:szCs w:val="22"/>
        </w:rPr>
        <w:t xml:space="preserve"> 79 </w:t>
      </w:r>
      <w:r w:rsidR="00F665E7">
        <w:rPr>
          <w:rFonts w:ascii="Arial" w:hAnsi="Arial" w:cs="Arial"/>
          <w:sz w:val="22"/>
          <w:szCs w:val="22"/>
        </w:rPr>
        <w:t xml:space="preserve">y 79 BIS </w:t>
      </w:r>
      <w:r>
        <w:rPr>
          <w:rFonts w:ascii="Arial" w:hAnsi="Arial" w:cs="Arial"/>
          <w:sz w:val="22"/>
          <w:szCs w:val="22"/>
        </w:rPr>
        <w:t>de la multicitada ley enumeran varios requisitos para los contratos,</w:t>
      </w:r>
      <w:r w:rsidR="00F665E7">
        <w:rPr>
          <w:rFonts w:ascii="Arial" w:hAnsi="Arial" w:cs="Arial"/>
          <w:sz w:val="22"/>
          <w:szCs w:val="22"/>
        </w:rPr>
        <w:t xml:space="preserve"> a </w:t>
      </w:r>
      <w:r w:rsidR="005C169C">
        <w:rPr>
          <w:rFonts w:ascii="Arial" w:hAnsi="Arial" w:cs="Arial"/>
          <w:sz w:val="22"/>
          <w:szCs w:val="22"/>
        </w:rPr>
        <w:t>continuación,</w:t>
      </w:r>
      <w:r w:rsidR="00F665E7">
        <w:rPr>
          <w:rFonts w:ascii="Arial" w:hAnsi="Arial" w:cs="Arial"/>
          <w:sz w:val="22"/>
          <w:szCs w:val="22"/>
        </w:rPr>
        <w:t xml:space="preserve"> solo se plasman algunos para efectos prácticos, pues el artículo 79 cuenta con un total de </w:t>
      </w:r>
      <w:r w:rsidR="00F665E7" w:rsidRPr="00F665E7">
        <w:rPr>
          <w:rFonts w:ascii="Arial" w:hAnsi="Arial" w:cs="Arial"/>
          <w:sz w:val="22"/>
          <w:szCs w:val="22"/>
        </w:rPr>
        <w:t>veintidós fracciones</w:t>
      </w:r>
      <w:r w:rsidR="0041654B">
        <w:rPr>
          <w:rFonts w:ascii="Arial" w:hAnsi="Arial" w:cs="Arial"/>
          <w:sz w:val="22"/>
          <w:szCs w:val="22"/>
        </w:rPr>
        <w:t>.</w:t>
      </w:r>
    </w:p>
    <w:p w14:paraId="2E4FFA4B" w14:textId="4D41E557" w:rsidR="00F665E7" w:rsidRDefault="00F665E7" w:rsidP="00260184">
      <w:pPr>
        <w:jc w:val="both"/>
        <w:rPr>
          <w:rFonts w:ascii="Arial" w:hAnsi="Arial" w:cs="Arial"/>
          <w:sz w:val="22"/>
          <w:szCs w:val="22"/>
        </w:rPr>
      </w:pPr>
    </w:p>
    <w:p w14:paraId="74080921" w14:textId="00949E10" w:rsidR="00F665E7" w:rsidRPr="005C169C" w:rsidRDefault="00F665E7" w:rsidP="00F665E7">
      <w:pPr>
        <w:ind w:left="426"/>
        <w:jc w:val="both"/>
        <w:rPr>
          <w:rFonts w:ascii="Arial" w:hAnsi="Arial" w:cs="Arial"/>
          <w:i/>
          <w:iCs/>
          <w:sz w:val="22"/>
          <w:szCs w:val="22"/>
        </w:rPr>
      </w:pPr>
      <w:r w:rsidRPr="005C169C">
        <w:rPr>
          <w:rFonts w:ascii="Arial" w:hAnsi="Arial" w:cs="Arial"/>
          <w:b/>
          <w:bCs/>
          <w:i/>
          <w:iCs/>
          <w:sz w:val="22"/>
          <w:szCs w:val="22"/>
        </w:rPr>
        <w:t>Artículo 78.</w:t>
      </w:r>
      <w:r w:rsidRPr="005C169C">
        <w:rPr>
          <w:rFonts w:ascii="Arial" w:hAnsi="Arial" w:cs="Arial"/>
          <w:i/>
          <w:iCs/>
          <w:sz w:val="22"/>
          <w:szCs w:val="22"/>
        </w:rPr>
        <w:t xml:space="preserve"> En las adquisiciones, arrendamientos y contratación de servicios deberá pactarse preferentemente la condición de precio fijo. Solo en casos justificados se podrá pactar en el contrato decrementos o incrementos a los precios, de acuerdo con la fórmula o mecanismo de ajuste que determine la convocante previamente a la presentación de las propuestas.</w:t>
      </w:r>
    </w:p>
    <w:p w14:paraId="60807193" w14:textId="3A920339" w:rsidR="00F665E7" w:rsidRPr="005C169C" w:rsidRDefault="00F665E7" w:rsidP="00F665E7">
      <w:pPr>
        <w:ind w:left="426"/>
        <w:jc w:val="both"/>
        <w:rPr>
          <w:rFonts w:ascii="Arial" w:hAnsi="Arial" w:cs="Arial"/>
          <w:i/>
          <w:iCs/>
          <w:sz w:val="24"/>
          <w:szCs w:val="24"/>
        </w:rPr>
      </w:pPr>
    </w:p>
    <w:p w14:paraId="0E927974" w14:textId="53C9AD61" w:rsidR="00F665E7" w:rsidRPr="005C169C" w:rsidRDefault="00F665E7" w:rsidP="00F665E7">
      <w:pPr>
        <w:ind w:left="426"/>
        <w:jc w:val="both"/>
        <w:rPr>
          <w:rFonts w:ascii="Arial" w:hAnsi="Arial" w:cs="Arial"/>
          <w:i/>
          <w:iCs/>
          <w:sz w:val="24"/>
          <w:szCs w:val="24"/>
        </w:rPr>
      </w:pPr>
      <w:r w:rsidRPr="005C169C">
        <w:rPr>
          <w:rFonts w:ascii="Arial" w:hAnsi="Arial" w:cs="Arial"/>
          <w:i/>
          <w:iCs/>
          <w:sz w:val="24"/>
          <w:szCs w:val="24"/>
        </w:rPr>
        <w:t>(…)</w:t>
      </w:r>
    </w:p>
    <w:p w14:paraId="7B0D3D93" w14:textId="46001A5A" w:rsidR="00F665E7" w:rsidRPr="005C169C" w:rsidRDefault="00F665E7" w:rsidP="00F665E7">
      <w:pPr>
        <w:ind w:left="426"/>
        <w:jc w:val="both"/>
        <w:rPr>
          <w:rFonts w:ascii="Arial" w:hAnsi="Arial" w:cs="Arial"/>
          <w:i/>
          <w:iCs/>
          <w:sz w:val="24"/>
          <w:szCs w:val="24"/>
        </w:rPr>
      </w:pPr>
    </w:p>
    <w:p w14:paraId="54219FF3" w14:textId="77777777" w:rsidR="00F665E7" w:rsidRPr="005C169C" w:rsidRDefault="00F665E7" w:rsidP="00F665E7">
      <w:pPr>
        <w:ind w:left="426"/>
        <w:jc w:val="both"/>
        <w:rPr>
          <w:rFonts w:ascii="Arial" w:hAnsi="Arial" w:cs="Arial"/>
          <w:i/>
          <w:iCs/>
          <w:sz w:val="22"/>
          <w:szCs w:val="22"/>
        </w:rPr>
      </w:pPr>
      <w:r w:rsidRPr="005C169C">
        <w:rPr>
          <w:rFonts w:ascii="Arial" w:hAnsi="Arial" w:cs="Arial"/>
          <w:b/>
          <w:bCs/>
          <w:i/>
          <w:iCs/>
          <w:sz w:val="22"/>
          <w:szCs w:val="22"/>
        </w:rPr>
        <w:t>Artículo 79.</w:t>
      </w:r>
      <w:r w:rsidRPr="005C169C">
        <w:rPr>
          <w:rFonts w:ascii="Arial" w:hAnsi="Arial" w:cs="Arial"/>
          <w:i/>
          <w:iCs/>
          <w:sz w:val="22"/>
          <w:szCs w:val="22"/>
        </w:rPr>
        <w:t xml:space="preserve"> El contrato, contendrá, en lo aplicable, lo siguiente: </w:t>
      </w:r>
    </w:p>
    <w:p w14:paraId="4D989E6A" w14:textId="77777777" w:rsidR="00F665E7" w:rsidRPr="005C169C" w:rsidRDefault="00F665E7" w:rsidP="00F665E7">
      <w:pPr>
        <w:ind w:left="426"/>
        <w:jc w:val="both"/>
        <w:rPr>
          <w:rFonts w:ascii="Arial" w:hAnsi="Arial" w:cs="Arial"/>
          <w:i/>
          <w:iCs/>
          <w:sz w:val="22"/>
          <w:szCs w:val="22"/>
        </w:rPr>
      </w:pPr>
    </w:p>
    <w:p w14:paraId="1CC6AE39" w14:textId="0D169395" w:rsidR="00F665E7" w:rsidRPr="005C169C" w:rsidRDefault="00F665E7" w:rsidP="00F665E7">
      <w:pPr>
        <w:pStyle w:val="Prrafodelista"/>
        <w:numPr>
          <w:ilvl w:val="0"/>
          <w:numId w:val="2"/>
        </w:numPr>
        <w:jc w:val="both"/>
        <w:rPr>
          <w:rFonts w:ascii="Arial" w:hAnsi="Arial" w:cs="Arial"/>
          <w:i/>
          <w:iCs/>
        </w:rPr>
      </w:pPr>
      <w:r w:rsidRPr="005C169C">
        <w:rPr>
          <w:rFonts w:ascii="Arial" w:hAnsi="Arial" w:cs="Arial"/>
          <w:i/>
          <w:iCs/>
        </w:rPr>
        <w:lastRenderedPageBreak/>
        <w:t xml:space="preserve">El nombre, denominación o razón social del ente público convocante y del área requirente. De igual forma deberán señalarse los datos del servidor público que fungirá como administrador del contrato. </w:t>
      </w:r>
    </w:p>
    <w:p w14:paraId="3B69C659" w14:textId="77777777" w:rsidR="00F665E7" w:rsidRPr="005C169C" w:rsidRDefault="00F665E7" w:rsidP="00F665E7">
      <w:pPr>
        <w:pStyle w:val="Prrafodelista"/>
        <w:numPr>
          <w:ilvl w:val="0"/>
          <w:numId w:val="2"/>
        </w:numPr>
        <w:jc w:val="both"/>
        <w:rPr>
          <w:rFonts w:ascii="Arial" w:hAnsi="Arial" w:cs="Arial"/>
          <w:i/>
          <w:iCs/>
        </w:rPr>
      </w:pPr>
      <w:r w:rsidRPr="005C169C">
        <w:rPr>
          <w:rFonts w:ascii="Arial" w:hAnsi="Arial" w:cs="Arial"/>
          <w:i/>
          <w:iCs/>
        </w:rPr>
        <w:t xml:space="preserve">La indicación del procedimiento conforme al cual se llevó a cabo la adjudicación del contrato. </w:t>
      </w:r>
    </w:p>
    <w:p w14:paraId="263A943B" w14:textId="77777777" w:rsidR="00F665E7" w:rsidRPr="005C169C" w:rsidRDefault="00F665E7" w:rsidP="00F665E7">
      <w:pPr>
        <w:pStyle w:val="Prrafodelista"/>
        <w:numPr>
          <w:ilvl w:val="0"/>
          <w:numId w:val="2"/>
        </w:numPr>
        <w:jc w:val="both"/>
        <w:rPr>
          <w:rFonts w:ascii="Arial" w:hAnsi="Arial" w:cs="Arial"/>
          <w:i/>
          <w:iCs/>
        </w:rPr>
      </w:pPr>
      <w:r w:rsidRPr="005C169C">
        <w:rPr>
          <w:rFonts w:ascii="Arial" w:hAnsi="Arial" w:cs="Arial"/>
          <w:i/>
          <w:iCs/>
        </w:rPr>
        <w:t xml:space="preserve">Manifestación bajo protesta decir verdad de contar con el documento que acredita la suficiencia presupuestal en el expediente de contratación respectivo, debiendo señalar la partida genérica que será afectada con motivo de la contratación. </w:t>
      </w:r>
    </w:p>
    <w:p w14:paraId="0CFFC28B" w14:textId="30554F96" w:rsidR="00F665E7" w:rsidRPr="005C169C" w:rsidRDefault="00F665E7" w:rsidP="00F665E7">
      <w:pPr>
        <w:pStyle w:val="Prrafodelista"/>
        <w:numPr>
          <w:ilvl w:val="0"/>
          <w:numId w:val="2"/>
        </w:numPr>
        <w:jc w:val="both"/>
        <w:rPr>
          <w:rFonts w:ascii="Arial" w:hAnsi="Arial" w:cs="Arial"/>
          <w:i/>
          <w:iCs/>
        </w:rPr>
      </w:pPr>
      <w:r w:rsidRPr="005C169C">
        <w:rPr>
          <w:rFonts w:ascii="Arial" w:hAnsi="Arial" w:cs="Arial"/>
          <w:i/>
          <w:iCs/>
        </w:rPr>
        <w:t>Acreditación de la existencia y personalidad de la o el licitante adjudicado.</w:t>
      </w:r>
    </w:p>
    <w:p w14:paraId="42BFB19D" w14:textId="77777777" w:rsidR="00F665E7" w:rsidRPr="005C169C" w:rsidRDefault="00F665E7" w:rsidP="00F665E7">
      <w:pPr>
        <w:pStyle w:val="Prrafodelista"/>
        <w:numPr>
          <w:ilvl w:val="0"/>
          <w:numId w:val="2"/>
        </w:numPr>
        <w:jc w:val="both"/>
        <w:rPr>
          <w:rFonts w:ascii="Arial" w:hAnsi="Arial" w:cs="Arial"/>
          <w:i/>
          <w:iCs/>
        </w:rPr>
      </w:pPr>
      <w:r w:rsidRPr="005C169C">
        <w:rPr>
          <w:rFonts w:ascii="Arial" w:hAnsi="Arial" w:cs="Arial"/>
          <w:i/>
          <w:iCs/>
        </w:rPr>
        <w:t xml:space="preserve">La descripción pormenorizada de los bienes, arrendamientos o servicios objeto del contrato adjudicado a cada una de las personas licitantes en el procedimiento, conforme a su propuesta. </w:t>
      </w:r>
    </w:p>
    <w:p w14:paraId="6FE2982A" w14:textId="77777777" w:rsidR="00F665E7" w:rsidRPr="005C169C" w:rsidRDefault="00F665E7" w:rsidP="00F665E7">
      <w:pPr>
        <w:pStyle w:val="Prrafodelista"/>
        <w:numPr>
          <w:ilvl w:val="0"/>
          <w:numId w:val="2"/>
        </w:numPr>
        <w:jc w:val="both"/>
        <w:rPr>
          <w:rFonts w:ascii="Arial" w:hAnsi="Arial" w:cs="Arial"/>
          <w:i/>
          <w:iCs/>
        </w:rPr>
      </w:pPr>
      <w:r w:rsidRPr="005C169C">
        <w:rPr>
          <w:rFonts w:ascii="Arial" w:hAnsi="Arial" w:cs="Arial"/>
          <w:i/>
          <w:iCs/>
        </w:rPr>
        <w:t xml:space="preserve">El precio unitario y el importe total a pagar por los bienes, arrendamientos o servicios, o bien, la forma en que se determinará el importe total. </w:t>
      </w:r>
    </w:p>
    <w:p w14:paraId="60372D74" w14:textId="77777777" w:rsidR="00F665E7" w:rsidRPr="005C169C" w:rsidRDefault="00F665E7" w:rsidP="00F665E7">
      <w:pPr>
        <w:pStyle w:val="Prrafodelista"/>
        <w:numPr>
          <w:ilvl w:val="0"/>
          <w:numId w:val="2"/>
        </w:numPr>
        <w:jc w:val="both"/>
        <w:rPr>
          <w:rFonts w:ascii="Arial" w:hAnsi="Arial" w:cs="Arial"/>
          <w:i/>
          <w:iCs/>
        </w:rPr>
      </w:pPr>
      <w:r w:rsidRPr="005C169C">
        <w:rPr>
          <w:rFonts w:ascii="Arial" w:hAnsi="Arial" w:cs="Arial"/>
          <w:i/>
          <w:iCs/>
        </w:rPr>
        <w:t xml:space="preserve">Precisión de si el precio es fijo o sujeto a ajustes y, en este último caso, la fórmula o condición en que se hará y calculará el ajuste, determinando expresamente el o los indicadores o medios oficiales que se utilizarán en dicha fórmula. </w:t>
      </w:r>
    </w:p>
    <w:p w14:paraId="75E9D73C" w14:textId="77777777" w:rsidR="00F665E7" w:rsidRPr="005C169C" w:rsidRDefault="00F665E7" w:rsidP="00F665E7">
      <w:pPr>
        <w:pStyle w:val="Prrafodelista"/>
        <w:numPr>
          <w:ilvl w:val="0"/>
          <w:numId w:val="2"/>
        </w:numPr>
        <w:jc w:val="both"/>
        <w:rPr>
          <w:rFonts w:ascii="Arial" w:hAnsi="Arial" w:cs="Arial"/>
          <w:i/>
          <w:iCs/>
        </w:rPr>
      </w:pPr>
      <w:r w:rsidRPr="005C169C">
        <w:rPr>
          <w:rFonts w:ascii="Arial" w:hAnsi="Arial" w:cs="Arial"/>
          <w:i/>
          <w:iCs/>
        </w:rPr>
        <w:t xml:space="preserve">En el caso de arrendamiento, la indicación de si este es con o sin opción a compra. </w:t>
      </w:r>
    </w:p>
    <w:p w14:paraId="3B01F190" w14:textId="77777777" w:rsidR="00F665E7" w:rsidRPr="005C169C" w:rsidRDefault="00F665E7" w:rsidP="00F665E7">
      <w:pPr>
        <w:pStyle w:val="Prrafodelista"/>
        <w:numPr>
          <w:ilvl w:val="0"/>
          <w:numId w:val="2"/>
        </w:numPr>
        <w:jc w:val="both"/>
        <w:rPr>
          <w:rFonts w:ascii="Arial" w:hAnsi="Arial" w:cs="Arial"/>
          <w:i/>
          <w:iCs/>
        </w:rPr>
      </w:pPr>
      <w:r w:rsidRPr="005C169C">
        <w:rPr>
          <w:rFonts w:ascii="Arial" w:hAnsi="Arial" w:cs="Arial"/>
          <w:i/>
          <w:iCs/>
        </w:rPr>
        <w:t xml:space="preserve">Los porcentajes o montos de los anticipos que, en su caso, se otorgarían, los cuales no podrán exceder del cincuenta por ciento del monto total del contrato. </w:t>
      </w:r>
    </w:p>
    <w:p w14:paraId="28AB3EA5" w14:textId="74C60C5B" w:rsidR="00260184" w:rsidRPr="005C169C" w:rsidRDefault="00F665E7" w:rsidP="00C35528">
      <w:pPr>
        <w:pStyle w:val="Prrafodelista"/>
        <w:numPr>
          <w:ilvl w:val="0"/>
          <w:numId w:val="2"/>
        </w:numPr>
        <w:jc w:val="both"/>
        <w:rPr>
          <w:rFonts w:ascii="Arial" w:hAnsi="Arial" w:cs="Arial"/>
          <w:i/>
          <w:iCs/>
        </w:rPr>
      </w:pPr>
      <w:r w:rsidRPr="005C169C">
        <w:rPr>
          <w:rFonts w:ascii="Arial" w:hAnsi="Arial" w:cs="Arial"/>
          <w:i/>
          <w:iCs/>
        </w:rPr>
        <w:t xml:space="preserve">Porcentaje, número y fechas o plazo de las exhibiciones y amortización de los anticipos que se otorguen. </w:t>
      </w:r>
    </w:p>
    <w:p w14:paraId="6CD4E290" w14:textId="77777777" w:rsidR="00F665E7" w:rsidRPr="005C169C" w:rsidRDefault="00F665E7" w:rsidP="00F665E7">
      <w:pPr>
        <w:pStyle w:val="Prrafodelista"/>
        <w:ind w:left="1146"/>
        <w:jc w:val="both"/>
        <w:rPr>
          <w:rFonts w:ascii="Arial" w:hAnsi="Arial" w:cs="Arial"/>
          <w:i/>
          <w:iCs/>
        </w:rPr>
      </w:pPr>
    </w:p>
    <w:p w14:paraId="5DD6D657" w14:textId="2844EDAA" w:rsidR="00F665E7" w:rsidRPr="005C169C" w:rsidRDefault="00F665E7" w:rsidP="00F665E7">
      <w:pPr>
        <w:pStyle w:val="Prrafodelista"/>
        <w:ind w:left="1146"/>
        <w:jc w:val="both"/>
        <w:rPr>
          <w:rFonts w:ascii="Arial" w:hAnsi="Arial" w:cs="Arial"/>
          <w:i/>
          <w:iCs/>
        </w:rPr>
      </w:pPr>
      <w:r w:rsidRPr="005C169C">
        <w:rPr>
          <w:rFonts w:ascii="Arial" w:hAnsi="Arial" w:cs="Arial"/>
          <w:i/>
          <w:iCs/>
        </w:rPr>
        <w:t>(…)</w:t>
      </w:r>
    </w:p>
    <w:p w14:paraId="3495EA19" w14:textId="2A2037DF" w:rsidR="00260184" w:rsidRPr="00260184" w:rsidRDefault="00F665E7" w:rsidP="00260184">
      <w:pPr>
        <w:jc w:val="both"/>
        <w:rPr>
          <w:rFonts w:ascii="Arial" w:hAnsi="Arial" w:cs="Arial"/>
          <w:b/>
          <w:bCs/>
          <w:sz w:val="32"/>
          <w:szCs w:val="32"/>
        </w:rPr>
      </w:pPr>
      <w:r>
        <w:rPr>
          <w:rFonts w:ascii="Arial" w:hAnsi="Arial" w:cs="Arial"/>
          <w:sz w:val="22"/>
          <w:szCs w:val="22"/>
        </w:rPr>
        <w:t xml:space="preserve">Por último, es interés de esta bancada </w:t>
      </w:r>
      <w:r w:rsidR="00260184" w:rsidRPr="00260184">
        <w:rPr>
          <w:rFonts w:ascii="Arial" w:hAnsi="Arial" w:cs="Arial"/>
          <w:sz w:val="22"/>
          <w:szCs w:val="22"/>
        </w:rPr>
        <w:t>como confirmar que no se encuentre en uno de los supuestos de impedimento consagrados por el artículo 86 de la misma ley.</w:t>
      </w:r>
    </w:p>
    <w:p w14:paraId="3EC7C480" w14:textId="77777777" w:rsidR="005D4622" w:rsidRPr="00CB59E1" w:rsidRDefault="005D4622" w:rsidP="005D4622">
      <w:pPr>
        <w:jc w:val="both"/>
        <w:rPr>
          <w:rFonts w:ascii="Arial" w:hAnsi="Arial" w:cs="Arial"/>
          <w:bCs/>
          <w:sz w:val="22"/>
          <w:szCs w:val="22"/>
        </w:rPr>
      </w:pPr>
    </w:p>
    <w:p w14:paraId="4B00BEC3" w14:textId="7B8C8661" w:rsidR="00A70002" w:rsidRPr="00CB59E1" w:rsidRDefault="00A70002" w:rsidP="00EA78DB">
      <w:pPr>
        <w:jc w:val="both"/>
        <w:rPr>
          <w:rFonts w:ascii="Arial" w:hAnsi="Arial" w:cs="Arial"/>
          <w:bCs/>
          <w:sz w:val="22"/>
          <w:szCs w:val="22"/>
        </w:rPr>
      </w:pPr>
      <w:r w:rsidRPr="00CB59E1">
        <w:rPr>
          <w:rFonts w:ascii="Arial" w:hAnsi="Arial" w:cs="Arial"/>
          <w:bCs/>
          <w:sz w:val="22"/>
          <w:szCs w:val="22"/>
        </w:rPr>
        <w:t xml:space="preserve">Es por </w:t>
      </w:r>
      <w:r w:rsidR="00F665E7">
        <w:rPr>
          <w:rFonts w:ascii="Arial" w:hAnsi="Arial" w:cs="Arial"/>
          <w:bCs/>
          <w:sz w:val="22"/>
          <w:szCs w:val="22"/>
        </w:rPr>
        <w:t>esto</w:t>
      </w:r>
      <w:r w:rsidRPr="00CB59E1">
        <w:rPr>
          <w:rFonts w:ascii="Arial" w:hAnsi="Arial" w:cs="Arial"/>
          <w:bCs/>
          <w:sz w:val="22"/>
          <w:szCs w:val="22"/>
        </w:rPr>
        <w:t xml:space="preserve"> que el Grupo Parlamentario de Morena en el H. Congreso del Estado de Chihuahua, solicita respetuosamente a la </w:t>
      </w:r>
      <w:r w:rsidR="00F665E7">
        <w:rPr>
          <w:rFonts w:ascii="Arial" w:hAnsi="Arial" w:cs="Arial"/>
          <w:bCs/>
          <w:sz w:val="22"/>
          <w:szCs w:val="22"/>
        </w:rPr>
        <w:t>Gobernadora María Eugenia Campos Galván</w:t>
      </w:r>
      <w:r w:rsidRPr="00CB59E1">
        <w:rPr>
          <w:rFonts w:ascii="Arial" w:hAnsi="Arial" w:cs="Arial"/>
          <w:bCs/>
          <w:sz w:val="22"/>
          <w:szCs w:val="22"/>
        </w:rPr>
        <w:t xml:space="preserve">, </w:t>
      </w:r>
      <w:r w:rsidR="00F665E7">
        <w:rPr>
          <w:rFonts w:ascii="Arial" w:hAnsi="Arial" w:cs="Arial"/>
          <w:bCs/>
          <w:sz w:val="22"/>
          <w:szCs w:val="22"/>
        </w:rPr>
        <w:t xml:space="preserve">transparente las condiciones en que fue contratado el servicio de consulta por parte de José Antonio </w:t>
      </w:r>
      <w:r w:rsidR="009D692D">
        <w:rPr>
          <w:rFonts w:ascii="Arial" w:hAnsi="Arial" w:cs="Arial"/>
          <w:bCs/>
          <w:sz w:val="22"/>
          <w:szCs w:val="22"/>
        </w:rPr>
        <w:t>Meade</w:t>
      </w:r>
      <w:r w:rsidR="00F665E7">
        <w:rPr>
          <w:rFonts w:ascii="Arial" w:hAnsi="Arial" w:cs="Arial"/>
          <w:bCs/>
          <w:sz w:val="22"/>
          <w:szCs w:val="22"/>
        </w:rPr>
        <w:t xml:space="preserve"> </w:t>
      </w:r>
      <w:r w:rsidR="00F665E7" w:rsidRPr="005D4622">
        <w:rPr>
          <w:rFonts w:ascii="Arial" w:hAnsi="Arial" w:cs="Arial"/>
          <w:sz w:val="22"/>
          <w:szCs w:val="22"/>
        </w:rPr>
        <w:t>Kuribreña</w:t>
      </w:r>
      <w:r w:rsidRPr="00CB59E1">
        <w:rPr>
          <w:rFonts w:ascii="Arial" w:hAnsi="Arial" w:cs="Arial"/>
          <w:bCs/>
          <w:sz w:val="22"/>
          <w:szCs w:val="22"/>
        </w:rPr>
        <w:t xml:space="preserve">, ya que </w:t>
      </w:r>
      <w:r w:rsidR="00F665E7">
        <w:rPr>
          <w:rFonts w:ascii="Arial" w:hAnsi="Arial" w:cs="Arial"/>
          <w:bCs/>
          <w:sz w:val="22"/>
          <w:szCs w:val="22"/>
        </w:rPr>
        <w:t xml:space="preserve">esta persona </w:t>
      </w:r>
      <w:r w:rsidRPr="00CB59E1">
        <w:rPr>
          <w:rFonts w:ascii="Arial" w:hAnsi="Arial" w:cs="Arial"/>
          <w:bCs/>
          <w:sz w:val="22"/>
          <w:szCs w:val="22"/>
        </w:rPr>
        <w:t xml:space="preserve">tiene indicios de </w:t>
      </w:r>
      <w:r w:rsidR="00F665E7">
        <w:rPr>
          <w:rFonts w:ascii="Arial" w:hAnsi="Arial" w:cs="Arial"/>
          <w:bCs/>
          <w:sz w:val="22"/>
          <w:szCs w:val="22"/>
        </w:rPr>
        <w:t xml:space="preserve">corrupción, </w:t>
      </w:r>
      <w:r w:rsidR="00CF38A7">
        <w:rPr>
          <w:rFonts w:ascii="Arial" w:hAnsi="Arial" w:cs="Arial"/>
          <w:bCs/>
          <w:sz w:val="22"/>
          <w:szCs w:val="22"/>
        </w:rPr>
        <w:t>pudiendo</w:t>
      </w:r>
      <w:r w:rsidRPr="00CB59E1">
        <w:rPr>
          <w:rFonts w:ascii="Arial" w:hAnsi="Arial" w:cs="Arial"/>
          <w:bCs/>
          <w:sz w:val="22"/>
          <w:szCs w:val="22"/>
        </w:rPr>
        <w:t xml:space="preserve"> generar </w:t>
      </w:r>
      <w:r w:rsidR="00F665E7">
        <w:rPr>
          <w:rFonts w:ascii="Arial" w:hAnsi="Arial" w:cs="Arial"/>
          <w:bCs/>
          <w:sz w:val="22"/>
          <w:szCs w:val="22"/>
        </w:rPr>
        <w:t>daño al erario público y, en consecuencia, al desarrollo social</w:t>
      </w:r>
      <w:r w:rsidRPr="00CB59E1">
        <w:rPr>
          <w:rFonts w:ascii="Arial" w:hAnsi="Arial" w:cs="Arial"/>
          <w:bCs/>
          <w:sz w:val="22"/>
          <w:szCs w:val="22"/>
        </w:rPr>
        <w:t>.</w:t>
      </w:r>
    </w:p>
    <w:p w14:paraId="3D886E68" w14:textId="36006A0B" w:rsidR="00A70002" w:rsidRPr="00CB59E1" w:rsidRDefault="00A70002" w:rsidP="00EA78DB">
      <w:pPr>
        <w:jc w:val="both"/>
        <w:rPr>
          <w:rFonts w:ascii="Arial" w:hAnsi="Arial" w:cs="Arial"/>
          <w:bCs/>
          <w:sz w:val="22"/>
          <w:szCs w:val="22"/>
        </w:rPr>
      </w:pPr>
    </w:p>
    <w:p w14:paraId="40199529" w14:textId="77777777" w:rsidR="00B20897" w:rsidRDefault="00B20897" w:rsidP="00124C58">
      <w:pPr>
        <w:pStyle w:val="NormalWeb"/>
        <w:shd w:val="clear" w:color="auto" w:fill="FDFDFD"/>
        <w:spacing w:before="0" w:beforeAutospacing="0" w:after="0" w:afterAutospacing="0"/>
        <w:jc w:val="center"/>
        <w:rPr>
          <w:rFonts w:ascii="Arial" w:hAnsi="Arial" w:cs="Arial"/>
          <w:b/>
          <w:sz w:val="22"/>
          <w:szCs w:val="22"/>
        </w:rPr>
      </w:pPr>
    </w:p>
    <w:p w14:paraId="249B03D1" w14:textId="77777777" w:rsidR="00B20897" w:rsidRDefault="00B20897" w:rsidP="00124C58">
      <w:pPr>
        <w:pStyle w:val="NormalWeb"/>
        <w:shd w:val="clear" w:color="auto" w:fill="FDFDFD"/>
        <w:spacing w:before="0" w:beforeAutospacing="0" w:after="0" w:afterAutospacing="0"/>
        <w:jc w:val="center"/>
        <w:rPr>
          <w:rFonts w:ascii="Arial" w:hAnsi="Arial" w:cs="Arial"/>
          <w:b/>
          <w:sz w:val="22"/>
          <w:szCs w:val="22"/>
        </w:rPr>
      </w:pPr>
    </w:p>
    <w:p w14:paraId="70C9D5CF" w14:textId="77777777" w:rsidR="00B20897" w:rsidRDefault="00B20897" w:rsidP="00124C58">
      <w:pPr>
        <w:pStyle w:val="NormalWeb"/>
        <w:shd w:val="clear" w:color="auto" w:fill="FDFDFD"/>
        <w:spacing w:before="0" w:beforeAutospacing="0" w:after="0" w:afterAutospacing="0"/>
        <w:jc w:val="center"/>
        <w:rPr>
          <w:rFonts w:ascii="Arial" w:hAnsi="Arial" w:cs="Arial"/>
          <w:b/>
          <w:sz w:val="22"/>
          <w:szCs w:val="22"/>
        </w:rPr>
      </w:pPr>
    </w:p>
    <w:p w14:paraId="3A6295B2" w14:textId="69EE29E3" w:rsidR="00124C58" w:rsidRPr="00CB59E1" w:rsidRDefault="00124C58" w:rsidP="00124C58">
      <w:pPr>
        <w:pStyle w:val="NormalWeb"/>
        <w:shd w:val="clear" w:color="auto" w:fill="FDFDFD"/>
        <w:spacing w:before="0" w:beforeAutospacing="0" w:after="0" w:afterAutospacing="0"/>
        <w:jc w:val="center"/>
        <w:rPr>
          <w:rFonts w:ascii="Arial" w:hAnsi="Arial" w:cs="Arial"/>
          <w:b/>
          <w:sz w:val="22"/>
          <w:szCs w:val="22"/>
        </w:rPr>
      </w:pPr>
      <w:r w:rsidRPr="00CB59E1">
        <w:rPr>
          <w:rFonts w:ascii="Arial" w:hAnsi="Arial" w:cs="Arial"/>
          <w:b/>
          <w:sz w:val="22"/>
          <w:szCs w:val="22"/>
        </w:rPr>
        <w:lastRenderedPageBreak/>
        <w:t>ACUERDO</w:t>
      </w:r>
    </w:p>
    <w:p w14:paraId="7315A122" w14:textId="77777777" w:rsidR="00124C58" w:rsidRPr="00CB59E1" w:rsidRDefault="00124C58" w:rsidP="00124C58">
      <w:pPr>
        <w:pStyle w:val="NormalWeb"/>
        <w:shd w:val="clear" w:color="auto" w:fill="FDFDFD"/>
        <w:spacing w:before="0" w:beforeAutospacing="0" w:after="0" w:afterAutospacing="0"/>
        <w:rPr>
          <w:rFonts w:ascii="Arial" w:hAnsi="Arial" w:cs="Arial"/>
          <w:sz w:val="22"/>
          <w:szCs w:val="22"/>
        </w:rPr>
      </w:pPr>
    </w:p>
    <w:p w14:paraId="46DB2E72" w14:textId="7C22C2AC" w:rsidR="009D692D" w:rsidRDefault="009D692D" w:rsidP="006676C3">
      <w:pPr>
        <w:jc w:val="both"/>
        <w:rPr>
          <w:rFonts w:ascii="Arial" w:hAnsi="Arial" w:cs="Arial"/>
          <w:bCs/>
          <w:sz w:val="22"/>
          <w:szCs w:val="22"/>
        </w:rPr>
      </w:pPr>
      <w:r>
        <w:rPr>
          <w:rFonts w:ascii="Arial" w:eastAsia="Times New Roman" w:hAnsi="Arial" w:cs="Arial"/>
          <w:b/>
          <w:sz w:val="22"/>
          <w:szCs w:val="22"/>
        </w:rPr>
        <w:t>ÚNICO</w:t>
      </w:r>
      <w:r w:rsidR="006676C3" w:rsidRPr="00CB59E1">
        <w:rPr>
          <w:rFonts w:ascii="Arial" w:eastAsia="Times New Roman" w:hAnsi="Arial" w:cs="Arial"/>
          <w:b/>
          <w:sz w:val="22"/>
          <w:szCs w:val="22"/>
        </w:rPr>
        <w:t xml:space="preserve">. </w:t>
      </w:r>
      <w:r w:rsidR="00124C58" w:rsidRPr="00CB59E1">
        <w:rPr>
          <w:rFonts w:ascii="Arial" w:eastAsia="Times New Roman" w:hAnsi="Arial" w:cs="Arial"/>
          <w:bCs/>
          <w:sz w:val="22"/>
          <w:szCs w:val="22"/>
        </w:rPr>
        <w:t xml:space="preserve"> </w:t>
      </w:r>
      <w:r w:rsidR="004B5300" w:rsidRPr="00CB59E1">
        <w:rPr>
          <w:rFonts w:ascii="Arial" w:eastAsia="Times New Roman" w:hAnsi="Arial" w:cs="Arial"/>
          <w:bCs/>
          <w:sz w:val="22"/>
          <w:szCs w:val="22"/>
        </w:rPr>
        <w:t xml:space="preserve">La Sexagésima Séptima Legislatura exhorta atenta y respetuosamente a la </w:t>
      </w:r>
      <w:r w:rsidR="00F665E7">
        <w:rPr>
          <w:rFonts w:ascii="Arial" w:hAnsi="Arial" w:cs="Arial"/>
          <w:bCs/>
          <w:sz w:val="22"/>
          <w:szCs w:val="22"/>
        </w:rPr>
        <w:t>Gobernadora María Eugenia Campos Galván</w:t>
      </w:r>
      <w:r w:rsidR="00F665E7" w:rsidRPr="00CB59E1">
        <w:rPr>
          <w:rFonts w:ascii="Arial" w:eastAsia="Times New Roman" w:hAnsi="Arial" w:cs="Arial"/>
          <w:bCs/>
          <w:sz w:val="22"/>
          <w:szCs w:val="22"/>
        </w:rPr>
        <w:t xml:space="preserve"> </w:t>
      </w:r>
      <w:r w:rsidR="004B5300" w:rsidRPr="00CB59E1">
        <w:rPr>
          <w:rFonts w:ascii="Arial" w:eastAsia="Times New Roman" w:hAnsi="Arial" w:cs="Arial"/>
          <w:bCs/>
          <w:sz w:val="22"/>
          <w:szCs w:val="22"/>
        </w:rPr>
        <w:t>para que</w:t>
      </w:r>
      <w:r w:rsidR="00F665E7">
        <w:rPr>
          <w:rFonts w:ascii="Arial" w:eastAsia="Times New Roman" w:hAnsi="Arial" w:cs="Arial"/>
          <w:bCs/>
          <w:sz w:val="22"/>
          <w:szCs w:val="22"/>
        </w:rPr>
        <w:t xml:space="preserve"> informe</w:t>
      </w:r>
      <w:r w:rsidR="004B5300" w:rsidRPr="00CB59E1">
        <w:rPr>
          <w:rFonts w:ascii="Arial" w:eastAsia="Times New Roman" w:hAnsi="Arial" w:cs="Arial"/>
          <w:bCs/>
          <w:sz w:val="22"/>
          <w:szCs w:val="22"/>
        </w:rPr>
        <w:t xml:space="preserve"> </w:t>
      </w:r>
      <w:r w:rsidR="00F665E7">
        <w:rPr>
          <w:rFonts w:ascii="Arial" w:eastAsia="Times New Roman" w:hAnsi="Arial" w:cs="Arial"/>
          <w:bCs/>
          <w:sz w:val="22"/>
          <w:szCs w:val="22"/>
        </w:rPr>
        <w:t xml:space="preserve">sobre el servicio de consulta que brindó </w:t>
      </w:r>
      <w:r w:rsidR="00F665E7">
        <w:rPr>
          <w:rFonts w:ascii="Arial" w:hAnsi="Arial" w:cs="Arial"/>
          <w:bCs/>
          <w:sz w:val="22"/>
          <w:szCs w:val="22"/>
        </w:rPr>
        <w:t xml:space="preserve">José Antonio </w:t>
      </w:r>
      <w:r>
        <w:rPr>
          <w:rFonts w:ascii="Arial" w:hAnsi="Arial" w:cs="Arial"/>
          <w:bCs/>
          <w:sz w:val="22"/>
          <w:szCs w:val="22"/>
        </w:rPr>
        <w:t>Meade</w:t>
      </w:r>
      <w:r w:rsidR="00F665E7">
        <w:rPr>
          <w:rFonts w:ascii="Arial" w:hAnsi="Arial" w:cs="Arial"/>
          <w:bCs/>
          <w:sz w:val="22"/>
          <w:szCs w:val="22"/>
        </w:rPr>
        <w:t xml:space="preserve"> </w:t>
      </w:r>
      <w:r w:rsidR="00F665E7" w:rsidRPr="005D4622">
        <w:rPr>
          <w:rFonts w:ascii="Arial" w:hAnsi="Arial" w:cs="Arial"/>
          <w:sz w:val="22"/>
          <w:szCs w:val="22"/>
        </w:rPr>
        <w:t>Kuribreña</w:t>
      </w:r>
      <w:r w:rsidR="00F665E7">
        <w:rPr>
          <w:rFonts w:ascii="Arial" w:hAnsi="Arial" w:cs="Arial"/>
          <w:sz w:val="22"/>
          <w:szCs w:val="22"/>
        </w:rPr>
        <w:t xml:space="preserve">, en específico, si se cumplieron los señalamientos de la Ley </w:t>
      </w:r>
      <w:r w:rsidR="00F665E7">
        <w:rPr>
          <w:rFonts w:ascii="Arial" w:hAnsi="Arial" w:cs="Arial"/>
          <w:bCs/>
          <w:sz w:val="22"/>
          <w:szCs w:val="22"/>
        </w:rPr>
        <w:t>de</w:t>
      </w:r>
      <w:r w:rsidR="00F665E7" w:rsidRPr="00CB59E1">
        <w:rPr>
          <w:rFonts w:ascii="Arial" w:hAnsi="Arial" w:cs="Arial"/>
          <w:bCs/>
          <w:sz w:val="22"/>
          <w:szCs w:val="22"/>
        </w:rPr>
        <w:t xml:space="preserve"> </w:t>
      </w:r>
      <w:r w:rsidR="00F665E7">
        <w:rPr>
          <w:rFonts w:ascii="Arial" w:hAnsi="Arial" w:cs="Arial"/>
          <w:bCs/>
          <w:sz w:val="22"/>
          <w:szCs w:val="22"/>
        </w:rPr>
        <w:t>Adquisiciones</w:t>
      </w:r>
      <w:r w:rsidR="00F665E7" w:rsidRPr="00CB59E1">
        <w:rPr>
          <w:rFonts w:ascii="Arial" w:hAnsi="Arial" w:cs="Arial"/>
          <w:bCs/>
          <w:sz w:val="22"/>
          <w:szCs w:val="22"/>
        </w:rPr>
        <w:t>,</w:t>
      </w:r>
      <w:r w:rsidR="00F665E7">
        <w:rPr>
          <w:rFonts w:ascii="Arial" w:hAnsi="Arial" w:cs="Arial"/>
          <w:bCs/>
          <w:sz w:val="22"/>
          <w:szCs w:val="22"/>
        </w:rPr>
        <w:t xml:space="preserve"> Arrendamientos y Contratación de Servicios del Estado de Chihuahua para lo cual deberá informar: </w:t>
      </w:r>
    </w:p>
    <w:p w14:paraId="2A7ACBED" w14:textId="77777777" w:rsidR="009D692D" w:rsidRDefault="009D692D" w:rsidP="006676C3">
      <w:pPr>
        <w:jc w:val="both"/>
        <w:rPr>
          <w:rFonts w:ascii="Arial" w:hAnsi="Arial" w:cs="Arial"/>
          <w:bCs/>
          <w:sz w:val="22"/>
          <w:szCs w:val="22"/>
        </w:rPr>
      </w:pPr>
    </w:p>
    <w:p w14:paraId="19CE4A8C" w14:textId="05F0DFB6" w:rsidR="004B5300" w:rsidRPr="00B20897" w:rsidRDefault="00F665E7" w:rsidP="00B20897">
      <w:pPr>
        <w:pStyle w:val="Prrafodelista"/>
        <w:numPr>
          <w:ilvl w:val="0"/>
          <w:numId w:val="4"/>
        </w:numPr>
        <w:jc w:val="both"/>
        <w:rPr>
          <w:rFonts w:ascii="Arial" w:eastAsia="Times New Roman" w:hAnsi="Arial" w:cs="Arial"/>
          <w:bCs/>
        </w:rPr>
      </w:pPr>
      <w:r w:rsidRPr="009D692D">
        <w:rPr>
          <w:rFonts w:ascii="Arial" w:hAnsi="Arial" w:cs="Arial"/>
          <w:bCs/>
        </w:rPr>
        <w:t>¿Cuál fue la cantidad que</w:t>
      </w:r>
      <w:r w:rsidR="009D692D" w:rsidRPr="009D692D">
        <w:rPr>
          <w:rFonts w:ascii="Arial" w:hAnsi="Arial" w:cs="Arial"/>
          <w:bCs/>
        </w:rPr>
        <w:t xml:space="preserve"> se le pagó</w:t>
      </w:r>
      <w:r w:rsidRPr="009D692D">
        <w:rPr>
          <w:rFonts w:ascii="Arial" w:hAnsi="Arial" w:cs="Arial"/>
          <w:bCs/>
        </w:rPr>
        <w:t>?</w:t>
      </w:r>
    </w:p>
    <w:p w14:paraId="5534A005" w14:textId="77777777" w:rsidR="00793AA8" w:rsidRDefault="00793AA8" w:rsidP="00793AA8">
      <w:pPr>
        <w:pStyle w:val="Prrafodelista"/>
        <w:jc w:val="both"/>
        <w:rPr>
          <w:rFonts w:ascii="Arial" w:eastAsia="Times New Roman" w:hAnsi="Arial" w:cs="Arial"/>
          <w:bCs/>
        </w:rPr>
      </w:pPr>
    </w:p>
    <w:p w14:paraId="316558D9" w14:textId="5736324D" w:rsidR="009D692D" w:rsidRPr="009D692D" w:rsidRDefault="00B20897" w:rsidP="00B20897">
      <w:pPr>
        <w:pStyle w:val="Prrafodelista"/>
        <w:numPr>
          <w:ilvl w:val="0"/>
          <w:numId w:val="4"/>
        </w:numPr>
        <w:jc w:val="both"/>
        <w:rPr>
          <w:rFonts w:ascii="Arial" w:eastAsia="Times New Roman" w:hAnsi="Arial" w:cs="Arial"/>
          <w:bCs/>
        </w:rPr>
      </w:pPr>
      <w:r>
        <w:rPr>
          <w:rFonts w:ascii="Arial" w:eastAsia="Times New Roman" w:hAnsi="Arial" w:cs="Arial"/>
          <w:bCs/>
        </w:rPr>
        <w:t>Exhiba el contrato</w:t>
      </w:r>
      <w:r w:rsidR="009D692D">
        <w:rPr>
          <w:rFonts w:ascii="Arial" w:eastAsia="Times New Roman" w:hAnsi="Arial" w:cs="Arial"/>
          <w:bCs/>
        </w:rPr>
        <w:t xml:space="preserve"> por medio del cual se </w:t>
      </w:r>
      <w:r w:rsidR="005C169C">
        <w:rPr>
          <w:rFonts w:ascii="Arial" w:eastAsia="Times New Roman" w:hAnsi="Arial" w:cs="Arial"/>
          <w:bCs/>
        </w:rPr>
        <w:t>fundamentó</w:t>
      </w:r>
      <w:r w:rsidR="009D692D">
        <w:rPr>
          <w:rFonts w:ascii="Arial" w:eastAsia="Times New Roman" w:hAnsi="Arial" w:cs="Arial"/>
          <w:bCs/>
        </w:rPr>
        <w:t xml:space="preserve"> la contratación de su servicio</w:t>
      </w:r>
      <w:r>
        <w:rPr>
          <w:rFonts w:ascii="Arial" w:eastAsia="Times New Roman" w:hAnsi="Arial" w:cs="Arial"/>
          <w:bCs/>
        </w:rPr>
        <w:t>.</w:t>
      </w:r>
    </w:p>
    <w:p w14:paraId="13D0F89F" w14:textId="77777777" w:rsidR="00793AA8" w:rsidRDefault="00793AA8" w:rsidP="00793AA8">
      <w:pPr>
        <w:pStyle w:val="Prrafodelista"/>
        <w:jc w:val="both"/>
        <w:rPr>
          <w:rFonts w:ascii="Arial" w:eastAsia="Times New Roman" w:hAnsi="Arial" w:cs="Arial"/>
          <w:bCs/>
        </w:rPr>
      </w:pPr>
    </w:p>
    <w:p w14:paraId="570A0307" w14:textId="5EEBB6CE" w:rsidR="009D692D" w:rsidRDefault="009D692D" w:rsidP="00B20897">
      <w:pPr>
        <w:pStyle w:val="Prrafodelista"/>
        <w:numPr>
          <w:ilvl w:val="0"/>
          <w:numId w:val="4"/>
        </w:numPr>
        <w:jc w:val="both"/>
        <w:rPr>
          <w:rFonts w:ascii="Arial" w:eastAsia="Times New Roman" w:hAnsi="Arial" w:cs="Arial"/>
          <w:bCs/>
        </w:rPr>
      </w:pPr>
      <w:r>
        <w:rPr>
          <w:rFonts w:ascii="Arial" w:eastAsia="Times New Roman" w:hAnsi="Arial" w:cs="Arial"/>
          <w:bCs/>
        </w:rPr>
        <w:t>¿Qué procedimiento se llevó a cabo, previo a su contratación, para justificar su idoneidad para desarrollar la consulta?</w:t>
      </w:r>
    </w:p>
    <w:p w14:paraId="41F7342D" w14:textId="77777777" w:rsidR="00793AA8" w:rsidRDefault="00793AA8" w:rsidP="00793AA8">
      <w:pPr>
        <w:pStyle w:val="Prrafodelista"/>
        <w:jc w:val="both"/>
        <w:rPr>
          <w:rFonts w:ascii="Arial" w:eastAsia="Times New Roman" w:hAnsi="Arial" w:cs="Arial"/>
          <w:bCs/>
        </w:rPr>
      </w:pPr>
    </w:p>
    <w:p w14:paraId="2963C946" w14:textId="52DEA1EF" w:rsidR="00793AA8" w:rsidRPr="00793AA8" w:rsidRDefault="00793AA8" w:rsidP="00793AA8">
      <w:pPr>
        <w:pStyle w:val="Prrafodelista"/>
        <w:numPr>
          <w:ilvl w:val="0"/>
          <w:numId w:val="4"/>
        </w:numPr>
        <w:jc w:val="both"/>
        <w:rPr>
          <w:rFonts w:ascii="Arial" w:eastAsia="Times New Roman" w:hAnsi="Arial" w:cs="Arial"/>
          <w:bCs/>
        </w:rPr>
      </w:pPr>
      <w:r>
        <w:rPr>
          <w:rFonts w:ascii="Arial" w:eastAsia="Times New Roman" w:hAnsi="Arial" w:cs="Arial"/>
          <w:bCs/>
        </w:rPr>
        <w:t xml:space="preserve">Que exhiba la </w:t>
      </w:r>
      <w:r w:rsidRPr="00793AA8">
        <w:rPr>
          <w:rFonts w:ascii="Arial" w:eastAsia="Times New Roman" w:hAnsi="Arial" w:cs="Arial"/>
          <w:bCs/>
        </w:rPr>
        <w:t>autorización de un Comité Especial</w:t>
      </w:r>
      <w:r>
        <w:rPr>
          <w:rFonts w:ascii="Arial" w:eastAsia="Times New Roman" w:hAnsi="Arial" w:cs="Arial"/>
          <w:bCs/>
        </w:rPr>
        <w:t xml:space="preserve">, para la contratación de </w:t>
      </w:r>
      <w:r w:rsidRPr="00793AA8">
        <w:rPr>
          <w:rFonts w:ascii="Arial" w:eastAsia="Times New Roman" w:hAnsi="Arial" w:cs="Arial"/>
          <w:bCs/>
        </w:rPr>
        <w:t>José Antonio Meade Kuribreña</w:t>
      </w:r>
      <w:r>
        <w:rPr>
          <w:rFonts w:ascii="Arial" w:eastAsia="Times New Roman" w:hAnsi="Arial" w:cs="Arial"/>
          <w:bCs/>
        </w:rPr>
        <w:t xml:space="preserve">, de acuerdo con el articulo 25 de la </w:t>
      </w:r>
      <w:r w:rsidRPr="00793AA8">
        <w:rPr>
          <w:rFonts w:ascii="Arial" w:eastAsia="Times New Roman" w:hAnsi="Arial" w:cs="Arial"/>
          <w:bCs/>
        </w:rPr>
        <w:t>Ley de Adquisiciones, Arrendamientos y Contratación de Servicios</w:t>
      </w:r>
      <w:r>
        <w:rPr>
          <w:rFonts w:ascii="Arial" w:eastAsia="Times New Roman" w:hAnsi="Arial" w:cs="Arial"/>
          <w:bCs/>
        </w:rPr>
        <w:t xml:space="preserve"> </w:t>
      </w:r>
      <w:r w:rsidRPr="00793AA8">
        <w:rPr>
          <w:rFonts w:ascii="Arial" w:eastAsia="Times New Roman" w:hAnsi="Arial" w:cs="Arial"/>
          <w:bCs/>
        </w:rPr>
        <w:t xml:space="preserve">del Estado de Chihuahua                                                                                                                                                                                              </w:t>
      </w:r>
    </w:p>
    <w:p w14:paraId="72F04717" w14:textId="77777777" w:rsidR="00793AA8" w:rsidRDefault="00793AA8" w:rsidP="00793AA8">
      <w:pPr>
        <w:pStyle w:val="Prrafodelista"/>
        <w:jc w:val="both"/>
        <w:rPr>
          <w:rFonts w:ascii="Arial" w:eastAsia="Times New Roman" w:hAnsi="Arial" w:cs="Arial"/>
          <w:bCs/>
        </w:rPr>
      </w:pPr>
    </w:p>
    <w:p w14:paraId="158D6F7D" w14:textId="439980D5" w:rsidR="009D692D" w:rsidRDefault="009D692D" w:rsidP="00B20897">
      <w:pPr>
        <w:pStyle w:val="Prrafodelista"/>
        <w:numPr>
          <w:ilvl w:val="0"/>
          <w:numId w:val="4"/>
        </w:numPr>
        <w:jc w:val="both"/>
        <w:rPr>
          <w:rFonts w:ascii="Arial" w:eastAsia="Times New Roman" w:hAnsi="Arial" w:cs="Arial"/>
          <w:bCs/>
        </w:rPr>
      </w:pPr>
      <w:r>
        <w:rPr>
          <w:rFonts w:ascii="Arial" w:eastAsia="Times New Roman" w:hAnsi="Arial" w:cs="Arial"/>
          <w:bCs/>
        </w:rPr>
        <w:t xml:space="preserve">El estudio realizado del su currículum y trayectoria, en el cual se evidencia que no se </w:t>
      </w:r>
      <w:r w:rsidRPr="00260184">
        <w:rPr>
          <w:rFonts w:ascii="Arial" w:hAnsi="Arial" w:cs="Arial"/>
        </w:rPr>
        <w:t xml:space="preserve">encuentre en uno de los supuestos de impedimento consagrados por el artículo 86 </w:t>
      </w:r>
      <w:r>
        <w:rPr>
          <w:rFonts w:ascii="Arial" w:eastAsia="Times New Roman" w:hAnsi="Arial" w:cs="Arial"/>
          <w:bCs/>
        </w:rPr>
        <w:t>de la ley antes mencionada.</w:t>
      </w:r>
    </w:p>
    <w:p w14:paraId="793D952E" w14:textId="77777777" w:rsidR="00793AA8" w:rsidRDefault="00793AA8" w:rsidP="00793AA8">
      <w:pPr>
        <w:pStyle w:val="Prrafodelista"/>
        <w:jc w:val="both"/>
        <w:rPr>
          <w:rFonts w:ascii="Arial" w:eastAsia="Times New Roman" w:hAnsi="Arial" w:cs="Arial"/>
          <w:bCs/>
        </w:rPr>
      </w:pPr>
    </w:p>
    <w:p w14:paraId="1483FD1E" w14:textId="06E423C9" w:rsidR="00793AA8" w:rsidRPr="009D692D" w:rsidRDefault="00793AA8" w:rsidP="00B20897">
      <w:pPr>
        <w:pStyle w:val="Prrafodelista"/>
        <w:numPr>
          <w:ilvl w:val="0"/>
          <w:numId w:val="4"/>
        </w:numPr>
        <w:jc w:val="both"/>
        <w:rPr>
          <w:rFonts w:ascii="Arial" w:eastAsia="Times New Roman" w:hAnsi="Arial" w:cs="Arial"/>
          <w:bCs/>
        </w:rPr>
      </w:pPr>
      <w:r>
        <w:rPr>
          <w:rFonts w:ascii="Arial" w:eastAsia="Times New Roman" w:hAnsi="Arial" w:cs="Arial"/>
          <w:bCs/>
        </w:rPr>
        <w:t>Evidencia del trabajo realizado</w:t>
      </w:r>
    </w:p>
    <w:p w14:paraId="3C2B8042" w14:textId="77777777" w:rsidR="004B5300" w:rsidRPr="00CB59E1" w:rsidRDefault="004B5300" w:rsidP="006676C3">
      <w:pPr>
        <w:jc w:val="both"/>
        <w:rPr>
          <w:rFonts w:ascii="Arial" w:eastAsia="Times New Roman" w:hAnsi="Arial" w:cs="Arial"/>
          <w:bCs/>
          <w:sz w:val="22"/>
          <w:szCs w:val="22"/>
        </w:rPr>
      </w:pPr>
    </w:p>
    <w:p w14:paraId="037587C2" w14:textId="3D0F9126" w:rsidR="00124C58" w:rsidRPr="00CB59E1" w:rsidRDefault="00124C58" w:rsidP="00124C58">
      <w:pPr>
        <w:autoSpaceDE w:val="0"/>
        <w:autoSpaceDN w:val="0"/>
        <w:adjustRightInd w:val="0"/>
        <w:jc w:val="both"/>
        <w:rPr>
          <w:rFonts w:ascii="Arial" w:hAnsi="Arial" w:cs="Arial"/>
          <w:bCs/>
          <w:sz w:val="22"/>
          <w:szCs w:val="22"/>
        </w:rPr>
      </w:pPr>
      <w:proofErr w:type="gramStart"/>
      <w:r w:rsidRPr="00CB59E1">
        <w:rPr>
          <w:rFonts w:ascii="Arial" w:hAnsi="Arial" w:cs="Arial"/>
          <w:b/>
          <w:sz w:val="22"/>
          <w:szCs w:val="22"/>
          <w:shd w:val="clear" w:color="auto" w:fill="FFFFFF"/>
        </w:rPr>
        <w:t>ECONÓMICO.-</w:t>
      </w:r>
      <w:proofErr w:type="gramEnd"/>
      <w:r w:rsidRPr="00CB59E1">
        <w:rPr>
          <w:rFonts w:ascii="Arial" w:hAnsi="Arial" w:cs="Arial"/>
          <w:b/>
          <w:sz w:val="22"/>
          <w:szCs w:val="22"/>
          <w:shd w:val="clear" w:color="auto" w:fill="FFFFFF"/>
        </w:rPr>
        <w:t xml:space="preserve"> </w:t>
      </w:r>
      <w:r w:rsidRPr="00CB59E1">
        <w:rPr>
          <w:rFonts w:ascii="Arial" w:hAnsi="Arial" w:cs="Arial"/>
          <w:bCs/>
          <w:sz w:val="22"/>
          <w:szCs w:val="22"/>
          <w:shd w:val="clear" w:color="auto" w:fill="FFFFFF"/>
        </w:rPr>
        <w:t>Remítase copia del presente Acuerdo, a las autoridad antes mencionada, para su conocimiento y los efectos conducentes.</w:t>
      </w:r>
    </w:p>
    <w:p w14:paraId="6370DC95" w14:textId="5FA67547" w:rsidR="00124C58" w:rsidRPr="00CB59E1" w:rsidRDefault="00124C58" w:rsidP="00124C58">
      <w:pPr>
        <w:pStyle w:val="Prrafodelista"/>
        <w:spacing w:after="0" w:line="240" w:lineRule="auto"/>
        <w:ind w:left="0"/>
        <w:jc w:val="both"/>
        <w:rPr>
          <w:rFonts w:ascii="Arial" w:hAnsi="Arial" w:cs="Arial"/>
        </w:rPr>
      </w:pPr>
      <w:r w:rsidRPr="00CB59E1">
        <w:rPr>
          <w:rFonts w:ascii="Arial" w:hAnsi="Arial" w:cs="Arial"/>
          <w:b/>
        </w:rPr>
        <w:t>D A D O</w:t>
      </w:r>
      <w:r w:rsidR="00832DB0" w:rsidRPr="00CB59E1">
        <w:rPr>
          <w:rFonts w:ascii="Arial" w:hAnsi="Arial" w:cs="Arial"/>
        </w:rPr>
        <w:t xml:space="preserve"> en el salón de </w:t>
      </w:r>
      <w:r w:rsidR="00F7273E" w:rsidRPr="00CB59E1">
        <w:rPr>
          <w:rFonts w:ascii="Arial" w:hAnsi="Arial" w:cs="Arial"/>
        </w:rPr>
        <w:t>sesiones del</w:t>
      </w:r>
      <w:r w:rsidRPr="00CB59E1">
        <w:rPr>
          <w:rFonts w:ascii="Arial" w:hAnsi="Arial" w:cs="Arial"/>
        </w:rPr>
        <w:t xml:space="preserve"> Poder Legislativo en la Ci</w:t>
      </w:r>
      <w:r w:rsidR="009A397A" w:rsidRPr="00CB59E1">
        <w:rPr>
          <w:rFonts w:ascii="Arial" w:hAnsi="Arial" w:cs="Arial"/>
        </w:rPr>
        <w:t xml:space="preserve">udad de Chihuahua, Chihuahua a </w:t>
      </w:r>
      <w:r w:rsidR="009D692D" w:rsidRPr="009D692D">
        <w:rPr>
          <w:rFonts w:ascii="Arial" w:hAnsi="Arial" w:cs="Arial"/>
          <w:highlight w:val="cyan"/>
        </w:rPr>
        <w:t>----</w:t>
      </w:r>
      <w:r w:rsidR="006676C3" w:rsidRPr="00CB59E1">
        <w:rPr>
          <w:rFonts w:ascii="Arial" w:hAnsi="Arial" w:cs="Arial"/>
        </w:rPr>
        <w:t xml:space="preserve"> </w:t>
      </w:r>
      <w:r w:rsidR="004539EE" w:rsidRPr="00CB59E1">
        <w:rPr>
          <w:rFonts w:ascii="Arial" w:hAnsi="Arial" w:cs="Arial"/>
        </w:rPr>
        <w:t xml:space="preserve">de abril </w:t>
      </w:r>
      <w:r w:rsidR="009A397A" w:rsidRPr="00CB59E1">
        <w:rPr>
          <w:rFonts w:ascii="Arial" w:hAnsi="Arial" w:cs="Arial"/>
        </w:rPr>
        <w:t>de dos mil veintitrés</w:t>
      </w:r>
      <w:r w:rsidRPr="00CB59E1">
        <w:rPr>
          <w:rFonts w:ascii="Arial" w:hAnsi="Arial" w:cs="Arial"/>
        </w:rPr>
        <w:t>.</w:t>
      </w:r>
    </w:p>
    <w:p w14:paraId="5B32F9AD" w14:textId="77777777" w:rsidR="00050FD7" w:rsidRPr="00CB59E1" w:rsidRDefault="00050FD7" w:rsidP="00124C58">
      <w:pPr>
        <w:pStyle w:val="Prrafodelista"/>
        <w:spacing w:after="0" w:line="240" w:lineRule="auto"/>
        <w:ind w:left="0"/>
        <w:jc w:val="both"/>
        <w:rPr>
          <w:rFonts w:ascii="Arial" w:hAnsi="Arial" w:cs="Arial"/>
          <w:b/>
        </w:rPr>
      </w:pPr>
    </w:p>
    <w:p w14:paraId="22282836" w14:textId="77777777" w:rsidR="00021C0B" w:rsidRPr="00CB59E1" w:rsidRDefault="00021C0B" w:rsidP="00021C0B">
      <w:pPr>
        <w:spacing w:line="276" w:lineRule="auto"/>
        <w:jc w:val="center"/>
        <w:rPr>
          <w:rFonts w:ascii="Arial" w:hAnsi="Arial" w:cs="Arial"/>
          <w:b/>
          <w:sz w:val="22"/>
          <w:szCs w:val="22"/>
        </w:rPr>
      </w:pPr>
      <w:r w:rsidRPr="00CB59E1">
        <w:rPr>
          <w:rFonts w:ascii="Arial" w:hAnsi="Arial" w:cs="Arial"/>
          <w:b/>
          <w:sz w:val="22"/>
          <w:szCs w:val="22"/>
        </w:rPr>
        <w:t>A T E N T A M E N T E</w:t>
      </w:r>
    </w:p>
    <w:p w14:paraId="799B5F27" w14:textId="1A3623A4" w:rsidR="00021C0B" w:rsidRPr="00CB59E1" w:rsidRDefault="00021C0B" w:rsidP="00021C0B">
      <w:pPr>
        <w:pStyle w:val="Prrafodelista"/>
        <w:spacing w:line="276" w:lineRule="auto"/>
        <w:ind w:left="0"/>
        <w:jc w:val="both"/>
        <w:rPr>
          <w:rFonts w:ascii="Arial" w:hAnsi="Arial" w:cs="Arial"/>
          <w:b/>
          <w:shd w:val="clear" w:color="auto" w:fill="FFFFFF"/>
        </w:rPr>
      </w:pPr>
    </w:p>
    <w:sectPr w:rsidR="00021C0B" w:rsidRPr="00CB59E1" w:rsidSect="00394A2C">
      <w:headerReference w:type="default" r:id="rId13"/>
      <w:footerReference w:type="default" r:id="rId14"/>
      <w:pgSz w:w="12240" w:h="15840"/>
      <w:pgMar w:top="3119" w:right="1701" w:bottom="1928" w:left="1701" w:header="426"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0665" w14:textId="77777777" w:rsidR="00AD4C9F" w:rsidRDefault="00AD4C9F">
      <w:r>
        <w:separator/>
      </w:r>
    </w:p>
  </w:endnote>
  <w:endnote w:type="continuationSeparator" w:id="0">
    <w:p w14:paraId="4C1B67D6" w14:textId="77777777" w:rsidR="00AD4C9F" w:rsidRDefault="00AD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VOYE LET PLAIN:1.0">
    <w:altName w:val="Calibri"/>
    <w:charset w:val="00"/>
    <w:family w:val="auto"/>
    <w:pitch w:val="variable"/>
    <w:sig w:usb0="A00002FF" w:usb1="5000005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25252" w:themeColor="accent3" w:themeShade="80"/>
      </w:rPr>
      <w:id w:val="-3128776"/>
      <w:docPartObj>
        <w:docPartGallery w:val="Page Numbers (Bottom of Page)"/>
        <w:docPartUnique/>
      </w:docPartObj>
    </w:sdtPr>
    <w:sdtEndPr/>
    <w:sdtContent>
      <w:sdt>
        <w:sdtPr>
          <w:rPr>
            <w:color w:val="525252" w:themeColor="accent3" w:themeShade="80"/>
          </w:rPr>
          <w:id w:val="-1591074395"/>
          <w:docPartObj>
            <w:docPartGallery w:val="Page Numbers (Top of Page)"/>
            <w:docPartUnique/>
          </w:docPartObj>
        </w:sdtPr>
        <w:sdtEndPr/>
        <w:sdtContent>
          <w:p w14:paraId="02AE9F62" w14:textId="77777777" w:rsidR="0029440A" w:rsidRPr="00161933" w:rsidRDefault="0029440A" w:rsidP="0029440A">
            <w:pPr>
              <w:pStyle w:val="Piedepgina"/>
              <w:tabs>
                <w:tab w:val="left" w:pos="270"/>
              </w:tabs>
              <w:rPr>
                <w:color w:val="525252" w:themeColor="accent3" w:themeShade="80"/>
              </w:rPr>
            </w:pPr>
            <w:r>
              <w:rPr>
                <w:color w:val="525252" w:themeColor="accent3" w:themeShade="80"/>
              </w:rPr>
              <w:tab/>
            </w:r>
            <w:r>
              <w:rPr>
                <w:color w:val="525252" w:themeColor="accent3" w:themeShade="80"/>
              </w:rPr>
              <w:tab/>
            </w:r>
            <w:r>
              <w:rPr>
                <w:color w:val="525252" w:themeColor="accent3" w:themeShade="80"/>
              </w:rPr>
              <w:tab/>
            </w:r>
            <w:r w:rsidRPr="00161933">
              <w:rPr>
                <w:rFonts w:ascii="Century Gothic" w:hAnsi="Century Gothic"/>
                <w:color w:val="525252" w:themeColor="accent3" w:themeShade="80"/>
                <w:sz w:val="16"/>
                <w:szCs w:val="16"/>
                <w:lang w:val="es-ES"/>
              </w:rPr>
              <w:t xml:space="preserve">Página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PAGE</w:instrText>
            </w:r>
            <w:r w:rsidRPr="00161933">
              <w:rPr>
                <w:rFonts w:ascii="Century Gothic" w:hAnsi="Century Gothic"/>
                <w:b/>
                <w:bCs/>
                <w:color w:val="525252" w:themeColor="accent3" w:themeShade="80"/>
                <w:sz w:val="16"/>
                <w:szCs w:val="16"/>
              </w:rPr>
              <w:fldChar w:fldCharType="separate"/>
            </w:r>
            <w:r w:rsidR="00561314">
              <w:rPr>
                <w:rFonts w:ascii="Century Gothic" w:hAnsi="Century Gothic"/>
                <w:b/>
                <w:bCs/>
                <w:noProof/>
                <w:color w:val="525252" w:themeColor="accent3" w:themeShade="80"/>
                <w:sz w:val="16"/>
                <w:szCs w:val="16"/>
              </w:rPr>
              <w:t>1</w:t>
            </w:r>
            <w:r w:rsidRPr="00161933">
              <w:rPr>
                <w:rFonts w:ascii="Century Gothic" w:hAnsi="Century Gothic"/>
                <w:b/>
                <w:bCs/>
                <w:color w:val="525252" w:themeColor="accent3" w:themeShade="80"/>
                <w:sz w:val="16"/>
                <w:szCs w:val="16"/>
              </w:rPr>
              <w:fldChar w:fldCharType="end"/>
            </w:r>
            <w:r w:rsidRPr="00161933">
              <w:rPr>
                <w:rFonts w:ascii="Century Gothic" w:hAnsi="Century Gothic"/>
                <w:color w:val="525252" w:themeColor="accent3" w:themeShade="80"/>
                <w:sz w:val="16"/>
                <w:szCs w:val="16"/>
                <w:lang w:val="es-ES"/>
              </w:rPr>
              <w:t xml:space="preserve"> de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NUMPAGES</w:instrText>
            </w:r>
            <w:r w:rsidRPr="00161933">
              <w:rPr>
                <w:rFonts w:ascii="Century Gothic" w:hAnsi="Century Gothic"/>
                <w:b/>
                <w:bCs/>
                <w:color w:val="525252" w:themeColor="accent3" w:themeShade="80"/>
                <w:sz w:val="16"/>
                <w:szCs w:val="16"/>
              </w:rPr>
              <w:fldChar w:fldCharType="separate"/>
            </w:r>
            <w:r w:rsidR="00561314">
              <w:rPr>
                <w:rFonts w:ascii="Century Gothic" w:hAnsi="Century Gothic"/>
                <w:b/>
                <w:bCs/>
                <w:noProof/>
                <w:color w:val="525252" w:themeColor="accent3" w:themeShade="80"/>
                <w:sz w:val="16"/>
                <w:szCs w:val="16"/>
              </w:rPr>
              <w:t>3</w:t>
            </w:r>
            <w:r w:rsidRPr="00161933">
              <w:rPr>
                <w:rFonts w:ascii="Century Gothic" w:hAnsi="Century Gothic"/>
                <w:b/>
                <w:bCs/>
                <w:color w:val="525252" w:themeColor="accent3" w:themeShade="80"/>
                <w:sz w:val="16"/>
                <w:szCs w:val="16"/>
              </w:rPr>
              <w:fldChar w:fldCharType="end"/>
            </w:r>
          </w:p>
        </w:sdtContent>
      </w:sdt>
    </w:sdtContent>
  </w:sdt>
  <w:p w14:paraId="00251A9E" w14:textId="77777777" w:rsidR="0029440A" w:rsidRDefault="002944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F411" w14:textId="77777777" w:rsidR="00AD4C9F" w:rsidRDefault="00AD4C9F">
      <w:r>
        <w:separator/>
      </w:r>
    </w:p>
  </w:footnote>
  <w:footnote w:type="continuationSeparator" w:id="0">
    <w:p w14:paraId="049EA791" w14:textId="77777777" w:rsidR="00AD4C9F" w:rsidRDefault="00AD4C9F">
      <w:r>
        <w:continuationSeparator/>
      </w:r>
    </w:p>
  </w:footnote>
  <w:footnote w:id="1">
    <w:p w14:paraId="5B994978" w14:textId="7FFBA7CE" w:rsidR="00174F61" w:rsidRPr="00B20897" w:rsidRDefault="00174F61" w:rsidP="00530A1C">
      <w:pPr>
        <w:pStyle w:val="Textonotapie"/>
        <w:jc w:val="both"/>
        <w:rPr>
          <w:rFonts w:ascii="Arial" w:hAnsi="Arial" w:cs="Arial"/>
          <w:sz w:val="16"/>
          <w:szCs w:val="16"/>
        </w:rPr>
      </w:pPr>
      <w:r w:rsidRPr="00B20897">
        <w:rPr>
          <w:rStyle w:val="Refdenotaalpie"/>
          <w:rFonts w:ascii="Arial" w:hAnsi="Arial" w:cs="Arial"/>
          <w:sz w:val="16"/>
          <w:szCs w:val="16"/>
        </w:rPr>
        <w:footnoteRef/>
      </w:r>
      <w:r w:rsidRPr="00B20897">
        <w:rPr>
          <w:rFonts w:ascii="Arial" w:hAnsi="Arial" w:cs="Arial"/>
          <w:sz w:val="16"/>
          <w:szCs w:val="16"/>
        </w:rPr>
        <w:t xml:space="preserve"> </w:t>
      </w:r>
      <w:hyperlink r:id="rId1" w:history="1">
        <w:r w:rsidR="00D0424F" w:rsidRPr="00B20897">
          <w:rPr>
            <w:rStyle w:val="Hipervnculo"/>
            <w:rFonts w:ascii="Arial" w:hAnsi="Arial" w:cs="Arial"/>
            <w:sz w:val="16"/>
            <w:szCs w:val="16"/>
          </w:rPr>
          <w:t>https://elpueblo.com/notas/Visita-Meade-a-Maru-para-analizar-indicad</w:t>
        </w:r>
      </w:hyperlink>
    </w:p>
    <w:p w14:paraId="4EF1D944" w14:textId="40BA130A" w:rsidR="00D0424F" w:rsidRPr="00B20897" w:rsidRDefault="00D0424F" w:rsidP="00530A1C">
      <w:pPr>
        <w:pStyle w:val="Textonotapie"/>
        <w:jc w:val="both"/>
        <w:rPr>
          <w:rFonts w:ascii="Arial" w:hAnsi="Arial" w:cs="Arial"/>
          <w:sz w:val="16"/>
          <w:szCs w:val="16"/>
          <w:lang w:val="es-MX"/>
        </w:rPr>
      </w:pPr>
      <w:r w:rsidRPr="00B20897">
        <w:rPr>
          <w:rFonts w:ascii="Arial" w:hAnsi="Arial" w:cs="Arial"/>
          <w:sz w:val="16"/>
          <w:szCs w:val="16"/>
          <w:lang w:val="es-MX"/>
        </w:rPr>
        <w:t>https://www.elheraldodechihuahua.com.mx/local/chihuahua/tiene-chihuahua-un-panorama-positivo-en-materia-social-meade-9906323.html</w:t>
      </w:r>
    </w:p>
  </w:footnote>
  <w:footnote w:id="2">
    <w:p w14:paraId="12C08657" w14:textId="613E7E0E" w:rsidR="00B20897" w:rsidRPr="00B20897" w:rsidRDefault="00B20897">
      <w:pPr>
        <w:pStyle w:val="Textonotapie"/>
        <w:rPr>
          <w:rFonts w:ascii="Arial" w:hAnsi="Arial" w:cs="Arial"/>
          <w:sz w:val="16"/>
          <w:szCs w:val="16"/>
          <w:lang w:val="es-MX"/>
        </w:rPr>
      </w:pPr>
      <w:r w:rsidRPr="00B20897">
        <w:rPr>
          <w:rStyle w:val="Refdenotaalpie"/>
          <w:rFonts w:ascii="Arial" w:hAnsi="Arial" w:cs="Arial"/>
          <w:sz w:val="16"/>
          <w:szCs w:val="16"/>
        </w:rPr>
        <w:footnoteRef/>
      </w:r>
      <w:r w:rsidRPr="00B20897">
        <w:rPr>
          <w:rFonts w:ascii="Arial" w:hAnsi="Arial" w:cs="Arial"/>
          <w:sz w:val="16"/>
          <w:szCs w:val="16"/>
        </w:rPr>
        <w:t xml:space="preserve"> https://www.elheraldodechihuahua.com.mx/local/chihuahua/tiene-chihuahua-un-panorama-positivo-en-materia-social-meade-9906323.html</w:t>
      </w:r>
    </w:p>
  </w:footnote>
  <w:footnote w:id="3">
    <w:p w14:paraId="269B6E08" w14:textId="66DD31F8" w:rsidR="00B20897" w:rsidRPr="00B20897" w:rsidRDefault="00B20897">
      <w:pPr>
        <w:pStyle w:val="Textonotapie"/>
        <w:rPr>
          <w:rFonts w:ascii="Arial" w:hAnsi="Arial" w:cs="Arial"/>
          <w:sz w:val="16"/>
          <w:szCs w:val="16"/>
          <w:lang w:val="es-MX"/>
        </w:rPr>
      </w:pPr>
      <w:r w:rsidRPr="00B20897">
        <w:rPr>
          <w:rStyle w:val="Refdenotaalpie"/>
          <w:rFonts w:ascii="Arial" w:hAnsi="Arial" w:cs="Arial"/>
          <w:sz w:val="16"/>
          <w:szCs w:val="16"/>
        </w:rPr>
        <w:footnoteRef/>
      </w:r>
      <w:r w:rsidRPr="00B20897">
        <w:rPr>
          <w:rFonts w:ascii="Arial" w:hAnsi="Arial" w:cs="Arial"/>
          <w:sz w:val="16"/>
          <w:szCs w:val="16"/>
        </w:rPr>
        <w:t xml:space="preserve"> https://www.sinembargo.mx/29-11-2020/3896250</w:t>
      </w:r>
    </w:p>
  </w:footnote>
  <w:footnote w:id="4">
    <w:p w14:paraId="523606BC" w14:textId="77777777" w:rsidR="00C53F18" w:rsidRPr="003C4CF5" w:rsidRDefault="00C53F18" w:rsidP="00C53F18">
      <w:pPr>
        <w:pStyle w:val="NormalWeb"/>
        <w:spacing w:before="0" w:beforeAutospacing="0" w:after="0" w:afterAutospacing="0"/>
        <w:textAlignment w:val="baseline"/>
        <w:rPr>
          <w:rFonts w:ascii="Arial" w:hAnsi="Arial" w:cs="Arial"/>
          <w:sz w:val="16"/>
          <w:szCs w:val="16"/>
        </w:rPr>
      </w:pPr>
      <w:r w:rsidRPr="003C4CF5">
        <w:rPr>
          <w:rStyle w:val="Refdenotaalpie"/>
          <w:rFonts w:ascii="Arial" w:hAnsi="Arial" w:cs="Arial"/>
          <w:sz w:val="16"/>
          <w:szCs w:val="16"/>
        </w:rPr>
        <w:footnoteRef/>
      </w:r>
      <w:r w:rsidRPr="003C4CF5">
        <w:rPr>
          <w:rFonts w:ascii="Arial" w:hAnsi="Arial" w:cs="Arial"/>
          <w:sz w:val="16"/>
          <w:szCs w:val="16"/>
        </w:rPr>
        <w:t xml:space="preserve"> FUENTE. Elaboración de la ASF (https://bit.ly/3o3HaHx).</w:t>
      </w:r>
    </w:p>
  </w:footnote>
  <w:footnote w:id="5">
    <w:p w14:paraId="7039AED7" w14:textId="54A5767E" w:rsidR="00B20897" w:rsidRPr="00B20897" w:rsidRDefault="00B20897">
      <w:pPr>
        <w:pStyle w:val="Textonotapie"/>
        <w:rPr>
          <w:rFonts w:ascii="Arial" w:hAnsi="Arial" w:cs="Arial"/>
          <w:sz w:val="16"/>
          <w:szCs w:val="16"/>
          <w:lang w:val="es-MX"/>
        </w:rPr>
      </w:pPr>
      <w:r w:rsidRPr="00B20897">
        <w:rPr>
          <w:rStyle w:val="Refdenotaalpie"/>
          <w:rFonts w:ascii="Arial" w:hAnsi="Arial" w:cs="Arial"/>
          <w:sz w:val="16"/>
          <w:szCs w:val="16"/>
        </w:rPr>
        <w:footnoteRef/>
      </w:r>
      <w:r w:rsidRPr="00B20897">
        <w:rPr>
          <w:rFonts w:ascii="Arial" w:hAnsi="Arial" w:cs="Arial"/>
          <w:sz w:val="16"/>
          <w:szCs w:val="16"/>
        </w:rPr>
        <w:t xml:space="preserve"> https://sinlineamx.com/a-meade-no-le-salen-las-cuentas-tambien-existen-desfalcos-en-sre-y-hacienda/</w:t>
      </w:r>
    </w:p>
  </w:footnote>
  <w:footnote w:id="6">
    <w:p w14:paraId="20DA200B" w14:textId="31C51FE8" w:rsidR="00B20897" w:rsidRPr="00B20897" w:rsidRDefault="00B20897">
      <w:pPr>
        <w:pStyle w:val="Textonotapie"/>
        <w:rPr>
          <w:rFonts w:ascii="Arial" w:hAnsi="Arial" w:cs="Arial"/>
          <w:sz w:val="16"/>
          <w:szCs w:val="16"/>
          <w:lang w:val="es-MX"/>
        </w:rPr>
      </w:pPr>
      <w:r w:rsidRPr="00B20897">
        <w:rPr>
          <w:rStyle w:val="Refdenotaalpie"/>
          <w:rFonts w:ascii="Arial" w:hAnsi="Arial" w:cs="Arial"/>
          <w:sz w:val="16"/>
          <w:szCs w:val="16"/>
        </w:rPr>
        <w:footnoteRef/>
      </w:r>
      <w:r w:rsidRPr="00B20897">
        <w:rPr>
          <w:rFonts w:ascii="Arial" w:hAnsi="Arial" w:cs="Arial"/>
          <w:sz w:val="16"/>
          <w:szCs w:val="16"/>
        </w:rPr>
        <w:t xml:space="preserve"> https://www.noroeste.com.mx/nacional/jose-antonio-meade-dejo-cuentas-pendientes-en-shcp-sre-y-sedesol-HANO1216032</w:t>
      </w:r>
    </w:p>
  </w:footnote>
  <w:footnote w:id="7">
    <w:p w14:paraId="67CC932D" w14:textId="6EFA2563" w:rsidR="00260184" w:rsidRPr="00260184" w:rsidRDefault="00260184" w:rsidP="00260184">
      <w:pPr>
        <w:pStyle w:val="Textonotapie"/>
        <w:jc w:val="both"/>
        <w:rPr>
          <w:rFonts w:ascii="Arial" w:hAnsi="Arial" w:cs="Arial"/>
          <w:lang w:val="es-MX"/>
        </w:rPr>
      </w:pPr>
      <w:r w:rsidRPr="00260184">
        <w:rPr>
          <w:rStyle w:val="Refdenotaalpie"/>
          <w:rFonts w:ascii="Arial" w:hAnsi="Arial" w:cs="Arial"/>
          <w:sz w:val="16"/>
          <w:szCs w:val="16"/>
        </w:rPr>
        <w:footnoteRef/>
      </w:r>
      <w:r w:rsidRPr="00260184">
        <w:rPr>
          <w:rFonts w:ascii="Arial" w:hAnsi="Arial" w:cs="Arial"/>
          <w:sz w:val="16"/>
          <w:szCs w:val="16"/>
        </w:rPr>
        <w:t xml:space="preserve"> </w:t>
      </w:r>
      <w:r>
        <w:rPr>
          <w:rFonts w:ascii="Arial" w:hAnsi="Arial" w:cs="Arial"/>
          <w:sz w:val="16"/>
          <w:szCs w:val="16"/>
        </w:rPr>
        <w:t xml:space="preserve">Artículo 3, fracción XV. </w:t>
      </w:r>
      <w:r w:rsidRPr="00260184">
        <w:rPr>
          <w:rFonts w:ascii="Arial" w:hAnsi="Arial" w:cs="Arial"/>
          <w:sz w:val="16"/>
          <w:szCs w:val="16"/>
        </w:rPr>
        <w:t xml:space="preserve">Entes </w:t>
      </w:r>
      <w:proofErr w:type="gramStart"/>
      <w:r w:rsidRPr="00260184">
        <w:rPr>
          <w:rFonts w:ascii="Arial" w:hAnsi="Arial" w:cs="Arial"/>
          <w:sz w:val="16"/>
          <w:szCs w:val="16"/>
        </w:rPr>
        <w:t>públicos.-</w:t>
      </w:r>
      <w:proofErr w:type="gramEnd"/>
      <w:r w:rsidRPr="00260184">
        <w:rPr>
          <w:rFonts w:ascii="Arial" w:hAnsi="Arial" w:cs="Arial"/>
          <w:sz w:val="16"/>
          <w:szCs w:val="16"/>
        </w:rPr>
        <w:t xml:space="preserve"> Los </w:t>
      </w:r>
      <w:r w:rsidRPr="00260184">
        <w:rPr>
          <w:rFonts w:ascii="Arial" w:hAnsi="Arial" w:cs="Arial"/>
          <w:b/>
          <w:bCs/>
          <w:sz w:val="16"/>
          <w:szCs w:val="16"/>
        </w:rPr>
        <w:t>Poderes Ejecutivo</w:t>
      </w:r>
      <w:r w:rsidRPr="00260184">
        <w:rPr>
          <w:rFonts w:ascii="Arial" w:hAnsi="Arial" w:cs="Arial"/>
          <w:sz w:val="16"/>
          <w:szCs w:val="16"/>
        </w:rPr>
        <w:t>, Legislativo y Judicial; Municipios del Estado; órganos autónomos por disposición constitucional; organismos descentralizados estatales y municipales; empresas de participación estatal o municipal mayoritaria, así como los fideicomisos en los que cualquiera de los entes anteriores tenga el carácter de fideicomitente.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9832" w14:textId="77777777" w:rsidR="0075167B" w:rsidRPr="000F62BC" w:rsidRDefault="0029440A" w:rsidP="0029440A">
    <w:pPr>
      <w:pStyle w:val="Encabezado"/>
      <w:jc w:val="right"/>
      <w:rPr>
        <w:rFonts w:ascii="SAVOYE LET PLAIN:1.0" w:hAnsi="SAVOYE LET PLAIN:1.0"/>
        <w:b/>
        <w:bCs/>
        <w:i/>
        <w:iCs/>
        <w:sz w:val="22"/>
        <w:szCs w:val="22"/>
      </w:rPr>
    </w:pPr>
    <w:r w:rsidRPr="000F62BC">
      <w:rPr>
        <w:rFonts w:ascii="SAVOYE LET PLAIN:1.0" w:hAnsi="SAVOYE LET PLAIN:1.0"/>
        <w:b/>
        <w:bCs/>
        <w:i/>
        <w:iCs/>
        <w:sz w:val="22"/>
        <w:szCs w:val="22"/>
      </w:rPr>
      <w:t>“</w:t>
    </w:r>
    <w:r w:rsidR="0075167B" w:rsidRPr="000F62BC">
      <w:rPr>
        <w:rFonts w:ascii="SAVOYE LET PLAIN:1.0" w:hAnsi="SAVOYE LET PLAIN:1.0"/>
        <w:b/>
        <w:bCs/>
        <w:i/>
        <w:iCs/>
        <w:sz w:val="22"/>
        <w:szCs w:val="22"/>
      </w:rPr>
      <w:t>2023, Centenario de la Muerte del General Francisco Villa”</w:t>
    </w:r>
  </w:p>
  <w:p w14:paraId="2CB333D9" w14:textId="3536AF4D" w:rsidR="0029440A" w:rsidRPr="000F62BC" w:rsidRDefault="0075167B" w:rsidP="0029440A">
    <w:pPr>
      <w:pStyle w:val="Encabezado"/>
      <w:jc w:val="right"/>
      <w:rPr>
        <w:rFonts w:ascii="SAVOYE LET PLAIN:1.0" w:hAnsi="SAVOYE LET PLAIN:1.0"/>
        <w:b/>
        <w:bCs/>
        <w:i/>
        <w:iCs/>
        <w:sz w:val="22"/>
        <w:szCs w:val="22"/>
      </w:rPr>
    </w:pPr>
    <w:r w:rsidRPr="000F62BC">
      <w:rPr>
        <w:rFonts w:ascii="SAVOYE LET PLAIN:1.0" w:hAnsi="SAVOYE LET PLAIN:1.0"/>
        <w:b/>
        <w:bCs/>
        <w:i/>
        <w:iCs/>
        <w:sz w:val="22"/>
        <w:szCs w:val="22"/>
      </w:rPr>
      <w:t>“2023, Cien año</w:t>
    </w:r>
    <w:r w:rsidR="00CF38A7">
      <w:rPr>
        <w:rFonts w:ascii="SAVOYE LET PLAIN:1.0" w:hAnsi="SAVOYE LET PLAIN:1.0"/>
        <w:b/>
        <w:bCs/>
        <w:i/>
        <w:iCs/>
        <w:sz w:val="22"/>
        <w:szCs w:val="22"/>
      </w:rPr>
      <w:t>s</w:t>
    </w:r>
    <w:r w:rsidRPr="000F62BC">
      <w:rPr>
        <w:rFonts w:ascii="SAVOYE LET PLAIN:1.0" w:hAnsi="SAVOYE LET PLAIN:1.0"/>
        <w:b/>
        <w:bCs/>
        <w:i/>
        <w:iCs/>
        <w:sz w:val="22"/>
        <w:szCs w:val="22"/>
      </w:rPr>
      <w:t xml:space="preserve"> del </w:t>
    </w:r>
    <w:proofErr w:type="spellStart"/>
    <w:r w:rsidRPr="000F62BC">
      <w:rPr>
        <w:rFonts w:ascii="SAVOYE LET PLAIN:1.0" w:hAnsi="SAVOYE LET PLAIN:1.0"/>
        <w:b/>
        <w:bCs/>
        <w:i/>
        <w:iCs/>
        <w:sz w:val="22"/>
        <w:szCs w:val="22"/>
      </w:rPr>
      <w:t>Rotarismo</w:t>
    </w:r>
    <w:proofErr w:type="spellEnd"/>
    <w:r w:rsidRPr="000F62BC">
      <w:rPr>
        <w:rFonts w:ascii="SAVOYE LET PLAIN:1.0" w:hAnsi="SAVOYE LET PLAIN:1.0"/>
        <w:b/>
        <w:bCs/>
        <w:i/>
        <w:iCs/>
        <w:sz w:val="22"/>
        <w:szCs w:val="22"/>
      </w:rPr>
      <w:t xml:space="preserve"> en Chihuahua”</w:t>
    </w:r>
    <w:r w:rsidR="0029440A" w:rsidRPr="000F62BC">
      <w:rPr>
        <w:rFonts w:ascii="SAVOYE LET PLAIN:1.0" w:hAnsi="SAVOYE LET PLAIN:1.0"/>
        <w:b/>
        <w:bCs/>
        <w:i/>
        <w:iCs/>
        <w:sz w:val="22"/>
        <w:szCs w:val="22"/>
      </w:rPr>
      <w:t xml:space="preserve"> </w:t>
    </w:r>
  </w:p>
  <w:p w14:paraId="71D8D4F6" w14:textId="77777777" w:rsidR="0029440A" w:rsidRPr="009E2E14" w:rsidRDefault="0029440A">
    <w:pPr>
      <w:pStyle w:val="Encabezad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F24D9"/>
    <w:multiLevelType w:val="hybridMultilevel"/>
    <w:tmpl w:val="004A8D30"/>
    <w:lvl w:ilvl="0" w:tplc="0DBE9C0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27478C"/>
    <w:multiLevelType w:val="hybridMultilevel"/>
    <w:tmpl w:val="D0001ABC"/>
    <w:lvl w:ilvl="0" w:tplc="E6CE0BC4">
      <w:start w:val="1"/>
      <w:numFmt w:val="upperRoman"/>
      <w:lvlText w:val="%1."/>
      <w:lvlJc w:val="left"/>
      <w:pPr>
        <w:ind w:left="1146" w:hanging="720"/>
      </w:pPr>
      <w:rPr>
        <w:rFonts w:hint="default"/>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3ED1EDE"/>
    <w:multiLevelType w:val="hybridMultilevel"/>
    <w:tmpl w:val="DB980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0972621"/>
    <w:multiLevelType w:val="hybridMultilevel"/>
    <w:tmpl w:val="81B810BA"/>
    <w:lvl w:ilvl="0" w:tplc="F106358C">
      <w:start w:val="1"/>
      <w:numFmt w:val="lowerLetter"/>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58"/>
    <w:rsid w:val="00006A80"/>
    <w:rsid w:val="00010AB8"/>
    <w:rsid w:val="00021063"/>
    <w:rsid w:val="00021C0B"/>
    <w:rsid w:val="00034B1A"/>
    <w:rsid w:val="00050FD7"/>
    <w:rsid w:val="000613B4"/>
    <w:rsid w:val="00093B08"/>
    <w:rsid w:val="0009612E"/>
    <w:rsid w:val="000968B5"/>
    <w:rsid w:val="00097655"/>
    <w:rsid w:val="000A0602"/>
    <w:rsid w:val="000A2B38"/>
    <w:rsid w:val="000B15A9"/>
    <w:rsid w:val="000B30D3"/>
    <w:rsid w:val="000C4809"/>
    <w:rsid w:val="000E761B"/>
    <w:rsid w:val="000F62BC"/>
    <w:rsid w:val="00105168"/>
    <w:rsid w:val="00124C58"/>
    <w:rsid w:val="00150410"/>
    <w:rsid w:val="001637AB"/>
    <w:rsid w:val="0017253E"/>
    <w:rsid w:val="00174F61"/>
    <w:rsid w:val="001A15F7"/>
    <w:rsid w:val="001A37A4"/>
    <w:rsid w:val="001A6ECD"/>
    <w:rsid w:val="001B390D"/>
    <w:rsid w:val="001B5878"/>
    <w:rsid w:val="001C71D2"/>
    <w:rsid w:val="001D686B"/>
    <w:rsid w:val="001E09BA"/>
    <w:rsid w:val="00200584"/>
    <w:rsid w:val="002259D9"/>
    <w:rsid w:val="00234995"/>
    <w:rsid w:val="002358E2"/>
    <w:rsid w:val="0023610D"/>
    <w:rsid w:val="00260184"/>
    <w:rsid w:val="002639F3"/>
    <w:rsid w:val="00265646"/>
    <w:rsid w:val="002811C1"/>
    <w:rsid w:val="0029440A"/>
    <w:rsid w:val="002A2F8A"/>
    <w:rsid w:val="002A65CE"/>
    <w:rsid w:val="002C424D"/>
    <w:rsid w:val="002D75F4"/>
    <w:rsid w:val="002E4975"/>
    <w:rsid w:val="002F7ADF"/>
    <w:rsid w:val="003005FB"/>
    <w:rsid w:val="00300D5D"/>
    <w:rsid w:val="00300E78"/>
    <w:rsid w:val="0030384E"/>
    <w:rsid w:val="003209E2"/>
    <w:rsid w:val="003248FB"/>
    <w:rsid w:val="00327966"/>
    <w:rsid w:val="00354238"/>
    <w:rsid w:val="00357421"/>
    <w:rsid w:val="003627A1"/>
    <w:rsid w:val="0036341C"/>
    <w:rsid w:val="003765EF"/>
    <w:rsid w:val="00387CB9"/>
    <w:rsid w:val="00392E59"/>
    <w:rsid w:val="00394A2C"/>
    <w:rsid w:val="00395A2D"/>
    <w:rsid w:val="003C09F7"/>
    <w:rsid w:val="003C4CF5"/>
    <w:rsid w:val="003C7AA9"/>
    <w:rsid w:val="003D6ADC"/>
    <w:rsid w:val="003D766B"/>
    <w:rsid w:val="003F1F7F"/>
    <w:rsid w:val="003F304C"/>
    <w:rsid w:val="003F4858"/>
    <w:rsid w:val="003F73A6"/>
    <w:rsid w:val="004136F1"/>
    <w:rsid w:val="00414EE4"/>
    <w:rsid w:val="0041654B"/>
    <w:rsid w:val="004539EE"/>
    <w:rsid w:val="00476F01"/>
    <w:rsid w:val="004A21F9"/>
    <w:rsid w:val="004A2333"/>
    <w:rsid w:val="004B5300"/>
    <w:rsid w:val="004F6C7F"/>
    <w:rsid w:val="00530A1C"/>
    <w:rsid w:val="00552743"/>
    <w:rsid w:val="00560E91"/>
    <w:rsid w:val="00561314"/>
    <w:rsid w:val="00562EE8"/>
    <w:rsid w:val="00595266"/>
    <w:rsid w:val="00596A2C"/>
    <w:rsid w:val="005B23F6"/>
    <w:rsid w:val="005B29A7"/>
    <w:rsid w:val="005B5489"/>
    <w:rsid w:val="005C169C"/>
    <w:rsid w:val="005C6681"/>
    <w:rsid w:val="005D3271"/>
    <w:rsid w:val="005D4622"/>
    <w:rsid w:val="006009BF"/>
    <w:rsid w:val="006016E3"/>
    <w:rsid w:val="006022C3"/>
    <w:rsid w:val="00604FD8"/>
    <w:rsid w:val="006167B4"/>
    <w:rsid w:val="00623B3C"/>
    <w:rsid w:val="00630137"/>
    <w:rsid w:val="00634188"/>
    <w:rsid w:val="00646068"/>
    <w:rsid w:val="006676C3"/>
    <w:rsid w:val="00667B41"/>
    <w:rsid w:val="006732B2"/>
    <w:rsid w:val="006B13F5"/>
    <w:rsid w:val="006B4A46"/>
    <w:rsid w:val="006C6C73"/>
    <w:rsid w:val="006D027D"/>
    <w:rsid w:val="006D2210"/>
    <w:rsid w:val="006D268D"/>
    <w:rsid w:val="006E161E"/>
    <w:rsid w:val="006E42EE"/>
    <w:rsid w:val="007003A1"/>
    <w:rsid w:val="00710C0F"/>
    <w:rsid w:val="007144EB"/>
    <w:rsid w:val="00734FFE"/>
    <w:rsid w:val="00741312"/>
    <w:rsid w:val="0075167B"/>
    <w:rsid w:val="00754F9B"/>
    <w:rsid w:val="0075559D"/>
    <w:rsid w:val="00764C13"/>
    <w:rsid w:val="00766A45"/>
    <w:rsid w:val="00775372"/>
    <w:rsid w:val="0078144D"/>
    <w:rsid w:val="007824BE"/>
    <w:rsid w:val="00793AA8"/>
    <w:rsid w:val="00794331"/>
    <w:rsid w:val="00797B97"/>
    <w:rsid w:val="007B1E73"/>
    <w:rsid w:val="007C6F38"/>
    <w:rsid w:val="007E20FF"/>
    <w:rsid w:val="00801293"/>
    <w:rsid w:val="00803FA7"/>
    <w:rsid w:val="00813F14"/>
    <w:rsid w:val="008210F7"/>
    <w:rsid w:val="00832DB0"/>
    <w:rsid w:val="0086521E"/>
    <w:rsid w:val="00893521"/>
    <w:rsid w:val="008A2746"/>
    <w:rsid w:val="008B3C15"/>
    <w:rsid w:val="008C319F"/>
    <w:rsid w:val="008C7742"/>
    <w:rsid w:val="008E6724"/>
    <w:rsid w:val="008F0859"/>
    <w:rsid w:val="008F4E02"/>
    <w:rsid w:val="009405FD"/>
    <w:rsid w:val="00943AE4"/>
    <w:rsid w:val="00953AA6"/>
    <w:rsid w:val="009A0C76"/>
    <w:rsid w:val="009A2D15"/>
    <w:rsid w:val="009A397A"/>
    <w:rsid w:val="009A3F3F"/>
    <w:rsid w:val="009B59A3"/>
    <w:rsid w:val="009D0BB0"/>
    <w:rsid w:val="009D692D"/>
    <w:rsid w:val="009E555F"/>
    <w:rsid w:val="009F0CEF"/>
    <w:rsid w:val="009F4C50"/>
    <w:rsid w:val="00A105F7"/>
    <w:rsid w:val="00A11C45"/>
    <w:rsid w:val="00A15BAA"/>
    <w:rsid w:val="00A42B80"/>
    <w:rsid w:val="00A45E96"/>
    <w:rsid w:val="00A70002"/>
    <w:rsid w:val="00A74659"/>
    <w:rsid w:val="00A929C2"/>
    <w:rsid w:val="00AA5150"/>
    <w:rsid w:val="00AB34FA"/>
    <w:rsid w:val="00AC18EB"/>
    <w:rsid w:val="00AD4C9F"/>
    <w:rsid w:val="00AF0482"/>
    <w:rsid w:val="00B0322E"/>
    <w:rsid w:val="00B13B24"/>
    <w:rsid w:val="00B20897"/>
    <w:rsid w:val="00B25946"/>
    <w:rsid w:val="00B51861"/>
    <w:rsid w:val="00B66153"/>
    <w:rsid w:val="00B84CBC"/>
    <w:rsid w:val="00B871C3"/>
    <w:rsid w:val="00B95E6E"/>
    <w:rsid w:val="00BB615C"/>
    <w:rsid w:val="00BD66BF"/>
    <w:rsid w:val="00BE3627"/>
    <w:rsid w:val="00C00832"/>
    <w:rsid w:val="00C05FCB"/>
    <w:rsid w:val="00C07620"/>
    <w:rsid w:val="00C1682E"/>
    <w:rsid w:val="00C323E4"/>
    <w:rsid w:val="00C43762"/>
    <w:rsid w:val="00C47D0B"/>
    <w:rsid w:val="00C53F18"/>
    <w:rsid w:val="00C563D5"/>
    <w:rsid w:val="00C93643"/>
    <w:rsid w:val="00C97E02"/>
    <w:rsid w:val="00CA4C2E"/>
    <w:rsid w:val="00CB57B8"/>
    <w:rsid w:val="00CB59E1"/>
    <w:rsid w:val="00CE23B1"/>
    <w:rsid w:val="00CF36CC"/>
    <w:rsid w:val="00CF38A7"/>
    <w:rsid w:val="00D0424F"/>
    <w:rsid w:val="00D11DB9"/>
    <w:rsid w:val="00D14A09"/>
    <w:rsid w:val="00D35FAD"/>
    <w:rsid w:val="00D44AB1"/>
    <w:rsid w:val="00D46E84"/>
    <w:rsid w:val="00D76318"/>
    <w:rsid w:val="00D80B13"/>
    <w:rsid w:val="00D924FC"/>
    <w:rsid w:val="00D9421E"/>
    <w:rsid w:val="00D96272"/>
    <w:rsid w:val="00DA2938"/>
    <w:rsid w:val="00DA7FAC"/>
    <w:rsid w:val="00DB5259"/>
    <w:rsid w:val="00DC44E9"/>
    <w:rsid w:val="00DC7003"/>
    <w:rsid w:val="00DE59BA"/>
    <w:rsid w:val="00DF5274"/>
    <w:rsid w:val="00E045FC"/>
    <w:rsid w:val="00E117D9"/>
    <w:rsid w:val="00E12382"/>
    <w:rsid w:val="00E26C86"/>
    <w:rsid w:val="00E53ACD"/>
    <w:rsid w:val="00E54B81"/>
    <w:rsid w:val="00EA78DB"/>
    <w:rsid w:val="00EA7A57"/>
    <w:rsid w:val="00EA7E5D"/>
    <w:rsid w:val="00EB462D"/>
    <w:rsid w:val="00EC2F8D"/>
    <w:rsid w:val="00EC3911"/>
    <w:rsid w:val="00ED042E"/>
    <w:rsid w:val="00EF0BDE"/>
    <w:rsid w:val="00F053D2"/>
    <w:rsid w:val="00F665E7"/>
    <w:rsid w:val="00F7273E"/>
    <w:rsid w:val="00F72B97"/>
    <w:rsid w:val="00F7372D"/>
    <w:rsid w:val="00F81E55"/>
    <w:rsid w:val="00F82D0F"/>
    <w:rsid w:val="00FA38AD"/>
    <w:rsid w:val="00FC1C06"/>
    <w:rsid w:val="00FC2A0F"/>
    <w:rsid w:val="00FF06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B3449"/>
  <w15:chartTrackingRefBased/>
  <w15:docId w15:val="{68D45A0D-1B80-4437-A184-486A1032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58"/>
    <w:pPr>
      <w:spacing w:after="0" w:line="240" w:lineRule="auto"/>
    </w:pPr>
    <w:rPr>
      <w:rFonts w:ascii="Times New Roman" w:eastAsia="MS Mincho" w:hAnsi="Times New Roman" w:cs="Times New Roman"/>
      <w:sz w:val="20"/>
      <w:szCs w:val="20"/>
      <w:lang w:val="es-ES_tradnl" w:eastAsia="es-ES"/>
    </w:rPr>
  </w:style>
  <w:style w:type="paragraph" w:styleId="Ttulo1">
    <w:name w:val="heading 1"/>
    <w:basedOn w:val="Normal"/>
    <w:link w:val="Ttulo1Car"/>
    <w:uiPriority w:val="9"/>
    <w:qFormat/>
    <w:rsid w:val="006D027D"/>
    <w:pPr>
      <w:spacing w:before="100" w:beforeAutospacing="1" w:after="100" w:afterAutospacing="1"/>
      <w:outlineLvl w:val="0"/>
    </w:pPr>
    <w:rPr>
      <w:rFonts w:eastAsia="Times New Roman"/>
      <w:b/>
      <w:bCs/>
      <w:kern w:val="36"/>
      <w:sz w:val="48"/>
      <w:szCs w:val="48"/>
      <w:lang w:val="es-MX" w:eastAsia="es-MX"/>
    </w:rPr>
  </w:style>
  <w:style w:type="paragraph" w:styleId="Ttulo3">
    <w:name w:val="heading 3"/>
    <w:basedOn w:val="Normal"/>
    <w:next w:val="Normal"/>
    <w:link w:val="Ttulo3Car"/>
    <w:uiPriority w:val="9"/>
    <w:semiHidden/>
    <w:unhideWhenUsed/>
    <w:qFormat/>
    <w:rsid w:val="00ED04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24C58"/>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24C58"/>
    <w:pPr>
      <w:spacing w:before="100" w:beforeAutospacing="1" w:after="100" w:afterAutospacing="1"/>
    </w:pPr>
    <w:rPr>
      <w:rFonts w:eastAsia="Times New Roman"/>
      <w:sz w:val="24"/>
      <w:szCs w:val="24"/>
      <w:lang w:eastAsia="es-MX"/>
    </w:rPr>
  </w:style>
  <w:style w:type="paragraph" w:styleId="Encabezado">
    <w:name w:val="header"/>
    <w:basedOn w:val="Normal"/>
    <w:link w:val="EncabezadoCar"/>
    <w:uiPriority w:val="99"/>
    <w:unhideWhenUsed/>
    <w:rsid w:val="00124C58"/>
    <w:pPr>
      <w:tabs>
        <w:tab w:val="center" w:pos="4419"/>
        <w:tab w:val="right" w:pos="8838"/>
      </w:tabs>
    </w:pPr>
  </w:style>
  <w:style w:type="character" w:customStyle="1" w:styleId="EncabezadoCar">
    <w:name w:val="Encabezado Car"/>
    <w:basedOn w:val="Fuentedeprrafopredeter"/>
    <w:link w:val="Encabezado"/>
    <w:uiPriority w:val="99"/>
    <w:rsid w:val="00124C58"/>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124C58"/>
    <w:pPr>
      <w:tabs>
        <w:tab w:val="center" w:pos="4419"/>
        <w:tab w:val="right" w:pos="8838"/>
      </w:tabs>
    </w:pPr>
  </w:style>
  <w:style w:type="character" w:customStyle="1" w:styleId="PiedepginaCar">
    <w:name w:val="Pie de página Car"/>
    <w:basedOn w:val="Fuentedeprrafopredeter"/>
    <w:link w:val="Piedepgina"/>
    <w:uiPriority w:val="99"/>
    <w:rsid w:val="00124C58"/>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124C58"/>
  </w:style>
  <w:style w:type="table" w:customStyle="1" w:styleId="Tablaconcuadrcula1">
    <w:name w:val="Tabla con cuadrícula1"/>
    <w:basedOn w:val="Tablanormal"/>
    <w:next w:val="Tablaconcuadrcula"/>
    <w:uiPriority w:val="39"/>
    <w:rsid w:val="00124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24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B30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30D3"/>
    <w:rPr>
      <w:rFonts w:ascii="Segoe UI" w:eastAsia="MS Mincho" w:hAnsi="Segoe UI" w:cs="Segoe UI"/>
      <w:sz w:val="18"/>
      <w:szCs w:val="18"/>
      <w:lang w:eastAsia="es-ES"/>
    </w:rPr>
  </w:style>
  <w:style w:type="paragraph" w:styleId="Textonotapie">
    <w:name w:val="footnote text"/>
    <w:basedOn w:val="Normal"/>
    <w:link w:val="TextonotapieCar"/>
    <w:uiPriority w:val="99"/>
    <w:semiHidden/>
    <w:unhideWhenUsed/>
    <w:rsid w:val="006732B2"/>
  </w:style>
  <w:style w:type="character" w:customStyle="1" w:styleId="TextonotapieCar">
    <w:name w:val="Texto nota pie Car"/>
    <w:basedOn w:val="Fuentedeprrafopredeter"/>
    <w:link w:val="Textonotapie"/>
    <w:uiPriority w:val="99"/>
    <w:semiHidden/>
    <w:rsid w:val="006732B2"/>
    <w:rPr>
      <w:rFonts w:ascii="Times New Roman" w:eastAsia="MS Mincho" w:hAnsi="Times New Roman" w:cs="Times New Roman"/>
      <w:sz w:val="20"/>
      <w:szCs w:val="20"/>
      <w:lang w:eastAsia="es-ES"/>
    </w:rPr>
  </w:style>
  <w:style w:type="character" w:styleId="Refdenotaalpie">
    <w:name w:val="footnote reference"/>
    <w:basedOn w:val="Fuentedeprrafopredeter"/>
    <w:uiPriority w:val="99"/>
    <w:semiHidden/>
    <w:unhideWhenUsed/>
    <w:rsid w:val="006732B2"/>
    <w:rPr>
      <w:vertAlign w:val="superscript"/>
    </w:rPr>
  </w:style>
  <w:style w:type="character" w:styleId="Hipervnculo">
    <w:name w:val="Hyperlink"/>
    <w:basedOn w:val="Fuentedeprrafopredeter"/>
    <w:uiPriority w:val="99"/>
    <w:unhideWhenUsed/>
    <w:rsid w:val="006732B2"/>
    <w:rPr>
      <w:color w:val="0563C1" w:themeColor="hyperlink"/>
      <w:u w:val="single"/>
    </w:rPr>
  </w:style>
  <w:style w:type="character" w:styleId="Mencinsinresolver">
    <w:name w:val="Unresolved Mention"/>
    <w:basedOn w:val="Fuentedeprrafopredeter"/>
    <w:uiPriority w:val="99"/>
    <w:semiHidden/>
    <w:unhideWhenUsed/>
    <w:rsid w:val="006732B2"/>
    <w:rPr>
      <w:color w:val="605E5C"/>
      <w:shd w:val="clear" w:color="auto" w:fill="E1DFDD"/>
    </w:rPr>
  </w:style>
  <w:style w:type="table" w:styleId="Tablaconcuadrculaclara">
    <w:name w:val="Grid Table Light"/>
    <w:basedOn w:val="Tablanormal"/>
    <w:uiPriority w:val="40"/>
    <w:rsid w:val="00394A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6D027D"/>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semiHidden/>
    <w:rsid w:val="00ED042E"/>
    <w:rPr>
      <w:rFonts w:asciiTheme="majorHAnsi" w:eastAsiaTheme="majorEastAsia" w:hAnsiTheme="majorHAnsi" w:cstheme="majorBidi"/>
      <w:color w:val="1F4D78" w:themeColor="accent1" w:themeShade="7F"/>
      <w:sz w:val="24"/>
      <w:szCs w:val="24"/>
      <w:lang w:val="es-ES_tradnl" w:eastAsia="es-ES"/>
    </w:rPr>
  </w:style>
  <w:style w:type="character" w:styleId="Textoennegrita">
    <w:name w:val="Strong"/>
    <w:basedOn w:val="Fuentedeprrafopredeter"/>
    <w:uiPriority w:val="22"/>
    <w:qFormat/>
    <w:rsid w:val="00ED042E"/>
    <w:rPr>
      <w:b/>
      <w:bCs/>
    </w:rPr>
  </w:style>
  <w:style w:type="character" w:customStyle="1" w:styleId="igc-table-header-span">
    <w:name w:val="igc-table-header-span"/>
    <w:basedOn w:val="Fuentedeprrafopredeter"/>
    <w:rsid w:val="00ED042E"/>
  </w:style>
  <w:style w:type="character" w:customStyle="1" w:styleId="igc-table-cell-span">
    <w:name w:val="igc-table-cell-span"/>
    <w:basedOn w:val="Fuentedeprrafopredeter"/>
    <w:rsid w:val="00ED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538">
      <w:bodyDiv w:val="1"/>
      <w:marLeft w:val="0"/>
      <w:marRight w:val="0"/>
      <w:marTop w:val="0"/>
      <w:marBottom w:val="0"/>
      <w:divBdr>
        <w:top w:val="none" w:sz="0" w:space="0" w:color="auto"/>
        <w:left w:val="none" w:sz="0" w:space="0" w:color="auto"/>
        <w:bottom w:val="none" w:sz="0" w:space="0" w:color="auto"/>
        <w:right w:val="none" w:sz="0" w:space="0" w:color="auto"/>
      </w:divBdr>
    </w:div>
    <w:div w:id="48039016">
      <w:bodyDiv w:val="1"/>
      <w:marLeft w:val="0"/>
      <w:marRight w:val="0"/>
      <w:marTop w:val="0"/>
      <w:marBottom w:val="0"/>
      <w:divBdr>
        <w:top w:val="none" w:sz="0" w:space="0" w:color="auto"/>
        <w:left w:val="none" w:sz="0" w:space="0" w:color="auto"/>
        <w:bottom w:val="none" w:sz="0" w:space="0" w:color="auto"/>
        <w:right w:val="none" w:sz="0" w:space="0" w:color="auto"/>
      </w:divBdr>
    </w:div>
    <w:div w:id="439297644">
      <w:bodyDiv w:val="1"/>
      <w:marLeft w:val="0"/>
      <w:marRight w:val="0"/>
      <w:marTop w:val="0"/>
      <w:marBottom w:val="0"/>
      <w:divBdr>
        <w:top w:val="none" w:sz="0" w:space="0" w:color="auto"/>
        <w:left w:val="none" w:sz="0" w:space="0" w:color="auto"/>
        <w:bottom w:val="none" w:sz="0" w:space="0" w:color="auto"/>
        <w:right w:val="none" w:sz="0" w:space="0" w:color="auto"/>
      </w:divBdr>
      <w:divsChild>
        <w:div w:id="962004423">
          <w:marLeft w:val="0"/>
          <w:marRight w:val="0"/>
          <w:marTop w:val="0"/>
          <w:marBottom w:val="0"/>
          <w:divBdr>
            <w:top w:val="none" w:sz="0" w:space="0" w:color="auto"/>
            <w:left w:val="none" w:sz="0" w:space="0" w:color="auto"/>
            <w:bottom w:val="none" w:sz="0" w:space="0" w:color="auto"/>
            <w:right w:val="none" w:sz="0" w:space="0" w:color="auto"/>
          </w:divBdr>
          <w:divsChild>
            <w:div w:id="1264798183">
              <w:marLeft w:val="0"/>
              <w:marRight w:val="0"/>
              <w:marTop w:val="0"/>
              <w:marBottom w:val="0"/>
              <w:divBdr>
                <w:top w:val="none" w:sz="0" w:space="0" w:color="auto"/>
                <w:left w:val="none" w:sz="0" w:space="0" w:color="auto"/>
                <w:bottom w:val="none" w:sz="0" w:space="0" w:color="auto"/>
                <w:right w:val="none" w:sz="0" w:space="0" w:color="auto"/>
              </w:divBdr>
              <w:divsChild>
                <w:div w:id="1404794373">
                  <w:marLeft w:val="0"/>
                  <w:marRight w:val="0"/>
                  <w:marTop w:val="0"/>
                  <w:marBottom w:val="0"/>
                  <w:divBdr>
                    <w:top w:val="none" w:sz="0" w:space="0" w:color="auto"/>
                    <w:left w:val="none" w:sz="0" w:space="0" w:color="auto"/>
                    <w:bottom w:val="none" w:sz="0" w:space="0" w:color="auto"/>
                    <w:right w:val="none" w:sz="0" w:space="0" w:color="auto"/>
                  </w:divBdr>
                  <w:divsChild>
                    <w:div w:id="321664820">
                      <w:marLeft w:val="0"/>
                      <w:marRight w:val="0"/>
                      <w:marTop w:val="0"/>
                      <w:marBottom w:val="0"/>
                      <w:divBdr>
                        <w:top w:val="none" w:sz="0" w:space="0" w:color="auto"/>
                        <w:left w:val="none" w:sz="0" w:space="0" w:color="auto"/>
                        <w:bottom w:val="none" w:sz="0" w:space="0" w:color="auto"/>
                        <w:right w:val="none" w:sz="0" w:space="0" w:color="auto"/>
                      </w:divBdr>
                      <w:divsChild>
                        <w:div w:id="718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486435">
      <w:bodyDiv w:val="1"/>
      <w:marLeft w:val="0"/>
      <w:marRight w:val="0"/>
      <w:marTop w:val="0"/>
      <w:marBottom w:val="0"/>
      <w:divBdr>
        <w:top w:val="none" w:sz="0" w:space="0" w:color="auto"/>
        <w:left w:val="none" w:sz="0" w:space="0" w:color="auto"/>
        <w:bottom w:val="none" w:sz="0" w:space="0" w:color="auto"/>
        <w:right w:val="none" w:sz="0" w:space="0" w:color="auto"/>
      </w:divBdr>
    </w:div>
    <w:div w:id="511534484">
      <w:bodyDiv w:val="1"/>
      <w:marLeft w:val="0"/>
      <w:marRight w:val="0"/>
      <w:marTop w:val="0"/>
      <w:marBottom w:val="0"/>
      <w:divBdr>
        <w:top w:val="none" w:sz="0" w:space="0" w:color="auto"/>
        <w:left w:val="none" w:sz="0" w:space="0" w:color="auto"/>
        <w:bottom w:val="none" w:sz="0" w:space="0" w:color="auto"/>
        <w:right w:val="none" w:sz="0" w:space="0" w:color="auto"/>
      </w:divBdr>
    </w:div>
    <w:div w:id="655843985">
      <w:bodyDiv w:val="1"/>
      <w:marLeft w:val="0"/>
      <w:marRight w:val="0"/>
      <w:marTop w:val="0"/>
      <w:marBottom w:val="0"/>
      <w:divBdr>
        <w:top w:val="none" w:sz="0" w:space="0" w:color="auto"/>
        <w:left w:val="none" w:sz="0" w:space="0" w:color="auto"/>
        <w:bottom w:val="none" w:sz="0" w:space="0" w:color="auto"/>
        <w:right w:val="none" w:sz="0" w:space="0" w:color="auto"/>
      </w:divBdr>
    </w:div>
    <w:div w:id="930238546">
      <w:bodyDiv w:val="1"/>
      <w:marLeft w:val="0"/>
      <w:marRight w:val="0"/>
      <w:marTop w:val="0"/>
      <w:marBottom w:val="0"/>
      <w:divBdr>
        <w:top w:val="none" w:sz="0" w:space="0" w:color="auto"/>
        <w:left w:val="none" w:sz="0" w:space="0" w:color="auto"/>
        <w:bottom w:val="none" w:sz="0" w:space="0" w:color="auto"/>
        <w:right w:val="none" w:sz="0" w:space="0" w:color="auto"/>
      </w:divBdr>
    </w:div>
    <w:div w:id="1660231285">
      <w:bodyDiv w:val="1"/>
      <w:marLeft w:val="0"/>
      <w:marRight w:val="0"/>
      <w:marTop w:val="0"/>
      <w:marBottom w:val="0"/>
      <w:divBdr>
        <w:top w:val="none" w:sz="0" w:space="0" w:color="auto"/>
        <w:left w:val="none" w:sz="0" w:space="0" w:color="auto"/>
        <w:bottom w:val="none" w:sz="0" w:space="0" w:color="auto"/>
        <w:right w:val="none" w:sz="0" w:space="0" w:color="auto"/>
      </w:divBdr>
    </w:div>
    <w:div w:id="2013407388">
      <w:bodyDiv w:val="1"/>
      <w:marLeft w:val="0"/>
      <w:marRight w:val="0"/>
      <w:marTop w:val="0"/>
      <w:marBottom w:val="0"/>
      <w:divBdr>
        <w:top w:val="none" w:sz="0" w:space="0" w:color="auto"/>
        <w:left w:val="none" w:sz="0" w:space="0" w:color="auto"/>
        <w:bottom w:val="none" w:sz="0" w:space="0" w:color="auto"/>
        <w:right w:val="none" w:sz="0" w:space="0" w:color="auto"/>
      </w:divBdr>
      <w:divsChild>
        <w:div w:id="836116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650134">
      <w:bodyDiv w:val="1"/>
      <w:marLeft w:val="0"/>
      <w:marRight w:val="0"/>
      <w:marTop w:val="0"/>
      <w:marBottom w:val="0"/>
      <w:divBdr>
        <w:top w:val="none" w:sz="0" w:space="0" w:color="auto"/>
        <w:left w:val="none" w:sz="0" w:space="0" w:color="auto"/>
        <w:bottom w:val="none" w:sz="0" w:space="0" w:color="auto"/>
        <w:right w:val="none" w:sz="0" w:space="0" w:color="auto"/>
      </w:divBdr>
      <w:divsChild>
        <w:div w:id="688793773">
          <w:marLeft w:val="0"/>
          <w:marRight w:val="0"/>
          <w:marTop w:val="0"/>
          <w:marBottom w:val="0"/>
          <w:divBdr>
            <w:top w:val="none" w:sz="0" w:space="0" w:color="auto"/>
            <w:left w:val="none" w:sz="0" w:space="0" w:color="auto"/>
            <w:bottom w:val="none" w:sz="0" w:space="0" w:color="auto"/>
            <w:right w:val="none" w:sz="0" w:space="0" w:color="auto"/>
          </w:divBdr>
          <w:divsChild>
            <w:div w:id="1394350913">
              <w:marLeft w:val="0"/>
              <w:marRight w:val="0"/>
              <w:marTop w:val="0"/>
              <w:marBottom w:val="0"/>
              <w:divBdr>
                <w:top w:val="none" w:sz="0" w:space="0" w:color="auto"/>
                <w:left w:val="none" w:sz="0" w:space="0" w:color="auto"/>
                <w:bottom w:val="none" w:sz="0" w:space="0" w:color="auto"/>
                <w:right w:val="none" w:sz="0" w:space="0" w:color="auto"/>
              </w:divBdr>
              <w:divsChild>
                <w:div w:id="173419365">
                  <w:marLeft w:val="0"/>
                  <w:marRight w:val="0"/>
                  <w:marTop w:val="0"/>
                  <w:marBottom w:val="0"/>
                  <w:divBdr>
                    <w:top w:val="none" w:sz="0" w:space="0" w:color="auto"/>
                    <w:left w:val="none" w:sz="0" w:space="0" w:color="auto"/>
                    <w:bottom w:val="none" w:sz="0" w:space="0" w:color="auto"/>
                    <w:right w:val="none" w:sz="0" w:space="0" w:color="auto"/>
                  </w:divBdr>
                  <w:divsChild>
                    <w:div w:id="996692174">
                      <w:marLeft w:val="0"/>
                      <w:marRight w:val="0"/>
                      <w:marTop w:val="0"/>
                      <w:marBottom w:val="0"/>
                      <w:divBdr>
                        <w:top w:val="none" w:sz="0" w:space="0" w:color="auto"/>
                        <w:left w:val="none" w:sz="0" w:space="0" w:color="auto"/>
                        <w:bottom w:val="none" w:sz="0" w:space="0" w:color="auto"/>
                        <w:right w:val="none" w:sz="0" w:space="0" w:color="auto"/>
                      </w:divBdr>
                      <w:divsChild>
                        <w:div w:id="1027829032">
                          <w:marLeft w:val="0"/>
                          <w:marRight w:val="0"/>
                          <w:marTop w:val="0"/>
                          <w:marBottom w:val="0"/>
                          <w:divBdr>
                            <w:top w:val="none" w:sz="0" w:space="0" w:color="auto"/>
                            <w:left w:val="none" w:sz="0" w:space="0" w:color="auto"/>
                            <w:bottom w:val="none" w:sz="0" w:space="0" w:color="auto"/>
                            <w:right w:val="none" w:sz="0" w:space="0" w:color="auto"/>
                          </w:divBdr>
                          <w:divsChild>
                            <w:div w:id="1559587355">
                              <w:marLeft w:val="0"/>
                              <w:marRight w:val="0"/>
                              <w:marTop w:val="0"/>
                              <w:marBottom w:val="0"/>
                              <w:divBdr>
                                <w:top w:val="none" w:sz="0" w:space="0" w:color="auto"/>
                                <w:left w:val="none" w:sz="0" w:space="0" w:color="auto"/>
                                <w:bottom w:val="none" w:sz="0" w:space="0" w:color="auto"/>
                                <w:right w:val="none" w:sz="0" w:space="0" w:color="auto"/>
                              </w:divBdr>
                              <w:divsChild>
                                <w:div w:id="1681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391957">
          <w:marLeft w:val="0"/>
          <w:marRight w:val="0"/>
          <w:marTop w:val="0"/>
          <w:marBottom w:val="0"/>
          <w:divBdr>
            <w:top w:val="none" w:sz="0" w:space="0" w:color="auto"/>
            <w:left w:val="none" w:sz="0" w:space="0" w:color="auto"/>
            <w:bottom w:val="none" w:sz="0" w:space="0" w:color="auto"/>
            <w:right w:val="none" w:sz="0" w:space="0" w:color="auto"/>
          </w:divBdr>
          <w:divsChild>
            <w:div w:id="1040787974">
              <w:marLeft w:val="0"/>
              <w:marRight w:val="0"/>
              <w:marTop w:val="0"/>
              <w:marBottom w:val="0"/>
              <w:divBdr>
                <w:top w:val="none" w:sz="0" w:space="0" w:color="auto"/>
                <w:left w:val="none" w:sz="0" w:space="0" w:color="auto"/>
                <w:bottom w:val="none" w:sz="0" w:space="0" w:color="auto"/>
                <w:right w:val="none" w:sz="0" w:space="0" w:color="auto"/>
              </w:divBdr>
              <w:divsChild>
                <w:div w:id="222064166">
                  <w:marLeft w:val="0"/>
                  <w:marRight w:val="0"/>
                  <w:marTop w:val="0"/>
                  <w:marBottom w:val="0"/>
                  <w:divBdr>
                    <w:top w:val="none" w:sz="0" w:space="0" w:color="auto"/>
                    <w:left w:val="none" w:sz="0" w:space="0" w:color="auto"/>
                    <w:bottom w:val="none" w:sz="0" w:space="0" w:color="auto"/>
                    <w:right w:val="none" w:sz="0" w:space="0" w:color="auto"/>
                  </w:divBdr>
                  <w:divsChild>
                    <w:div w:id="3210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6194">
      <w:bodyDiv w:val="1"/>
      <w:marLeft w:val="0"/>
      <w:marRight w:val="0"/>
      <w:marTop w:val="0"/>
      <w:marBottom w:val="0"/>
      <w:divBdr>
        <w:top w:val="none" w:sz="0" w:space="0" w:color="auto"/>
        <w:left w:val="none" w:sz="0" w:space="0" w:color="auto"/>
        <w:bottom w:val="none" w:sz="0" w:space="0" w:color="auto"/>
        <w:right w:val="none" w:sz="0" w:space="0" w:color="auto"/>
      </w:divBdr>
    </w:div>
    <w:div w:id="21199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lpueblo.com/notas/Visita-Meade-a-Maru-para-analizar-indic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BF4E8-057A-41FC-8FA4-40A29B58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1713</Words>
  <Characters>9427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Brenda Sarahi Gonzalez Dominguez</cp:lastModifiedBy>
  <cp:revision>2</cp:revision>
  <cp:lastPrinted>2023-04-21T17:01:00Z</cp:lastPrinted>
  <dcterms:created xsi:type="dcterms:W3CDTF">2023-04-24T14:52:00Z</dcterms:created>
  <dcterms:modified xsi:type="dcterms:W3CDTF">2023-04-24T14:52:00Z</dcterms:modified>
</cp:coreProperties>
</file>