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80306" w14:textId="77777777" w:rsidR="00DE7394" w:rsidRDefault="002C71D6">
      <w:pPr>
        <w:spacing w:line="360" w:lineRule="auto"/>
        <w:rPr>
          <w:sz w:val="24"/>
          <w:szCs w:val="24"/>
        </w:rPr>
      </w:pPr>
      <w:r>
        <w:rPr>
          <w:b/>
          <w:sz w:val="24"/>
          <w:szCs w:val="24"/>
        </w:rPr>
        <w:t>H. CONGRESO DEL ESTADO DE CHIHUAHUA</w:t>
      </w:r>
    </w:p>
    <w:p w14:paraId="0338B41B" w14:textId="77777777" w:rsidR="00DE7394" w:rsidRDefault="002C71D6">
      <w:pPr>
        <w:spacing w:line="360" w:lineRule="auto"/>
        <w:rPr>
          <w:sz w:val="24"/>
          <w:szCs w:val="24"/>
        </w:rPr>
      </w:pPr>
      <w:r>
        <w:rPr>
          <w:b/>
          <w:sz w:val="24"/>
          <w:szCs w:val="24"/>
        </w:rPr>
        <w:t>P R E S E N T E.-</w:t>
      </w:r>
    </w:p>
    <w:p w14:paraId="316228C1" w14:textId="77777777" w:rsidR="00DE7394" w:rsidRDefault="002C71D6">
      <w:pPr>
        <w:spacing w:line="360" w:lineRule="auto"/>
        <w:rPr>
          <w:sz w:val="24"/>
          <w:szCs w:val="24"/>
        </w:rPr>
      </w:pPr>
      <w:r>
        <w:rPr>
          <w:i/>
          <w:sz w:val="24"/>
          <w:szCs w:val="24"/>
        </w:rPr>
        <w:t> </w:t>
      </w:r>
    </w:p>
    <w:p w14:paraId="1DC24FC1" w14:textId="2B42AB0F" w:rsidR="00DE7394" w:rsidRDefault="002C71D6">
      <w:pPr>
        <w:spacing w:line="360" w:lineRule="auto"/>
        <w:ind w:firstLine="720"/>
        <w:jc w:val="both"/>
        <w:rPr>
          <w:b/>
          <w:sz w:val="24"/>
          <w:szCs w:val="24"/>
        </w:rPr>
      </w:pPr>
      <w:r>
        <w:rPr>
          <w:sz w:val="24"/>
          <w:szCs w:val="24"/>
        </w:rPr>
        <w:t xml:space="preserve">La Suscrita, Marisela Terrazas Muñoz en mi carácter de diputada de la LXVII Legislatura del H. Congreso del Estado y en representación del Grupo Parlamentario del Partido Acción Nacional, con fundamento en lo que dispone los artículos 167, fracción I, y 169, todos de la Ley Orgánica del Poder Legislativo del Estado de Chihuahua; artículo 2, fracción IX, del Reglamento Interior y de Prácticas Parlamentarias del Poder Legislativo; comparezco  ante este Honorable Soberanía, a fin de </w:t>
      </w:r>
      <w:r w:rsidRPr="00ED1EDA">
        <w:rPr>
          <w:sz w:val="24"/>
          <w:szCs w:val="24"/>
        </w:rPr>
        <w:t xml:space="preserve">presentar </w:t>
      </w:r>
      <w:r w:rsidR="00B10D41" w:rsidRPr="00B10D41">
        <w:rPr>
          <w:b/>
          <w:bCs/>
          <w:color w:val="000000"/>
          <w:sz w:val="24"/>
          <w:szCs w:val="24"/>
        </w:rPr>
        <w:t xml:space="preserve">Proposición con carácter de punto de acuerdo, por la que se </w:t>
      </w:r>
      <w:r w:rsidR="00B10D41">
        <w:rPr>
          <w:b/>
          <w:bCs/>
          <w:color w:val="000000"/>
          <w:sz w:val="24"/>
          <w:szCs w:val="24"/>
        </w:rPr>
        <w:t>exhorta</w:t>
      </w:r>
      <w:r w:rsidR="00B10D41" w:rsidRPr="00B10D41">
        <w:rPr>
          <w:b/>
          <w:bCs/>
          <w:color w:val="000000"/>
          <w:sz w:val="24"/>
          <w:szCs w:val="24"/>
        </w:rPr>
        <w:t xml:space="preserve"> a la Cámara de Diputados del H. Congreso de la Unión, para que</w:t>
      </w:r>
      <w:r w:rsidR="00B10D41">
        <w:rPr>
          <w:b/>
          <w:bCs/>
          <w:color w:val="000000"/>
          <w:sz w:val="24"/>
          <w:szCs w:val="24"/>
        </w:rPr>
        <w:t xml:space="preserve"> </w:t>
      </w:r>
      <w:r w:rsidR="00B10D41" w:rsidRPr="00B10D41">
        <w:rPr>
          <w:b/>
          <w:bCs/>
          <w:color w:val="000000"/>
          <w:sz w:val="24"/>
          <w:szCs w:val="24"/>
        </w:rPr>
        <w:t xml:space="preserve">se abstenga de </w:t>
      </w:r>
      <w:r w:rsidR="00B10D41">
        <w:rPr>
          <w:b/>
          <w:bCs/>
          <w:color w:val="000000"/>
          <w:sz w:val="24"/>
          <w:szCs w:val="24"/>
        </w:rPr>
        <w:t>aprobar cualquier</w:t>
      </w:r>
      <w:r w:rsidR="00B10D41" w:rsidRPr="00B10D41">
        <w:rPr>
          <w:b/>
          <w:bCs/>
          <w:color w:val="000000"/>
          <w:sz w:val="24"/>
          <w:szCs w:val="24"/>
        </w:rPr>
        <w:t xml:space="preserve"> reserva </w:t>
      </w:r>
      <w:r w:rsidR="00B10D41">
        <w:rPr>
          <w:b/>
          <w:bCs/>
          <w:color w:val="000000"/>
          <w:sz w:val="24"/>
          <w:szCs w:val="24"/>
        </w:rPr>
        <w:t>inherente a eliminar la garantía</w:t>
      </w:r>
      <w:r w:rsidR="00B10D41" w:rsidRPr="00B10D41">
        <w:rPr>
          <w:b/>
          <w:bCs/>
          <w:color w:val="000000"/>
          <w:sz w:val="24"/>
          <w:szCs w:val="24"/>
        </w:rPr>
        <w:t xml:space="preserve"> </w:t>
      </w:r>
      <w:r w:rsidR="00B10D41">
        <w:rPr>
          <w:b/>
          <w:bCs/>
          <w:color w:val="000000"/>
          <w:sz w:val="24"/>
          <w:szCs w:val="24"/>
        </w:rPr>
        <w:t>de</w:t>
      </w:r>
      <w:r w:rsidR="00B10D41" w:rsidRPr="00B10D41">
        <w:rPr>
          <w:b/>
          <w:bCs/>
          <w:color w:val="000000"/>
          <w:sz w:val="24"/>
          <w:szCs w:val="24"/>
        </w:rPr>
        <w:t xml:space="preserve"> suficiencia presupuestal para los Centros de Justicia para las Mujeres</w:t>
      </w:r>
      <w:r w:rsidR="00B10D41">
        <w:rPr>
          <w:b/>
          <w:bCs/>
          <w:color w:val="000000"/>
          <w:sz w:val="24"/>
          <w:szCs w:val="24"/>
        </w:rPr>
        <w:t xml:space="preserve"> en el proyecto de reforma de la Ley General de Acceso de las Mujeres a una Vida Libre de Violencia</w:t>
      </w:r>
      <w:r w:rsidRPr="00ED1EDA">
        <w:rPr>
          <w:b/>
          <w:sz w:val="24"/>
          <w:szCs w:val="24"/>
        </w:rPr>
        <w:t xml:space="preserve">, </w:t>
      </w:r>
      <w:r w:rsidRPr="00ED1EDA">
        <w:rPr>
          <w:sz w:val="24"/>
          <w:szCs w:val="24"/>
        </w:rPr>
        <w:t>lo anterior conforme</w:t>
      </w:r>
      <w:r>
        <w:rPr>
          <w:sz w:val="24"/>
          <w:szCs w:val="24"/>
        </w:rPr>
        <w:t xml:space="preserve"> a la siguiente:</w:t>
      </w:r>
    </w:p>
    <w:p w14:paraId="427A6F36" w14:textId="77777777" w:rsidR="00DE7394" w:rsidRDefault="00DE7394">
      <w:pPr>
        <w:spacing w:line="360" w:lineRule="auto"/>
        <w:jc w:val="both"/>
        <w:rPr>
          <w:sz w:val="24"/>
          <w:szCs w:val="24"/>
        </w:rPr>
      </w:pPr>
    </w:p>
    <w:p w14:paraId="6E094B1F" w14:textId="77777777" w:rsidR="00DE7394" w:rsidRDefault="002C71D6" w:rsidP="00336CC9">
      <w:pPr>
        <w:spacing w:after="160" w:line="360" w:lineRule="auto"/>
        <w:jc w:val="center"/>
        <w:rPr>
          <w:sz w:val="24"/>
          <w:szCs w:val="24"/>
        </w:rPr>
      </w:pPr>
      <w:r>
        <w:rPr>
          <w:b/>
          <w:sz w:val="24"/>
          <w:szCs w:val="24"/>
        </w:rPr>
        <w:t>EXPOSICIÓN DE MOTIVOS:</w:t>
      </w:r>
    </w:p>
    <w:p w14:paraId="7593E2AA" w14:textId="77777777" w:rsidR="00DE7394" w:rsidRDefault="002C71D6">
      <w:pPr>
        <w:spacing w:after="160" w:line="360" w:lineRule="auto"/>
        <w:ind w:firstLine="720"/>
        <w:jc w:val="both"/>
        <w:rPr>
          <w:sz w:val="24"/>
          <w:szCs w:val="24"/>
        </w:rPr>
      </w:pPr>
      <w:r>
        <w:rPr>
          <w:sz w:val="24"/>
          <w:szCs w:val="24"/>
        </w:rPr>
        <w:t>A nivel internacional y nacional, existe un amplio marco normativo para el abordaje integral de la violencia de género contra las mujeres. Entre los instrumentos nacionales, se cuenta con leyes tan específicas como la Ley General para la Igualdad entre Mujeres y Hombres y la Ley General de Acceso de las Mujeres a una Vida Libre de Violencia y otras normas más amplias como la Ley General para la Prevención Social de la Violencia y la Delincuencia y la Ley General del Sistema Nacional de Seguridad Pública.</w:t>
      </w:r>
    </w:p>
    <w:p w14:paraId="456B7E15" w14:textId="77777777" w:rsidR="00DE7394" w:rsidRDefault="002C71D6">
      <w:pPr>
        <w:spacing w:after="160" w:line="360" w:lineRule="auto"/>
        <w:ind w:firstLine="720"/>
        <w:jc w:val="both"/>
        <w:rPr>
          <w:sz w:val="24"/>
          <w:szCs w:val="24"/>
        </w:rPr>
      </w:pPr>
      <w:r>
        <w:rPr>
          <w:sz w:val="24"/>
          <w:szCs w:val="24"/>
        </w:rPr>
        <w:t xml:space="preserve">Actualmente en la Cámara de Diputados del Congreso de la Unión se están discutiendo una serie de reformas y adiciones a diversas disposiciones de la Ley </w:t>
      </w:r>
      <w:r>
        <w:rPr>
          <w:sz w:val="24"/>
          <w:szCs w:val="24"/>
        </w:rPr>
        <w:lastRenderedPageBreak/>
        <w:t>General de Acceso de las Mujeres a una Vida Libre de Violencia, con el objetivo de regular los Centros de Justicia para las Mujeres, que son una de las políticas públicas más exitosas que da respuesta a las obligaciones en materia de atención y prevención contra las mujeres, así como atender diversas recomendaciones internacionales formuladas al Estado Mexicano en la materia.</w:t>
      </w:r>
    </w:p>
    <w:p w14:paraId="47D0BBE1" w14:textId="08369ADF" w:rsidR="00DE7394" w:rsidRDefault="002C71D6">
      <w:pPr>
        <w:spacing w:after="160" w:line="360" w:lineRule="auto"/>
        <w:ind w:firstLine="720"/>
        <w:jc w:val="both"/>
        <w:rPr>
          <w:sz w:val="24"/>
          <w:szCs w:val="24"/>
        </w:rPr>
      </w:pPr>
      <w:r>
        <w:rPr>
          <w:sz w:val="24"/>
          <w:szCs w:val="24"/>
        </w:rPr>
        <w:t xml:space="preserve">Para nuestra sorpresa, hace </w:t>
      </w:r>
      <w:r w:rsidR="002F74BF">
        <w:rPr>
          <w:sz w:val="24"/>
          <w:szCs w:val="24"/>
        </w:rPr>
        <w:t>una semana</w:t>
      </w:r>
      <w:r>
        <w:rPr>
          <w:sz w:val="24"/>
          <w:szCs w:val="24"/>
        </w:rPr>
        <w:t xml:space="preserve"> en la Cámara de Diputados del Congreso de la Unión surgió una gran disputa luego de que legisladoras de MORENA, respaldadas por toda su bancada, evidenciaron su incongruencia al querer arrebatarle el presupuesto destinado a los Centros de Justicia para las Mujeres. </w:t>
      </w:r>
    </w:p>
    <w:p w14:paraId="2DC46ED2" w14:textId="77777777" w:rsidR="00DE7394" w:rsidRDefault="002C71D6">
      <w:pPr>
        <w:spacing w:after="160" w:line="360" w:lineRule="auto"/>
        <w:ind w:firstLine="720"/>
        <w:jc w:val="both"/>
        <w:rPr>
          <w:b/>
          <w:i/>
          <w:sz w:val="24"/>
          <w:szCs w:val="24"/>
        </w:rPr>
      </w:pPr>
      <w:r>
        <w:rPr>
          <w:sz w:val="24"/>
          <w:szCs w:val="24"/>
        </w:rPr>
        <w:t xml:space="preserve">Según el fundamento de los legisladores de MORENA era que “todos los Centros de Justicia para las Mujeres ya cuentan con un presupuesto para su operación y que no era ni es necesario incluir nuevas disposiciones presupuestales de la reforma que nos ocupa”. </w:t>
      </w:r>
      <w:r>
        <w:rPr>
          <w:b/>
          <w:i/>
          <w:sz w:val="24"/>
          <w:szCs w:val="24"/>
        </w:rPr>
        <w:t>Afirmaron que no encontraban que el artículo sobre la asignación del presupuesto fuera necesario incluirlo, que porque ya hay asignaciones presupuestales. “Incongruentes” es una forma de llamarle a estos actos.</w:t>
      </w:r>
      <w:r>
        <w:rPr>
          <w:b/>
          <w:i/>
          <w:sz w:val="24"/>
          <w:szCs w:val="24"/>
          <w:vertAlign w:val="superscript"/>
        </w:rPr>
        <w:footnoteReference w:id="1"/>
      </w:r>
      <w:r>
        <w:rPr>
          <w:b/>
          <w:i/>
          <w:sz w:val="24"/>
          <w:szCs w:val="24"/>
        </w:rPr>
        <w:t xml:space="preserve"> </w:t>
      </w:r>
    </w:p>
    <w:p w14:paraId="63DC3E16" w14:textId="77777777" w:rsidR="00DE7394" w:rsidRDefault="002C71D6">
      <w:pPr>
        <w:spacing w:after="160" w:line="360" w:lineRule="auto"/>
        <w:ind w:firstLine="720"/>
        <w:jc w:val="both"/>
        <w:rPr>
          <w:sz w:val="24"/>
          <w:szCs w:val="24"/>
        </w:rPr>
      </w:pPr>
      <w:r>
        <w:rPr>
          <w:sz w:val="24"/>
          <w:szCs w:val="24"/>
        </w:rPr>
        <w:t xml:space="preserve">El Estado Mexicano tiene la </w:t>
      </w:r>
      <w:r>
        <w:rPr>
          <w:b/>
          <w:sz w:val="24"/>
          <w:szCs w:val="24"/>
          <w:u w:val="single"/>
        </w:rPr>
        <w:t xml:space="preserve">obligación </w:t>
      </w:r>
      <w:r>
        <w:rPr>
          <w:sz w:val="24"/>
          <w:szCs w:val="24"/>
        </w:rPr>
        <w:t>de proteger a las mujeres –</w:t>
      </w:r>
      <w:proofErr w:type="gramStart"/>
      <w:r>
        <w:rPr>
          <w:sz w:val="24"/>
          <w:szCs w:val="24"/>
        </w:rPr>
        <w:t>que</w:t>
      </w:r>
      <w:proofErr w:type="gramEnd"/>
      <w:r>
        <w:rPr>
          <w:sz w:val="24"/>
          <w:szCs w:val="24"/>
        </w:rPr>
        <w:t xml:space="preserve"> por cierto, representan más de la mitad de la población–, pero viene MORENA a querer eliminar el artículo donde se garantiza la suficiencia presupuestal para los centros de justicia de las entidades federativas que se encargan de la atención y prevención de violencia contra las mujeres. </w:t>
      </w:r>
    </w:p>
    <w:p w14:paraId="1346BCFE" w14:textId="77777777" w:rsidR="00DE7394" w:rsidRDefault="002C71D6">
      <w:pPr>
        <w:spacing w:after="160" w:line="360" w:lineRule="auto"/>
        <w:ind w:firstLine="720"/>
        <w:jc w:val="both"/>
        <w:rPr>
          <w:i/>
          <w:sz w:val="24"/>
          <w:szCs w:val="24"/>
          <w:highlight w:val="yellow"/>
          <w:vertAlign w:val="superscript"/>
        </w:rPr>
      </w:pPr>
      <w:r>
        <w:rPr>
          <w:sz w:val="24"/>
          <w:szCs w:val="24"/>
        </w:rPr>
        <w:lastRenderedPageBreak/>
        <w:t xml:space="preserve">Los Centros de Justicia para las Mujeres, CEJUM, surgen para garantizar el acceso a la justicia a las mujeres y a sus familias en situación de violencia. En estos centros se les brinda una atención integral desde la perspectiva de género, derechos humanos, intercultural, diferencial e interseccional, con la finalidad de promover y garantizar su acceso a la justicia, el ejercicio pleno de sus derechos humanos y su empoderamiento. Sin presupuesto, un CEJUM es una política sin capacidad de respuesta. </w:t>
      </w:r>
      <w:r>
        <w:rPr>
          <w:b/>
          <w:sz w:val="24"/>
          <w:szCs w:val="24"/>
        </w:rPr>
        <w:t>Se requiere y exigimos presupuesto para la prevención y reacción frente a la violencia de este sector y sus familias</w:t>
      </w:r>
      <w:r>
        <w:rPr>
          <w:sz w:val="24"/>
          <w:szCs w:val="24"/>
        </w:rPr>
        <w:t xml:space="preserve">. </w:t>
      </w:r>
    </w:p>
    <w:p w14:paraId="1BCD1E70" w14:textId="77777777" w:rsidR="00DE7394" w:rsidRDefault="002C71D6">
      <w:pPr>
        <w:spacing w:after="160" w:line="360" w:lineRule="auto"/>
        <w:ind w:firstLine="720"/>
        <w:jc w:val="both"/>
        <w:rPr>
          <w:sz w:val="24"/>
          <w:szCs w:val="24"/>
        </w:rPr>
      </w:pPr>
      <w:r>
        <w:rPr>
          <w:sz w:val="24"/>
          <w:szCs w:val="24"/>
        </w:rPr>
        <w:t>Espero, compañeras y compañeros Diputados de MORENA, que en esta tribuna no tengan el descaro de argumentar que supuestamente se aumentó el presupuesto federal en cuánto a perspectiva de género y atención a mujeres, cuando solo se trata de una farsa. Incluir la perspectiva de género en el presupuesto implica destinar recursos necesarios para eliminar las desigualdades y violencias de género y en el Presupuesto de Egresos de la Federación para este año fiscal, el 51% de los recursos etiquetados para la igualdad de género corresponden a un solo programa, el Programa Pensión para el Bienestar de las Personas Adultas Mayores. Un programa que ni siquiera atiende las necesidades del 46.8% de la población que son mujeres menores de los 65 años.</w:t>
      </w:r>
    </w:p>
    <w:p w14:paraId="27157113" w14:textId="77777777" w:rsidR="00DE7394" w:rsidRDefault="002C71D6">
      <w:pPr>
        <w:shd w:val="clear" w:color="auto" w:fill="FFFFFF"/>
        <w:spacing w:after="220" w:line="360" w:lineRule="auto"/>
        <w:ind w:firstLine="720"/>
        <w:jc w:val="both"/>
        <w:rPr>
          <w:sz w:val="24"/>
          <w:szCs w:val="24"/>
        </w:rPr>
      </w:pPr>
      <w:r>
        <w:rPr>
          <w:sz w:val="24"/>
          <w:szCs w:val="24"/>
        </w:rPr>
        <w:t xml:space="preserve">El presupuesto federal para la igualdad entre hombres y mujeres está conformado principalmente por recursos dirigidos a los programas prioritarios federales, que entre sus objetivos no se encuentra el disminuir la desigualdad entre mujeres y hombres. Mientras que los programas que </w:t>
      </w:r>
      <w:r>
        <w:rPr>
          <w:b/>
          <w:sz w:val="24"/>
          <w:szCs w:val="24"/>
          <w:u w:val="single"/>
        </w:rPr>
        <w:t xml:space="preserve">sí </w:t>
      </w:r>
      <w:r>
        <w:rPr>
          <w:sz w:val="24"/>
          <w:szCs w:val="24"/>
        </w:rPr>
        <w:t xml:space="preserve">son para prevenir y atender </w:t>
      </w:r>
      <w:r>
        <w:rPr>
          <w:sz w:val="24"/>
          <w:szCs w:val="24"/>
        </w:rPr>
        <w:lastRenderedPageBreak/>
        <w:t>la violencia de género, la salud materna y diversos programas del INMUJERES o CEJUM, representan menos del 10% de dicho presupuesto</w:t>
      </w:r>
      <w:r>
        <w:rPr>
          <w:sz w:val="24"/>
          <w:szCs w:val="24"/>
          <w:vertAlign w:val="superscript"/>
        </w:rPr>
        <w:footnoteReference w:id="2"/>
      </w:r>
      <w:r>
        <w:rPr>
          <w:sz w:val="24"/>
          <w:szCs w:val="24"/>
        </w:rPr>
        <w:t xml:space="preserve">. </w:t>
      </w:r>
    </w:p>
    <w:p w14:paraId="7C9FBD31" w14:textId="77777777" w:rsidR="00DE7394" w:rsidRDefault="002C71D6">
      <w:pPr>
        <w:shd w:val="clear" w:color="auto" w:fill="FFFFFF"/>
        <w:spacing w:after="220" w:line="360" w:lineRule="auto"/>
        <w:ind w:firstLine="720"/>
        <w:jc w:val="both"/>
        <w:rPr>
          <w:sz w:val="24"/>
          <w:szCs w:val="24"/>
        </w:rPr>
      </w:pPr>
      <w:r>
        <w:rPr>
          <w:sz w:val="24"/>
          <w:szCs w:val="24"/>
        </w:rPr>
        <w:t>Pero como dijo la activista Eufrosina Cruz: “A las palabras se las lleva el viento, necesitamos acciones y presupuesto a favor de las mujeres”. Que lamentable esta situación, cómo es posible que MORENA tenga la bandera de defensor del pueblo y eliminen los recursos para tantas instituciones y programas necesarios para México.</w:t>
      </w:r>
    </w:p>
    <w:p w14:paraId="1729F218" w14:textId="7F3FE9E2" w:rsidR="00DE7394" w:rsidRDefault="002C71D6">
      <w:pPr>
        <w:spacing w:after="160" w:line="360" w:lineRule="auto"/>
        <w:ind w:firstLine="720"/>
        <w:jc w:val="both"/>
        <w:rPr>
          <w:sz w:val="24"/>
          <w:szCs w:val="24"/>
        </w:rPr>
      </w:pPr>
      <w:r>
        <w:rPr>
          <w:sz w:val="24"/>
          <w:szCs w:val="24"/>
        </w:rPr>
        <w:t>El Gobierno Federal ya no tiene vergüenza en reflejar su</w:t>
      </w:r>
      <w:r>
        <w:rPr>
          <w:b/>
          <w:sz w:val="24"/>
          <w:szCs w:val="24"/>
        </w:rPr>
        <w:t xml:space="preserve"> intención mañosa de debilitar a las instituciones y la impartición de justicia. </w:t>
      </w:r>
      <w:r>
        <w:rPr>
          <w:sz w:val="24"/>
          <w:szCs w:val="24"/>
        </w:rPr>
        <w:t xml:space="preserve"> Entorpecer al INAI, debilitar el INE, empobrecer a los CEJUM, destruir la selva por un tren, hacer de SEGALMEX una estafa multimillonaria, la desaparición del INM, de SIPINNA y tantos más… Parece que cada día hay un atentado más de MORENA contra México, contra las mujeres, contra </w:t>
      </w:r>
      <w:r w:rsidR="00336CC9">
        <w:rPr>
          <w:sz w:val="24"/>
          <w:szCs w:val="24"/>
        </w:rPr>
        <w:t>la niñez</w:t>
      </w:r>
      <w:r>
        <w:rPr>
          <w:sz w:val="24"/>
          <w:szCs w:val="24"/>
        </w:rPr>
        <w:t xml:space="preserve">, contra la seguridad, contra los migrantes, contra la transparencia y contra la democracia. Qué irónico. </w:t>
      </w:r>
    </w:p>
    <w:p w14:paraId="3F394EC5" w14:textId="77777777" w:rsidR="00DE7394" w:rsidRDefault="002C71D6">
      <w:pPr>
        <w:spacing w:before="200" w:after="200" w:line="360" w:lineRule="auto"/>
        <w:ind w:firstLine="700"/>
        <w:jc w:val="both"/>
        <w:rPr>
          <w:sz w:val="24"/>
          <w:szCs w:val="24"/>
          <w:highlight w:val="white"/>
        </w:rPr>
      </w:pPr>
      <w:r>
        <w:rPr>
          <w:sz w:val="24"/>
          <w:szCs w:val="24"/>
          <w:highlight w:val="white"/>
        </w:rPr>
        <w:t>Por lo anteriormente expuesto y fundado, pongo a consideración de esta Honorable Asamblea Legislativa la siguiente Proposición con carácter de Punto de Acuerdo con carácter de:</w:t>
      </w:r>
    </w:p>
    <w:p w14:paraId="148FC36C" w14:textId="77777777" w:rsidR="00DE7394" w:rsidRDefault="002C71D6">
      <w:pPr>
        <w:spacing w:before="240" w:after="240" w:line="360" w:lineRule="auto"/>
        <w:jc w:val="center"/>
        <w:rPr>
          <w:b/>
          <w:sz w:val="24"/>
          <w:szCs w:val="24"/>
          <w:highlight w:val="white"/>
        </w:rPr>
      </w:pPr>
      <w:r>
        <w:rPr>
          <w:b/>
          <w:sz w:val="24"/>
          <w:szCs w:val="24"/>
          <w:highlight w:val="white"/>
        </w:rPr>
        <w:t>ACUERDO</w:t>
      </w:r>
    </w:p>
    <w:p w14:paraId="6A48B044" w14:textId="7B1A5716" w:rsidR="00DE7394" w:rsidRDefault="002C71D6" w:rsidP="0056153D">
      <w:pPr>
        <w:spacing w:before="240" w:after="240" w:line="360" w:lineRule="auto"/>
        <w:ind w:firstLine="700"/>
        <w:jc w:val="both"/>
        <w:rPr>
          <w:sz w:val="24"/>
          <w:szCs w:val="24"/>
        </w:rPr>
      </w:pPr>
      <w:r>
        <w:rPr>
          <w:b/>
          <w:sz w:val="24"/>
          <w:szCs w:val="24"/>
        </w:rPr>
        <w:t xml:space="preserve">PRIMERO.- </w:t>
      </w:r>
      <w:r>
        <w:rPr>
          <w:sz w:val="24"/>
          <w:szCs w:val="24"/>
        </w:rPr>
        <w:t xml:space="preserve">La Sexagésima Séptima Legislatura del Estado de Chihuahua, exhorta respetuosamente a la Cámara de Diputados del Congreso de la Unión para que </w:t>
      </w:r>
      <w:r w:rsidR="0056153D">
        <w:rPr>
          <w:sz w:val="24"/>
          <w:szCs w:val="24"/>
        </w:rPr>
        <w:t xml:space="preserve">en la minuta con proyecto de decreto </w:t>
      </w:r>
      <w:r w:rsidR="0056153D" w:rsidRPr="0056153D">
        <w:rPr>
          <w:sz w:val="24"/>
          <w:szCs w:val="24"/>
        </w:rPr>
        <w:t xml:space="preserve">por el que se reforman y adicionan </w:t>
      </w:r>
      <w:r w:rsidR="0056153D" w:rsidRPr="0056153D">
        <w:rPr>
          <w:sz w:val="24"/>
          <w:szCs w:val="24"/>
        </w:rPr>
        <w:lastRenderedPageBreak/>
        <w:t>diversas disposiciones de la Ley General de Acceso de las Mujeres a una Vida Libre de Violencia</w:t>
      </w:r>
      <w:r w:rsidR="0056153D">
        <w:rPr>
          <w:sz w:val="24"/>
          <w:szCs w:val="24"/>
        </w:rPr>
        <w:t xml:space="preserve">, </w:t>
      </w:r>
      <w:r>
        <w:rPr>
          <w:sz w:val="24"/>
          <w:szCs w:val="24"/>
        </w:rPr>
        <w:t xml:space="preserve">se abstenga de </w:t>
      </w:r>
      <w:r w:rsidR="00B10D41">
        <w:rPr>
          <w:sz w:val="24"/>
          <w:szCs w:val="24"/>
        </w:rPr>
        <w:t>aprobar</w:t>
      </w:r>
      <w:r w:rsidR="0056153D">
        <w:rPr>
          <w:sz w:val="24"/>
          <w:szCs w:val="24"/>
        </w:rPr>
        <w:t xml:space="preserve"> la reserva de modificación </w:t>
      </w:r>
      <w:r w:rsidR="002A7FF0">
        <w:rPr>
          <w:sz w:val="24"/>
          <w:szCs w:val="24"/>
        </w:rPr>
        <w:t xml:space="preserve">presentada por MORENA </w:t>
      </w:r>
      <w:r w:rsidR="0056153D">
        <w:rPr>
          <w:sz w:val="24"/>
          <w:szCs w:val="24"/>
        </w:rPr>
        <w:t>de</w:t>
      </w:r>
      <w:r w:rsidR="002A7FF0">
        <w:rPr>
          <w:sz w:val="24"/>
          <w:szCs w:val="24"/>
        </w:rPr>
        <w:t xml:space="preserve">l </w:t>
      </w:r>
      <w:r>
        <w:rPr>
          <w:sz w:val="24"/>
          <w:szCs w:val="24"/>
        </w:rPr>
        <w:t xml:space="preserve">artículo 59 </w:t>
      </w:r>
      <w:proofErr w:type="spellStart"/>
      <w:r>
        <w:rPr>
          <w:sz w:val="24"/>
          <w:szCs w:val="24"/>
        </w:rPr>
        <w:t>nonies</w:t>
      </w:r>
      <w:proofErr w:type="spellEnd"/>
      <w:r>
        <w:rPr>
          <w:sz w:val="24"/>
          <w:szCs w:val="24"/>
        </w:rPr>
        <w:t xml:space="preserve"> de la Ley General de Acceso de las Mujeres a una Vida Libre de Violencia que garantiza la suficiencia presupuestal para los Centros de Justicia de para las Mujeres.</w:t>
      </w:r>
    </w:p>
    <w:p w14:paraId="019F1D17" w14:textId="77777777" w:rsidR="00DE7394" w:rsidRDefault="002C71D6">
      <w:pPr>
        <w:spacing w:before="240" w:after="240" w:line="360" w:lineRule="auto"/>
        <w:ind w:firstLine="700"/>
        <w:jc w:val="both"/>
        <w:rPr>
          <w:sz w:val="24"/>
          <w:szCs w:val="24"/>
          <w:highlight w:val="white"/>
        </w:rPr>
      </w:pPr>
      <w:r>
        <w:rPr>
          <w:b/>
          <w:sz w:val="24"/>
          <w:szCs w:val="24"/>
          <w:highlight w:val="white"/>
        </w:rPr>
        <w:t>ECONÓMICO.</w:t>
      </w:r>
      <w:r>
        <w:rPr>
          <w:sz w:val="24"/>
          <w:szCs w:val="24"/>
          <w:highlight w:val="white"/>
        </w:rPr>
        <w:t xml:space="preserve"> Aprobado que sea, </w:t>
      </w:r>
      <w:proofErr w:type="spellStart"/>
      <w:r>
        <w:rPr>
          <w:sz w:val="24"/>
          <w:szCs w:val="24"/>
          <w:highlight w:val="white"/>
        </w:rPr>
        <w:t>turnese</w:t>
      </w:r>
      <w:proofErr w:type="spellEnd"/>
      <w:r>
        <w:rPr>
          <w:sz w:val="24"/>
          <w:szCs w:val="24"/>
          <w:highlight w:val="white"/>
        </w:rPr>
        <w:t xml:space="preserve"> a la Secretaría para que elabore la Minuta de Acuerdo correspondiente. </w:t>
      </w:r>
    </w:p>
    <w:p w14:paraId="502B9C8C" w14:textId="4E0AFA4A" w:rsidR="00DE7394" w:rsidRDefault="002C71D6">
      <w:pPr>
        <w:spacing w:before="240" w:after="240" w:line="360" w:lineRule="auto"/>
        <w:ind w:firstLine="700"/>
        <w:jc w:val="both"/>
        <w:rPr>
          <w:sz w:val="24"/>
          <w:szCs w:val="24"/>
          <w:highlight w:val="white"/>
        </w:rPr>
      </w:pPr>
      <w:r>
        <w:rPr>
          <w:b/>
          <w:sz w:val="24"/>
          <w:szCs w:val="24"/>
          <w:highlight w:val="white"/>
        </w:rPr>
        <w:t>D A D O</w:t>
      </w:r>
      <w:r>
        <w:rPr>
          <w:sz w:val="24"/>
          <w:szCs w:val="24"/>
          <w:highlight w:val="white"/>
        </w:rPr>
        <w:t xml:space="preserve"> en el Salón de Sesiones del Poder Legislativo, en la ciudad de Chihuahua, a los 2</w:t>
      </w:r>
      <w:r w:rsidR="009C5E9A">
        <w:rPr>
          <w:sz w:val="24"/>
          <w:szCs w:val="24"/>
          <w:highlight w:val="white"/>
        </w:rPr>
        <w:t>5</w:t>
      </w:r>
      <w:r>
        <w:rPr>
          <w:sz w:val="24"/>
          <w:szCs w:val="24"/>
          <w:highlight w:val="white"/>
        </w:rPr>
        <w:t xml:space="preserve"> días del mes de abril de 2023.</w:t>
      </w:r>
    </w:p>
    <w:p w14:paraId="07023142" w14:textId="6FFC5B15" w:rsidR="00DE7394" w:rsidRDefault="002C71D6" w:rsidP="004311AB">
      <w:pPr>
        <w:spacing w:before="240" w:after="240" w:line="360" w:lineRule="auto"/>
        <w:jc w:val="center"/>
        <w:rPr>
          <w:b/>
          <w:sz w:val="24"/>
          <w:szCs w:val="24"/>
          <w:highlight w:val="white"/>
        </w:rPr>
      </w:pPr>
      <w:r>
        <w:rPr>
          <w:b/>
          <w:sz w:val="24"/>
          <w:szCs w:val="24"/>
          <w:highlight w:val="white"/>
        </w:rPr>
        <w:t>A T E N T A M E N T E</w:t>
      </w:r>
    </w:p>
    <w:p w14:paraId="3F3F1942" w14:textId="77777777" w:rsidR="004311AB" w:rsidRPr="004311AB" w:rsidRDefault="004311AB" w:rsidP="004311AB">
      <w:pPr>
        <w:spacing w:before="240" w:after="240" w:line="360" w:lineRule="auto"/>
        <w:jc w:val="center"/>
        <w:rPr>
          <w:b/>
          <w:sz w:val="4"/>
          <w:szCs w:val="4"/>
          <w:highlight w:val="white"/>
        </w:rPr>
      </w:pPr>
    </w:p>
    <w:p w14:paraId="7A28687F" w14:textId="77777777" w:rsidR="00DE7394" w:rsidRDefault="002C71D6">
      <w:pPr>
        <w:spacing w:before="240" w:line="240" w:lineRule="auto"/>
        <w:jc w:val="center"/>
        <w:rPr>
          <w:b/>
          <w:sz w:val="24"/>
          <w:szCs w:val="24"/>
          <w:highlight w:val="white"/>
        </w:rPr>
      </w:pPr>
      <w:r>
        <w:rPr>
          <w:b/>
          <w:highlight w:val="white"/>
        </w:rPr>
        <w:t>_______________________________</w:t>
      </w:r>
    </w:p>
    <w:p w14:paraId="0B1B660D" w14:textId="397772A0" w:rsidR="00DE7394" w:rsidRPr="004311AB" w:rsidRDefault="002C71D6" w:rsidP="004311AB">
      <w:pPr>
        <w:shd w:val="clear" w:color="auto" w:fill="FFFFFF"/>
        <w:spacing w:before="240" w:after="240" w:line="360" w:lineRule="auto"/>
        <w:jc w:val="center"/>
        <w:rPr>
          <w:rFonts w:ascii="Times New Roman" w:eastAsia="Times New Roman" w:hAnsi="Times New Roman" w:cs="Times New Roman"/>
          <w:sz w:val="24"/>
          <w:szCs w:val="24"/>
          <w:highlight w:val="white"/>
        </w:rPr>
      </w:pPr>
      <w:proofErr w:type="spellStart"/>
      <w:r>
        <w:rPr>
          <w:b/>
          <w:sz w:val="24"/>
          <w:szCs w:val="24"/>
          <w:highlight w:val="white"/>
        </w:rPr>
        <w:t>Dip</w:t>
      </w:r>
      <w:proofErr w:type="spellEnd"/>
      <w:r>
        <w:rPr>
          <w:b/>
          <w:sz w:val="24"/>
          <w:szCs w:val="24"/>
          <w:highlight w:val="white"/>
        </w:rPr>
        <w:t>. Marisela Terrazas Muñoz</w:t>
      </w:r>
      <w:r>
        <w:rPr>
          <w:rFonts w:ascii="Times New Roman" w:eastAsia="Times New Roman" w:hAnsi="Times New Roman" w:cs="Times New Roman"/>
          <w:sz w:val="24"/>
          <w:szCs w:val="24"/>
          <w:highlight w:val="white"/>
        </w:rPr>
        <w:t xml:space="preserve"> </w:t>
      </w:r>
    </w:p>
    <w:tbl>
      <w:tblPr>
        <w:tblStyle w:val="a"/>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75"/>
        <w:gridCol w:w="4305"/>
      </w:tblGrid>
      <w:tr w:rsidR="00DE7394" w14:paraId="002F8824" w14:textId="77777777">
        <w:trPr>
          <w:trHeight w:val="1305"/>
        </w:trPr>
        <w:tc>
          <w:tcPr>
            <w:tcW w:w="4575" w:type="dxa"/>
            <w:tcBorders>
              <w:top w:val="nil"/>
              <w:left w:val="nil"/>
              <w:bottom w:val="nil"/>
              <w:right w:val="nil"/>
            </w:tcBorders>
            <w:tcMar>
              <w:top w:w="100" w:type="dxa"/>
              <w:left w:w="120" w:type="dxa"/>
              <w:bottom w:w="100" w:type="dxa"/>
              <w:right w:w="120" w:type="dxa"/>
            </w:tcMar>
          </w:tcPr>
          <w:p w14:paraId="3526BCE4" w14:textId="77777777" w:rsidR="00DE7394" w:rsidRPr="00B53384" w:rsidRDefault="002C71D6" w:rsidP="004311AB">
            <w:pPr>
              <w:spacing w:before="240" w:line="240" w:lineRule="auto"/>
              <w:jc w:val="center"/>
              <w:rPr>
                <w:b/>
                <w:highlight w:val="white"/>
              </w:rPr>
            </w:pPr>
            <w:r w:rsidRPr="00B53384">
              <w:rPr>
                <w:b/>
                <w:highlight w:val="white"/>
              </w:rPr>
              <w:t>_______________________________</w:t>
            </w:r>
          </w:p>
          <w:p w14:paraId="2A294B33" w14:textId="77777777" w:rsidR="00DE7394" w:rsidRPr="00B53384" w:rsidRDefault="002C71D6" w:rsidP="004311AB">
            <w:pPr>
              <w:spacing w:before="240" w:line="360" w:lineRule="auto"/>
              <w:jc w:val="center"/>
              <w:rPr>
                <w:b/>
                <w:highlight w:val="white"/>
              </w:rPr>
            </w:pPr>
            <w:proofErr w:type="spellStart"/>
            <w:r w:rsidRPr="00B53384">
              <w:rPr>
                <w:b/>
                <w:highlight w:val="white"/>
              </w:rPr>
              <w:t>Dip</w:t>
            </w:r>
            <w:proofErr w:type="spellEnd"/>
            <w:r w:rsidRPr="00B53384">
              <w:rPr>
                <w:b/>
                <w:highlight w:val="white"/>
              </w:rPr>
              <w:t>. Ismael Pérez Pavía</w:t>
            </w:r>
          </w:p>
        </w:tc>
        <w:tc>
          <w:tcPr>
            <w:tcW w:w="4305" w:type="dxa"/>
            <w:tcBorders>
              <w:top w:val="nil"/>
              <w:left w:val="nil"/>
              <w:bottom w:val="nil"/>
              <w:right w:val="nil"/>
            </w:tcBorders>
            <w:tcMar>
              <w:top w:w="100" w:type="dxa"/>
              <w:left w:w="120" w:type="dxa"/>
              <w:bottom w:w="100" w:type="dxa"/>
              <w:right w:w="120" w:type="dxa"/>
            </w:tcMar>
          </w:tcPr>
          <w:p w14:paraId="0D36AB3D" w14:textId="77777777" w:rsidR="00DE7394" w:rsidRPr="00B53384" w:rsidRDefault="002C71D6" w:rsidP="004311AB">
            <w:pPr>
              <w:spacing w:before="240" w:line="240" w:lineRule="auto"/>
              <w:jc w:val="center"/>
              <w:rPr>
                <w:b/>
                <w:highlight w:val="white"/>
              </w:rPr>
            </w:pPr>
            <w:r w:rsidRPr="00B53384">
              <w:rPr>
                <w:b/>
                <w:highlight w:val="white"/>
              </w:rPr>
              <w:t>_______________________________</w:t>
            </w:r>
          </w:p>
          <w:p w14:paraId="0553F01F" w14:textId="77777777" w:rsidR="00DE7394" w:rsidRPr="00B53384" w:rsidRDefault="002C71D6" w:rsidP="004311AB">
            <w:pPr>
              <w:spacing w:before="240" w:line="360" w:lineRule="auto"/>
              <w:jc w:val="center"/>
              <w:rPr>
                <w:b/>
                <w:highlight w:val="white"/>
              </w:rPr>
            </w:pPr>
            <w:proofErr w:type="spellStart"/>
            <w:r w:rsidRPr="00B53384">
              <w:rPr>
                <w:b/>
                <w:highlight w:val="white"/>
              </w:rPr>
              <w:t>Dip</w:t>
            </w:r>
            <w:proofErr w:type="spellEnd"/>
            <w:r w:rsidRPr="00B53384">
              <w:rPr>
                <w:b/>
                <w:highlight w:val="white"/>
              </w:rPr>
              <w:t xml:space="preserve">. Ana Margarita </w:t>
            </w:r>
            <w:proofErr w:type="spellStart"/>
            <w:r w:rsidRPr="00B53384">
              <w:rPr>
                <w:b/>
                <w:highlight w:val="white"/>
              </w:rPr>
              <w:t>Blackaller</w:t>
            </w:r>
            <w:proofErr w:type="spellEnd"/>
            <w:r w:rsidRPr="00B53384">
              <w:rPr>
                <w:b/>
                <w:highlight w:val="white"/>
              </w:rPr>
              <w:t xml:space="preserve"> Prieto</w:t>
            </w:r>
          </w:p>
        </w:tc>
      </w:tr>
      <w:tr w:rsidR="00DE7394" w14:paraId="50DBABCF" w14:textId="77777777">
        <w:trPr>
          <w:trHeight w:val="1335"/>
        </w:trPr>
        <w:tc>
          <w:tcPr>
            <w:tcW w:w="4575" w:type="dxa"/>
            <w:tcBorders>
              <w:top w:val="nil"/>
              <w:left w:val="nil"/>
              <w:bottom w:val="nil"/>
              <w:right w:val="nil"/>
            </w:tcBorders>
            <w:tcMar>
              <w:top w:w="100" w:type="dxa"/>
              <w:left w:w="120" w:type="dxa"/>
              <w:bottom w:w="100" w:type="dxa"/>
              <w:right w:w="120" w:type="dxa"/>
            </w:tcMar>
          </w:tcPr>
          <w:p w14:paraId="3A868D5E" w14:textId="77777777" w:rsidR="00DE7394" w:rsidRPr="00B53384" w:rsidRDefault="002C71D6" w:rsidP="004311AB">
            <w:pPr>
              <w:spacing w:before="240" w:line="240" w:lineRule="auto"/>
              <w:jc w:val="center"/>
              <w:rPr>
                <w:b/>
                <w:highlight w:val="white"/>
              </w:rPr>
            </w:pPr>
            <w:r w:rsidRPr="00B53384">
              <w:rPr>
                <w:b/>
                <w:highlight w:val="white"/>
              </w:rPr>
              <w:t>_______________________________</w:t>
            </w:r>
          </w:p>
          <w:p w14:paraId="56EA2325" w14:textId="77777777" w:rsidR="00DE7394" w:rsidRPr="00B53384" w:rsidRDefault="002C71D6" w:rsidP="004311AB">
            <w:pPr>
              <w:spacing w:before="240" w:line="360" w:lineRule="auto"/>
              <w:jc w:val="center"/>
              <w:rPr>
                <w:b/>
                <w:highlight w:val="white"/>
              </w:rPr>
            </w:pPr>
            <w:proofErr w:type="spellStart"/>
            <w:r w:rsidRPr="00B53384">
              <w:rPr>
                <w:b/>
                <w:highlight w:val="white"/>
              </w:rPr>
              <w:t>Dip</w:t>
            </w:r>
            <w:proofErr w:type="spellEnd"/>
            <w:r w:rsidRPr="00B53384">
              <w:rPr>
                <w:b/>
                <w:highlight w:val="white"/>
              </w:rPr>
              <w:t>. Rocío Guadalupe Sarmiento Rufino</w:t>
            </w:r>
          </w:p>
        </w:tc>
        <w:tc>
          <w:tcPr>
            <w:tcW w:w="4305" w:type="dxa"/>
            <w:tcBorders>
              <w:top w:val="nil"/>
              <w:left w:val="nil"/>
              <w:bottom w:val="nil"/>
              <w:right w:val="nil"/>
            </w:tcBorders>
            <w:tcMar>
              <w:top w:w="100" w:type="dxa"/>
              <w:left w:w="120" w:type="dxa"/>
              <w:bottom w:w="100" w:type="dxa"/>
              <w:right w:w="120" w:type="dxa"/>
            </w:tcMar>
          </w:tcPr>
          <w:p w14:paraId="6F531C0E" w14:textId="77777777" w:rsidR="00DE7394" w:rsidRPr="00B53384" w:rsidRDefault="002C71D6" w:rsidP="004311AB">
            <w:pPr>
              <w:spacing w:before="240" w:line="240" w:lineRule="auto"/>
              <w:jc w:val="center"/>
              <w:rPr>
                <w:b/>
                <w:highlight w:val="white"/>
              </w:rPr>
            </w:pPr>
            <w:r w:rsidRPr="00B53384">
              <w:rPr>
                <w:b/>
                <w:highlight w:val="white"/>
              </w:rPr>
              <w:t>_______________________________</w:t>
            </w:r>
          </w:p>
          <w:p w14:paraId="62682837" w14:textId="77777777" w:rsidR="00DE7394" w:rsidRPr="00B53384" w:rsidRDefault="002C71D6" w:rsidP="004311AB">
            <w:pPr>
              <w:spacing w:before="240" w:line="360" w:lineRule="auto"/>
              <w:jc w:val="center"/>
              <w:rPr>
                <w:b/>
                <w:highlight w:val="white"/>
              </w:rPr>
            </w:pPr>
            <w:proofErr w:type="spellStart"/>
            <w:r w:rsidRPr="00B53384">
              <w:rPr>
                <w:b/>
                <w:highlight w:val="white"/>
              </w:rPr>
              <w:t>Dip</w:t>
            </w:r>
            <w:proofErr w:type="spellEnd"/>
            <w:r w:rsidRPr="00B53384">
              <w:rPr>
                <w:b/>
                <w:highlight w:val="white"/>
              </w:rPr>
              <w:t>. Saúl Mireles Corral</w:t>
            </w:r>
          </w:p>
        </w:tc>
      </w:tr>
      <w:tr w:rsidR="00DE7394" w14:paraId="34B2F373" w14:textId="77777777">
        <w:trPr>
          <w:trHeight w:val="1515"/>
        </w:trPr>
        <w:tc>
          <w:tcPr>
            <w:tcW w:w="4575" w:type="dxa"/>
            <w:tcBorders>
              <w:top w:val="nil"/>
              <w:left w:val="nil"/>
              <w:bottom w:val="nil"/>
              <w:right w:val="nil"/>
            </w:tcBorders>
            <w:tcMar>
              <w:top w:w="100" w:type="dxa"/>
              <w:left w:w="120" w:type="dxa"/>
              <w:bottom w:w="100" w:type="dxa"/>
              <w:right w:w="120" w:type="dxa"/>
            </w:tcMar>
          </w:tcPr>
          <w:p w14:paraId="165AF846" w14:textId="77777777" w:rsidR="00DE7394" w:rsidRPr="00B53384" w:rsidRDefault="002C71D6" w:rsidP="004311AB">
            <w:pPr>
              <w:spacing w:before="240" w:line="240" w:lineRule="auto"/>
              <w:jc w:val="center"/>
              <w:rPr>
                <w:b/>
                <w:highlight w:val="white"/>
              </w:rPr>
            </w:pPr>
            <w:r w:rsidRPr="00B53384">
              <w:rPr>
                <w:b/>
                <w:highlight w:val="white"/>
              </w:rPr>
              <w:lastRenderedPageBreak/>
              <w:t>_______________________________</w:t>
            </w:r>
          </w:p>
          <w:p w14:paraId="3AF34143" w14:textId="77777777" w:rsidR="00DE7394" w:rsidRPr="00B53384" w:rsidRDefault="002C71D6" w:rsidP="004311AB">
            <w:pPr>
              <w:spacing w:before="240" w:line="360" w:lineRule="auto"/>
              <w:jc w:val="center"/>
              <w:rPr>
                <w:b/>
                <w:highlight w:val="white"/>
              </w:rPr>
            </w:pPr>
            <w:proofErr w:type="spellStart"/>
            <w:r w:rsidRPr="00B53384">
              <w:rPr>
                <w:b/>
                <w:highlight w:val="white"/>
              </w:rPr>
              <w:t>Dip</w:t>
            </w:r>
            <w:proofErr w:type="spellEnd"/>
            <w:r w:rsidRPr="00B53384">
              <w:rPr>
                <w:b/>
                <w:highlight w:val="white"/>
              </w:rPr>
              <w:t>. José Alfredo Chávez Madrid</w:t>
            </w:r>
          </w:p>
        </w:tc>
        <w:tc>
          <w:tcPr>
            <w:tcW w:w="4305" w:type="dxa"/>
            <w:tcBorders>
              <w:top w:val="nil"/>
              <w:left w:val="nil"/>
              <w:bottom w:val="nil"/>
              <w:right w:val="nil"/>
            </w:tcBorders>
            <w:tcMar>
              <w:top w:w="100" w:type="dxa"/>
              <w:left w:w="120" w:type="dxa"/>
              <w:bottom w:w="100" w:type="dxa"/>
              <w:right w:w="120" w:type="dxa"/>
            </w:tcMar>
          </w:tcPr>
          <w:p w14:paraId="211B8B26" w14:textId="77777777" w:rsidR="00DE7394" w:rsidRPr="00B53384" w:rsidRDefault="002C71D6" w:rsidP="004311AB">
            <w:pPr>
              <w:spacing w:before="240" w:line="240" w:lineRule="auto"/>
              <w:jc w:val="center"/>
              <w:rPr>
                <w:rFonts w:ascii="Times New Roman" w:eastAsia="Times New Roman" w:hAnsi="Times New Roman" w:cs="Times New Roman"/>
                <w:highlight w:val="white"/>
              </w:rPr>
            </w:pPr>
            <w:r w:rsidRPr="00B53384">
              <w:rPr>
                <w:b/>
                <w:highlight w:val="white"/>
              </w:rPr>
              <w:t>_______________________________</w:t>
            </w:r>
            <w:r w:rsidRPr="00B53384">
              <w:rPr>
                <w:rFonts w:ascii="Times New Roman" w:eastAsia="Times New Roman" w:hAnsi="Times New Roman" w:cs="Times New Roman"/>
                <w:highlight w:val="white"/>
              </w:rPr>
              <w:t xml:space="preserve"> </w:t>
            </w:r>
          </w:p>
          <w:p w14:paraId="38B5E22F" w14:textId="77777777" w:rsidR="00DE7394" w:rsidRPr="00B53384" w:rsidRDefault="002C71D6" w:rsidP="004311AB">
            <w:pPr>
              <w:spacing w:before="240" w:line="360" w:lineRule="auto"/>
              <w:jc w:val="center"/>
              <w:rPr>
                <w:b/>
                <w:highlight w:val="white"/>
              </w:rPr>
            </w:pPr>
            <w:proofErr w:type="spellStart"/>
            <w:r w:rsidRPr="00B53384">
              <w:rPr>
                <w:b/>
                <w:highlight w:val="white"/>
              </w:rPr>
              <w:t>Dip</w:t>
            </w:r>
            <w:proofErr w:type="spellEnd"/>
            <w:r w:rsidRPr="00B53384">
              <w:rPr>
                <w:b/>
                <w:highlight w:val="white"/>
              </w:rPr>
              <w:t>. Ismael Mario Rodríguez Saldaña</w:t>
            </w:r>
          </w:p>
        </w:tc>
      </w:tr>
      <w:tr w:rsidR="00DE7394" w14:paraId="0233CEF5" w14:textId="77777777">
        <w:trPr>
          <w:trHeight w:val="1305"/>
        </w:trPr>
        <w:tc>
          <w:tcPr>
            <w:tcW w:w="4575" w:type="dxa"/>
            <w:tcBorders>
              <w:top w:val="nil"/>
              <w:left w:val="nil"/>
              <w:bottom w:val="nil"/>
              <w:right w:val="nil"/>
            </w:tcBorders>
            <w:tcMar>
              <w:top w:w="100" w:type="dxa"/>
              <w:left w:w="120" w:type="dxa"/>
              <w:bottom w:w="100" w:type="dxa"/>
              <w:right w:w="120" w:type="dxa"/>
            </w:tcMar>
          </w:tcPr>
          <w:p w14:paraId="50325C77" w14:textId="77777777" w:rsidR="00DE7394" w:rsidRPr="00B53384" w:rsidRDefault="002C71D6" w:rsidP="004311AB">
            <w:pPr>
              <w:spacing w:before="240" w:line="240" w:lineRule="auto"/>
              <w:jc w:val="center"/>
              <w:rPr>
                <w:rFonts w:ascii="Times New Roman" w:eastAsia="Times New Roman" w:hAnsi="Times New Roman" w:cs="Times New Roman"/>
                <w:highlight w:val="white"/>
              </w:rPr>
            </w:pPr>
            <w:r w:rsidRPr="00B53384">
              <w:rPr>
                <w:b/>
                <w:highlight w:val="white"/>
              </w:rPr>
              <w:t>_______________________________</w:t>
            </w:r>
          </w:p>
          <w:p w14:paraId="37122B54" w14:textId="77777777" w:rsidR="00DE7394" w:rsidRPr="00B53384" w:rsidRDefault="002C71D6" w:rsidP="004311AB">
            <w:pPr>
              <w:spacing w:before="240" w:line="360" w:lineRule="auto"/>
              <w:jc w:val="center"/>
              <w:rPr>
                <w:b/>
                <w:highlight w:val="white"/>
              </w:rPr>
            </w:pPr>
            <w:r w:rsidRPr="00B53384">
              <w:rPr>
                <w:rFonts w:ascii="Times New Roman" w:eastAsia="Times New Roman" w:hAnsi="Times New Roman" w:cs="Times New Roman"/>
                <w:highlight w:val="white"/>
              </w:rPr>
              <w:t xml:space="preserve"> </w:t>
            </w:r>
            <w:proofErr w:type="spellStart"/>
            <w:r w:rsidRPr="00B53384">
              <w:rPr>
                <w:b/>
                <w:highlight w:val="white"/>
              </w:rPr>
              <w:t>Dip</w:t>
            </w:r>
            <w:proofErr w:type="spellEnd"/>
            <w:r w:rsidRPr="00B53384">
              <w:rPr>
                <w:b/>
                <w:highlight w:val="white"/>
              </w:rPr>
              <w:t>. Carlos Alfredo Olson San Vicente</w:t>
            </w:r>
          </w:p>
        </w:tc>
        <w:tc>
          <w:tcPr>
            <w:tcW w:w="4305" w:type="dxa"/>
            <w:tcBorders>
              <w:top w:val="nil"/>
              <w:left w:val="nil"/>
              <w:bottom w:val="nil"/>
              <w:right w:val="nil"/>
            </w:tcBorders>
            <w:tcMar>
              <w:top w:w="100" w:type="dxa"/>
              <w:left w:w="120" w:type="dxa"/>
              <w:bottom w:w="100" w:type="dxa"/>
              <w:right w:w="120" w:type="dxa"/>
            </w:tcMar>
          </w:tcPr>
          <w:p w14:paraId="4F151726" w14:textId="77777777" w:rsidR="00DE7394" w:rsidRPr="00B53384" w:rsidRDefault="002C71D6" w:rsidP="004311AB">
            <w:pPr>
              <w:spacing w:before="240" w:line="240" w:lineRule="auto"/>
              <w:jc w:val="center"/>
              <w:rPr>
                <w:rFonts w:ascii="Times New Roman" w:eastAsia="Times New Roman" w:hAnsi="Times New Roman" w:cs="Times New Roman"/>
                <w:highlight w:val="white"/>
              </w:rPr>
            </w:pPr>
            <w:r w:rsidRPr="00B53384">
              <w:rPr>
                <w:b/>
                <w:highlight w:val="white"/>
              </w:rPr>
              <w:t>_______________________________</w:t>
            </w:r>
          </w:p>
          <w:p w14:paraId="7725DA47" w14:textId="77777777" w:rsidR="00DE7394" w:rsidRPr="00B53384" w:rsidRDefault="002C71D6" w:rsidP="004311AB">
            <w:pPr>
              <w:spacing w:before="240" w:line="360" w:lineRule="auto"/>
              <w:jc w:val="center"/>
              <w:rPr>
                <w:b/>
                <w:highlight w:val="white"/>
              </w:rPr>
            </w:pPr>
            <w:r w:rsidRPr="00B53384">
              <w:rPr>
                <w:rFonts w:ascii="Times New Roman" w:eastAsia="Times New Roman" w:hAnsi="Times New Roman" w:cs="Times New Roman"/>
                <w:highlight w:val="white"/>
              </w:rPr>
              <w:t xml:space="preserve"> </w:t>
            </w:r>
            <w:proofErr w:type="spellStart"/>
            <w:r w:rsidRPr="00B53384">
              <w:rPr>
                <w:b/>
                <w:highlight w:val="white"/>
              </w:rPr>
              <w:t>Dip</w:t>
            </w:r>
            <w:proofErr w:type="spellEnd"/>
            <w:r w:rsidRPr="00B53384">
              <w:rPr>
                <w:b/>
                <w:highlight w:val="white"/>
              </w:rPr>
              <w:t>. Andrea Daniela Flores Chacón</w:t>
            </w:r>
          </w:p>
        </w:tc>
      </w:tr>
      <w:tr w:rsidR="00DE7394" w14:paraId="5A5D587E" w14:textId="77777777">
        <w:trPr>
          <w:trHeight w:val="1515"/>
        </w:trPr>
        <w:tc>
          <w:tcPr>
            <w:tcW w:w="4575" w:type="dxa"/>
            <w:tcBorders>
              <w:top w:val="nil"/>
              <w:left w:val="nil"/>
              <w:bottom w:val="nil"/>
              <w:right w:val="nil"/>
            </w:tcBorders>
            <w:tcMar>
              <w:top w:w="100" w:type="dxa"/>
              <w:left w:w="120" w:type="dxa"/>
              <w:bottom w:w="100" w:type="dxa"/>
              <w:right w:w="120" w:type="dxa"/>
            </w:tcMar>
          </w:tcPr>
          <w:p w14:paraId="1897358B" w14:textId="77777777" w:rsidR="00DE7394" w:rsidRPr="00B53384" w:rsidRDefault="002C71D6" w:rsidP="004311AB">
            <w:pPr>
              <w:spacing w:before="240" w:line="240" w:lineRule="auto"/>
              <w:jc w:val="center"/>
              <w:rPr>
                <w:rFonts w:ascii="Times New Roman" w:eastAsia="Times New Roman" w:hAnsi="Times New Roman" w:cs="Times New Roman"/>
                <w:highlight w:val="white"/>
              </w:rPr>
            </w:pPr>
            <w:r w:rsidRPr="00B53384">
              <w:rPr>
                <w:b/>
                <w:highlight w:val="white"/>
              </w:rPr>
              <w:t>_______________________________</w:t>
            </w:r>
            <w:r w:rsidRPr="00B53384">
              <w:rPr>
                <w:rFonts w:ascii="Times New Roman" w:eastAsia="Times New Roman" w:hAnsi="Times New Roman" w:cs="Times New Roman"/>
                <w:highlight w:val="white"/>
              </w:rPr>
              <w:t xml:space="preserve"> </w:t>
            </w:r>
          </w:p>
          <w:p w14:paraId="7BEDD33C" w14:textId="77777777" w:rsidR="00DE7394" w:rsidRPr="00B53384" w:rsidRDefault="002C71D6" w:rsidP="004311AB">
            <w:pPr>
              <w:spacing w:before="240" w:line="360" w:lineRule="auto"/>
              <w:jc w:val="center"/>
              <w:rPr>
                <w:b/>
                <w:highlight w:val="white"/>
              </w:rPr>
            </w:pPr>
            <w:proofErr w:type="spellStart"/>
            <w:r w:rsidRPr="00B53384">
              <w:rPr>
                <w:b/>
                <w:highlight w:val="white"/>
              </w:rPr>
              <w:t>Dip</w:t>
            </w:r>
            <w:proofErr w:type="spellEnd"/>
            <w:r w:rsidRPr="00B53384">
              <w:rPr>
                <w:b/>
                <w:highlight w:val="white"/>
              </w:rPr>
              <w:t>. Roberto Marcelino Carreón Huitrón</w:t>
            </w:r>
          </w:p>
        </w:tc>
        <w:tc>
          <w:tcPr>
            <w:tcW w:w="4305" w:type="dxa"/>
            <w:tcBorders>
              <w:top w:val="nil"/>
              <w:left w:val="nil"/>
              <w:bottom w:val="nil"/>
              <w:right w:val="nil"/>
            </w:tcBorders>
            <w:tcMar>
              <w:top w:w="100" w:type="dxa"/>
              <w:left w:w="120" w:type="dxa"/>
              <w:bottom w:w="100" w:type="dxa"/>
              <w:right w:w="120" w:type="dxa"/>
            </w:tcMar>
          </w:tcPr>
          <w:p w14:paraId="6DCDAF69" w14:textId="77777777" w:rsidR="00DE7394" w:rsidRPr="00B53384" w:rsidRDefault="002C71D6" w:rsidP="004311AB">
            <w:pPr>
              <w:spacing w:before="240" w:line="240" w:lineRule="auto"/>
              <w:jc w:val="center"/>
              <w:rPr>
                <w:rFonts w:ascii="Times New Roman" w:eastAsia="Times New Roman" w:hAnsi="Times New Roman" w:cs="Times New Roman"/>
                <w:highlight w:val="white"/>
              </w:rPr>
            </w:pPr>
            <w:r w:rsidRPr="00B53384">
              <w:rPr>
                <w:b/>
                <w:highlight w:val="white"/>
              </w:rPr>
              <w:t>_______________________________</w:t>
            </w:r>
          </w:p>
          <w:p w14:paraId="06CF50D9" w14:textId="77777777" w:rsidR="00DE7394" w:rsidRPr="00B53384" w:rsidRDefault="002C71D6" w:rsidP="004311AB">
            <w:pPr>
              <w:spacing w:before="240" w:line="360" w:lineRule="auto"/>
              <w:jc w:val="center"/>
              <w:rPr>
                <w:b/>
                <w:highlight w:val="white"/>
              </w:rPr>
            </w:pPr>
            <w:r w:rsidRPr="00B53384">
              <w:rPr>
                <w:rFonts w:ascii="Times New Roman" w:eastAsia="Times New Roman" w:hAnsi="Times New Roman" w:cs="Times New Roman"/>
                <w:highlight w:val="white"/>
              </w:rPr>
              <w:t xml:space="preserve"> </w:t>
            </w:r>
            <w:proofErr w:type="spellStart"/>
            <w:r w:rsidRPr="00B53384">
              <w:rPr>
                <w:b/>
                <w:highlight w:val="white"/>
              </w:rPr>
              <w:t>Dip</w:t>
            </w:r>
            <w:proofErr w:type="spellEnd"/>
            <w:r w:rsidRPr="00B53384">
              <w:rPr>
                <w:b/>
                <w:highlight w:val="white"/>
              </w:rPr>
              <w:t>. Luis Alberto Aguilar Lozoya</w:t>
            </w:r>
          </w:p>
        </w:tc>
      </w:tr>
      <w:tr w:rsidR="00DE7394" w14:paraId="51CC5DEF" w14:textId="77777777">
        <w:trPr>
          <w:trHeight w:val="1470"/>
        </w:trPr>
        <w:tc>
          <w:tcPr>
            <w:tcW w:w="4575" w:type="dxa"/>
            <w:tcBorders>
              <w:top w:val="nil"/>
              <w:left w:val="nil"/>
              <w:bottom w:val="nil"/>
              <w:right w:val="nil"/>
            </w:tcBorders>
            <w:tcMar>
              <w:top w:w="100" w:type="dxa"/>
              <w:left w:w="120" w:type="dxa"/>
              <w:bottom w:w="100" w:type="dxa"/>
              <w:right w:w="120" w:type="dxa"/>
            </w:tcMar>
          </w:tcPr>
          <w:p w14:paraId="4A18B470" w14:textId="77777777" w:rsidR="00DE7394" w:rsidRPr="00B53384" w:rsidRDefault="002C71D6" w:rsidP="004311AB">
            <w:pPr>
              <w:spacing w:before="240" w:line="240" w:lineRule="auto"/>
              <w:jc w:val="center"/>
              <w:rPr>
                <w:rFonts w:ascii="Times New Roman" w:eastAsia="Times New Roman" w:hAnsi="Times New Roman" w:cs="Times New Roman"/>
                <w:highlight w:val="white"/>
              </w:rPr>
            </w:pPr>
            <w:r w:rsidRPr="00B53384">
              <w:rPr>
                <w:b/>
                <w:highlight w:val="white"/>
              </w:rPr>
              <w:t>_______________________________</w:t>
            </w:r>
            <w:r w:rsidRPr="00B53384">
              <w:rPr>
                <w:rFonts w:ascii="Times New Roman" w:eastAsia="Times New Roman" w:hAnsi="Times New Roman" w:cs="Times New Roman"/>
                <w:highlight w:val="white"/>
              </w:rPr>
              <w:t xml:space="preserve"> </w:t>
            </w:r>
          </w:p>
          <w:p w14:paraId="30CEFE49" w14:textId="77777777" w:rsidR="00DE7394" w:rsidRPr="00B53384" w:rsidRDefault="002C71D6" w:rsidP="004311AB">
            <w:pPr>
              <w:spacing w:before="240" w:line="360" w:lineRule="auto"/>
              <w:jc w:val="center"/>
              <w:rPr>
                <w:b/>
                <w:highlight w:val="white"/>
              </w:rPr>
            </w:pPr>
            <w:proofErr w:type="spellStart"/>
            <w:r w:rsidRPr="00B53384">
              <w:rPr>
                <w:b/>
                <w:highlight w:val="white"/>
              </w:rPr>
              <w:t>Dip</w:t>
            </w:r>
            <w:proofErr w:type="spellEnd"/>
            <w:r w:rsidRPr="00B53384">
              <w:rPr>
                <w:b/>
                <w:highlight w:val="white"/>
              </w:rPr>
              <w:t>. Diana Ivette Pereda Gutiérrez</w:t>
            </w:r>
          </w:p>
        </w:tc>
        <w:tc>
          <w:tcPr>
            <w:tcW w:w="4305" w:type="dxa"/>
            <w:tcBorders>
              <w:top w:val="nil"/>
              <w:left w:val="nil"/>
              <w:bottom w:val="nil"/>
              <w:right w:val="nil"/>
            </w:tcBorders>
            <w:tcMar>
              <w:top w:w="100" w:type="dxa"/>
              <w:left w:w="120" w:type="dxa"/>
              <w:bottom w:w="100" w:type="dxa"/>
              <w:right w:w="120" w:type="dxa"/>
            </w:tcMar>
          </w:tcPr>
          <w:p w14:paraId="0FFE08F2" w14:textId="77777777" w:rsidR="00DE7394" w:rsidRPr="00B53384" w:rsidRDefault="002C71D6" w:rsidP="004311AB">
            <w:pPr>
              <w:spacing w:before="240" w:line="240" w:lineRule="auto"/>
              <w:jc w:val="center"/>
              <w:rPr>
                <w:rFonts w:ascii="Times New Roman" w:eastAsia="Times New Roman" w:hAnsi="Times New Roman" w:cs="Times New Roman"/>
                <w:highlight w:val="white"/>
              </w:rPr>
            </w:pPr>
            <w:r w:rsidRPr="00B53384">
              <w:rPr>
                <w:b/>
                <w:highlight w:val="white"/>
              </w:rPr>
              <w:t>_______________________________</w:t>
            </w:r>
          </w:p>
          <w:p w14:paraId="1FA9D7E6" w14:textId="77777777" w:rsidR="00DE7394" w:rsidRPr="00B53384" w:rsidRDefault="002C71D6" w:rsidP="004311AB">
            <w:pPr>
              <w:spacing w:before="240" w:line="360" w:lineRule="auto"/>
              <w:jc w:val="center"/>
              <w:rPr>
                <w:b/>
                <w:highlight w:val="white"/>
              </w:rPr>
            </w:pPr>
            <w:r w:rsidRPr="00B53384">
              <w:rPr>
                <w:rFonts w:ascii="Times New Roman" w:eastAsia="Times New Roman" w:hAnsi="Times New Roman" w:cs="Times New Roman"/>
                <w:highlight w:val="white"/>
              </w:rPr>
              <w:t xml:space="preserve"> </w:t>
            </w:r>
            <w:proofErr w:type="spellStart"/>
            <w:r w:rsidRPr="00B53384">
              <w:rPr>
                <w:b/>
                <w:highlight w:val="white"/>
              </w:rPr>
              <w:t>Dip</w:t>
            </w:r>
            <w:proofErr w:type="spellEnd"/>
            <w:r w:rsidRPr="00B53384">
              <w:rPr>
                <w:b/>
                <w:highlight w:val="white"/>
              </w:rPr>
              <w:t>. Gabriel Ángel García Cantú</w:t>
            </w:r>
          </w:p>
        </w:tc>
      </w:tr>
      <w:tr w:rsidR="00DE7394" w14:paraId="42AFD04C" w14:textId="77777777">
        <w:trPr>
          <w:trHeight w:val="1995"/>
        </w:trPr>
        <w:tc>
          <w:tcPr>
            <w:tcW w:w="4575" w:type="dxa"/>
            <w:tcBorders>
              <w:top w:val="nil"/>
              <w:left w:val="nil"/>
              <w:bottom w:val="nil"/>
              <w:right w:val="nil"/>
            </w:tcBorders>
            <w:tcMar>
              <w:top w:w="100" w:type="dxa"/>
              <w:left w:w="120" w:type="dxa"/>
              <w:bottom w:w="100" w:type="dxa"/>
              <w:right w:w="120" w:type="dxa"/>
            </w:tcMar>
          </w:tcPr>
          <w:p w14:paraId="283C6953" w14:textId="77777777" w:rsidR="00DE7394" w:rsidRPr="00B53384" w:rsidRDefault="002C71D6" w:rsidP="004311AB">
            <w:pPr>
              <w:spacing w:before="240" w:line="240" w:lineRule="auto"/>
              <w:jc w:val="center"/>
              <w:rPr>
                <w:rFonts w:ascii="Times New Roman" w:eastAsia="Times New Roman" w:hAnsi="Times New Roman" w:cs="Times New Roman"/>
                <w:highlight w:val="white"/>
              </w:rPr>
            </w:pPr>
            <w:r w:rsidRPr="00B53384">
              <w:rPr>
                <w:b/>
                <w:highlight w:val="white"/>
              </w:rPr>
              <w:t>_______________________________</w:t>
            </w:r>
            <w:r w:rsidRPr="00B53384">
              <w:rPr>
                <w:rFonts w:ascii="Times New Roman" w:eastAsia="Times New Roman" w:hAnsi="Times New Roman" w:cs="Times New Roman"/>
                <w:highlight w:val="white"/>
              </w:rPr>
              <w:t xml:space="preserve"> </w:t>
            </w:r>
          </w:p>
          <w:p w14:paraId="30A16447" w14:textId="77777777" w:rsidR="00DE7394" w:rsidRPr="00B53384" w:rsidRDefault="002C71D6" w:rsidP="004311AB">
            <w:pPr>
              <w:spacing w:before="240" w:line="360" w:lineRule="auto"/>
              <w:jc w:val="center"/>
              <w:rPr>
                <w:b/>
                <w:highlight w:val="white"/>
              </w:rPr>
            </w:pPr>
            <w:proofErr w:type="spellStart"/>
            <w:r w:rsidRPr="00B53384">
              <w:rPr>
                <w:b/>
                <w:highlight w:val="white"/>
              </w:rPr>
              <w:t>Dip</w:t>
            </w:r>
            <w:proofErr w:type="spellEnd"/>
            <w:r w:rsidRPr="00B53384">
              <w:rPr>
                <w:b/>
                <w:highlight w:val="white"/>
              </w:rPr>
              <w:t>. Rosa Isela Martínez Díaz</w:t>
            </w:r>
          </w:p>
        </w:tc>
        <w:tc>
          <w:tcPr>
            <w:tcW w:w="4305" w:type="dxa"/>
            <w:tcBorders>
              <w:top w:val="nil"/>
              <w:left w:val="nil"/>
              <w:bottom w:val="nil"/>
              <w:right w:val="nil"/>
            </w:tcBorders>
            <w:tcMar>
              <w:top w:w="100" w:type="dxa"/>
              <w:left w:w="120" w:type="dxa"/>
              <w:bottom w:w="100" w:type="dxa"/>
              <w:right w:w="120" w:type="dxa"/>
            </w:tcMar>
          </w:tcPr>
          <w:p w14:paraId="3A90CA71" w14:textId="77777777" w:rsidR="00DE7394" w:rsidRPr="00B53384" w:rsidRDefault="002C71D6" w:rsidP="004311AB">
            <w:pPr>
              <w:spacing w:before="240" w:line="240" w:lineRule="auto"/>
              <w:jc w:val="center"/>
              <w:rPr>
                <w:b/>
                <w:highlight w:val="white"/>
              </w:rPr>
            </w:pPr>
            <w:r w:rsidRPr="00B53384">
              <w:rPr>
                <w:b/>
                <w:highlight w:val="white"/>
              </w:rPr>
              <w:t>_______________________________</w:t>
            </w:r>
          </w:p>
          <w:p w14:paraId="5FB311F0" w14:textId="77777777" w:rsidR="00DE7394" w:rsidRPr="00B53384" w:rsidRDefault="002C71D6" w:rsidP="004311AB">
            <w:pPr>
              <w:spacing w:before="240" w:line="360" w:lineRule="auto"/>
              <w:jc w:val="center"/>
              <w:rPr>
                <w:b/>
                <w:highlight w:val="white"/>
              </w:rPr>
            </w:pPr>
            <w:proofErr w:type="spellStart"/>
            <w:r w:rsidRPr="00B53384">
              <w:rPr>
                <w:b/>
                <w:highlight w:val="white"/>
              </w:rPr>
              <w:t>Dip</w:t>
            </w:r>
            <w:proofErr w:type="spellEnd"/>
            <w:r w:rsidRPr="00B53384">
              <w:rPr>
                <w:b/>
                <w:highlight w:val="white"/>
              </w:rPr>
              <w:t xml:space="preserve">. Yesenia Guadalupe Reyes </w:t>
            </w:r>
            <w:proofErr w:type="spellStart"/>
            <w:r w:rsidRPr="00B53384">
              <w:rPr>
                <w:b/>
                <w:highlight w:val="white"/>
              </w:rPr>
              <w:t>Calzadías</w:t>
            </w:r>
            <w:proofErr w:type="spellEnd"/>
          </w:p>
          <w:p w14:paraId="73C40990" w14:textId="77777777" w:rsidR="00DE7394" w:rsidRPr="00B53384" w:rsidRDefault="002C71D6" w:rsidP="004311AB">
            <w:pPr>
              <w:spacing w:before="240" w:line="360" w:lineRule="auto"/>
              <w:jc w:val="center"/>
              <w:rPr>
                <w:rFonts w:ascii="Times New Roman" w:eastAsia="Times New Roman" w:hAnsi="Times New Roman" w:cs="Times New Roman"/>
                <w:highlight w:val="white"/>
              </w:rPr>
            </w:pPr>
            <w:r w:rsidRPr="00B53384">
              <w:rPr>
                <w:rFonts w:ascii="Times New Roman" w:eastAsia="Times New Roman" w:hAnsi="Times New Roman" w:cs="Times New Roman"/>
                <w:highlight w:val="white"/>
              </w:rPr>
              <w:t xml:space="preserve"> </w:t>
            </w:r>
          </w:p>
        </w:tc>
      </w:tr>
    </w:tbl>
    <w:p w14:paraId="67AD1263" w14:textId="74CB2371" w:rsidR="00DE7394" w:rsidRPr="00B10D41" w:rsidRDefault="00B53384" w:rsidP="004311AB">
      <w:pPr>
        <w:spacing w:before="240" w:after="240" w:line="360" w:lineRule="auto"/>
        <w:jc w:val="both"/>
        <w:rPr>
          <w:sz w:val="14"/>
          <w:szCs w:val="14"/>
        </w:rPr>
      </w:pPr>
      <w:r w:rsidRPr="009567B5">
        <w:rPr>
          <w:b/>
          <w:sz w:val="14"/>
          <w:szCs w:val="14"/>
        </w:rPr>
        <w:t xml:space="preserve">Esta hoja de firmas forma parte de la </w:t>
      </w:r>
      <w:r w:rsidR="00B10D41" w:rsidRPr="00B10D41">
        <w:rPr>
          <w:b/>
          <w:bCs/>
          <w:color w:val="000000"/>
          <w:sz w:val="14"/>
          <w:szCs w:val="14"/>
        </w:rPr>
        <w:t xml:space="preserve">Proposición con carácter de punto de acuerdo, por la que se exhorta a la Cámara de Diputados del H. Congreso de la Unión, para </w:t>
      </w:r>
      <w:proofErr w:type="gramStart"/>
      <w:r w:rsidR="00B10D41" w:rsidRPr="00B10D41">
        <w:rPr>
          <w:b/>
          <w:bCs/>
          <w:color w:val="000000"/>
          <w:sz w:val="14"/>
          <w:szCs w:val="14"/>
        </w:rPr>
        <w:t>que</w:t>
      </w:r>
      <w:proofErr w:type="gramEnd"/>
      <w:r w:rsidR="00B10D41" w:rsidRPr="00B10D41">
        <w:rPr>
          <w:b/>
          <w:bCs/>
          <w:color w:val="000000"/>
          <w:sz w:val="14"/>
          <w:szCs w:val="14"/>
        </w:rPr>
        <w:t xml:space="preserve"> en la minuta con proyecto de decreto de reforma de la Ley General de Acceso de las Mujeres a una Vida Libre de Violencia, se abstenga de aprobar cualquier reserva inherente a eliminar la garantía de suficiencia presupuestal para los Centros de Justicia para las Mujeres</w:t>
      </w:r>
    </w:p>
    <w:sectPr w:rsidR="00DE7394" w:rsidRPr="00B10D41" w:rsidSect="00B53384">
      <w:footerReference w:type="default" r:id="rId6"/>
      <w:pgSz w:w="12240" w:h="15840" w:code="1"/>
      <w:pgMar w:top="2835" w:right="1701" w:bottom="1701"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08B0B" w14:textId="77777777" w:rsidR="003F743C" w:rsidRDefault="003F743C">
      <w:pPr>
        <w:spacing w:line="240" w:lineRule="auto"/>
      </w:pPr>
      <w:r>
        <w:separator/>
      </w:r>
    </w:p>
  </w:endnote>
  <w:endnote w:type="continuationSeparator" w:id="0">
    <w:p w14:paraId="04189427" w14:textId="77777777" w:rsidR="003F743C" w:rsidRDefault="003F7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195025"/>
      <w:docPartObj>
        <w:docPartGallery w:val="Page Numbers (Bottom of Page)"/>
        <w:docPartUnique/>
      </w:docPartObj>
    </w:sdtPr>
    <w:sdtEndPr/>
    <w:sdtContent>
      <w:p w14:paraId="13091FC6" w14:textId="168CB494" w:rsidR="00B53384" w:rsidRDefault="00B53384">
        <w:pPr>
          <w:pStyle w:val="Piedepgina"/>
          <w:jc w:val="right"/>
        </w:pPr>
        <w:r>
          <w:fldChar w:fldCharType="begin"/>
        </w:r>
        <w:r>
          <w:instrText>PAGE   \* MERGEFORMAT</w:instrText>
        </w:r>
        <w:r>
          <w:fldChar w:fldCharType="separate"/>
        </w:r>
        <w:r>
          <w:rPr>
            <w:lang w:val="es-ES"/>
          </w:rPr>
          <w:t>2</w:t>
        </w:r>
        <w:r>
          <w:fldChar w:fldCharType="end"/>
        </w:r>
      </w:p>
    </w:sdtContent>
  </w:sdt>
  <w:p w14:paraId="47874245" w14:textId="77777777" w:rsidR="00B53384" w:rsidRDefault="00B533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11D15" w14:textId="77777777" w:rsidR="003F743C" w:rsidRDefault="003F743C">
      <w:pPr>
        <w:spacing w:line="240" w:lineRule="auto"/>
      </w:pPr>
      <w:r>
        <w:separator/>
      </w:r>
    </w:p>
  </w:footnote>
  <w:footnote w:type="continuationSeparator" w:id="0">
    <w:p w14:paraId="1A288F94" w14:textId="77777777" w:rsidR="003F743C" w:rsidRDefault="003F743C">
      <w:pPr>
        <w:spacing w:line="240" w:lineRule="auto"/>
      </w:pPr>
      <w:r>
        <w:continuationSeparator/>
      </w:r>
    </w:p>
  </w:footnote>
  <w:footnote w:id="1">
    <w:p w14:paraId="085BAC50" w14:textId="77777777" w:rsidR="00DE7394" w:rsidRDefault="002C71D6">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https://www.eleconomista.com.mx/politica/Diputadas-de-oposicion-revientan-sesion-por-propuesta-de-Morena-para-quitar-recursos-a-centros-de-justicia-para-las-mujeres-20230419-0027.html</w:t>
        </w:r>
      </w:hyperlink>
    </w:p>
    <w:p w14:paraId="3FEE38D4" w14:textId="77777777" w:rsidR="00DE7394" w:rsidRDefault="00DE7394">
      <w:pPr>
        <w:spacing w:line="240" w:lineRule="auto"/>
        <w:rPr>
          <w:sz w:val="20"/>
          <w:szCs w:val="20"/>
        </w:rPr>
      </w:pPr>
    </w:p>
  </w:footnote>
  <w:footnote w:id="2">
    <w:p w14:paraId="3106E699" w14:textId="77777777" w:rsidR="00DE7394" w:rsidRDefault="002C71D6">
      <w:pPr>
        <w:spacing w:line="240" w:lineRule="auto"/>
        <w:rPr>
          <w:sz w:val="20"/>
          <w:szCs w:val="20"/>
        </w:rPr>
      </w:pPr>
      <w:r>
        <w:rPr>
          <w:vertAlign w:val="superscript"/>
        </w:rPr>
        <w:footnoteRef/>
      </w:r>
      <w:r>
        <w:rPr>
          <w:sz w:val="20"/>
          <w:szCs w:val="20"/>
        </w:rPr>
        <w:t xml:space="preserve"> </w:t>
      </w:r>
      <w:hyperlink r:id="rId2" w:anchor=":~:text=El%20Proyecto%20de%20Presupuesto%20de,la%20violencia%20y%20la%20discriminaci%C3%B3n">
        <w:r>
          <w:rPr>
            <w:color w:val="1155CC"/>
            <w:sz w:val="20"/>
            <w:szCs w:val="20"/>
            <w:u w:val="single"/>
          </w:rPr>
          <w:t>https://ciep.mx/perspectiva-de-genero-en-el-ppef-2023-analisis-del-presupuesto-etiquetado/#:~:text=El%20Proyecto%20de%20Presupuesto%20de,la%20violencia%20y%20la%20discriminaci%C3%B3n</w:t>
        </w:r>
      </w:hyperlink>
      <w:r>
        <w:rPr>
          <w:sz w:val="20"/>
          <w:szCs w:val="20"/>
        </w:rPr>
        <w:t>.</w:t>
      </w:r>
    </w:p>
    <w:p w14:paraId="70C93D4B" w14:textId="77777777" w:rsidR="00DE7394" w:rsidRDefault="00DE7394">
      <w:pPr>
        <w:spacing w:line="240" w:lineRule="auto"/>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94"/>
    <w:rsid w:val="000611B5"/>
    <w:rsid w:val="000F15F5"/>
    <w:rsid w:val="002A7FF0"/>
    <w:rsid w:val="002C71D6"/>
    <w:rsid w:val="002F74BF"/>
    <w:rsid w:val="00327659"/>
    <w:rsid w:val="00336CC9"/>
    <w:rsid w:val="003F743C"/>
    <w:rsid w:val="004311AB"/>
    <w:rsid w:val="00501A06"/>
    <w:rsid w:val="0056153D"/>
    <w:rsid w:val="006975AC"/>
    <w:rsid w:val="00923E58"/>
    <w:rsid w:val="009567B5"/>
    <w:rsid w:val="009C5E9A"/>
    <w:rsid w:val="00B10D41"/>
    <w:rsid w:val="00B53384"/>
    <w:rsid w:val="00D33E03"/>
    <w:rsid w:val="00DE7394"/>
    <w:rsid w:val="00E405B9"/>
    <w:rsid w:val="00ED1EDA"/>
    <w:rsid w:val="00F059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657F"/>
  <w15:docId w15:val="{452924D1-4F86-48A4-B4EE-817B9902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B5338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53384"/>
  </w:style>
  <w:style w:type="paragraph" w:styleId="Piedepgina">
    <w:name w:val="footer"/>
    <w:basedOn w:val="Normal"/>
    <w:link w:val="PiedepginaCar"/>
    <w:uiPriority w:val="99"/>
    <w:unhideWhenUsed/>
    <w:rsid w:val="00B5338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53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ciep.mx/perspectiva-de-genero-en-el-ppef-2023-analisis-del-presupuesto-etiquetado/" TargetMode="External"/><Relationship Id="rId1" Type="http://schemas.openxmlformats.org/officeDocument/2006/relationships/hyperlink" Target="https://www.eleconomista.com.mx/politica/Diputadas-de-oposicion-revientan-sesion-por-propuesta-de-Morena-para-quitar-recursos-a-centros-de-justicia-para-las-mujeres-20230419-002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1277</Words>
  <Characters>7029</Characters>
  <Application>Microsoft Office Word</Application>
  <DocSecurity>0</DocSecurity>
  <Lines>58</Lines>
  <Paragraphs>16</Paragraphs>
  <ScaleCrop>false</ScaleCrop>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Sarahi Gonzalez Dominguez</dc:creator>
  <cp:lastModifiedBy>Brenda Sarahi Gonzalez Dominguez</cp:lastModifiedBy>
  <cp:revision>2</cp:revision>
  <dcterms:created xsi:type="dcterms:W3CDTF">2023-04-24T16:49:00Z</dcterms:created>
  <dcterms:modified xsi:type="dcterms:W3CDTF">2023-04-24T16:49:00Z</dcterms:modified>
</cp:coreProperties>
</file>