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DD691" w14:textId="3DD7EC17" w:rsidR="002B2769" w:rsidRPr="002D56F2" w:rsidRDefault="002B2769" w:rsidP="00C42BF6">
      <w:pPr>
        <w:spacing w:line="480" w:lineRule="auto"/>
        <w:rPr>
          <w:rFonts w:cs="Arial"/>
          <w:b/>
          <w:sz w:val="22"/>
        </w:rPr>
      </w:pPr>
    </w:p>
    <w:p w14:paraId="31BCF1B0" w14:textId="77777777" w:rsidR="002D56F2" w:rsidRPr="002D56F2" w:rsidRDefault="002D56F2" w:rsidP="00C42BF6">
      <w:pPr>
        <w:tabs>
          <w:tab w:val="left" w:pos="5123"/>
        </w:tabs>
        <w:spacing w:line="480" w:lineRule="auto"/>
        <w:ind w:left="851"/>
        <w:rPr>
          <w:rFonts w:ascii="Century Gothic" w:eastAsia="Century Gothic" w:hAnsi="Century Gothic" w:cs="Century Gothic"/>
          <w:b/>
          <w:sz w:val="22"/>
        </w:rPr>
      </w:pPr>
      <w:r w:rsidRPr="002D56F2">
        <w:rPr>
          <w:rFonts w:ascii="Century Gothic" w:eastAsia="Century Gothic" w:hAnsi="Century Gothic" w:cs="Century Gothic"/>
          <w:b/>
          <w:sz w:val="22"/>
        </w:rPr>
        <w:t>H. CONGRESO DEL ESTADO DE CHIHUAHUA</w:t>
      </w:r>
      <w:r w:rsidRPr="002D56F2">
        <w:rPr>
          <w:rFonts w:ascii="Century Gothic" w:eastAsia="Century Gothic" w:hAnsi="Century Gothic" w:cs="Century Gothic"/>
          <w:b/>
          <w:sz w:val="22"/>
        </w:rPr>
        <w:tab/>
        <w:t xml:space="preserve"> </w:t>
      </w:r>
    </w:p>
    <w:p w14:paraId="3890BF0F" w14:textId="77777777" w:rsidR="002D56F2" w:rsidRPr="002D56F2" w:rsidRDefault="002D56F2" w:rsidP="00C42BF6">
      <w:pPr>
        <w:spacing w:line="480" w:lineRule="auto"/>
        <w:ind w:left="851"/>
        <w:rPr>
          <w:rFonts w:ascii="Century Gothic" w:eastAsia="Century Gothic" w:hAnsi="Century Gothic" w:cs="Century Gothic"/>
          <w:b/>
          <w:sz w:val="22"/>
        </w:rPr>
      </w:pPr>
      <w:r w:rsidRPr="002D56F2">
        <w:rPr>
          <w:rFonts w:ascii="Century Gothic" w:eastAsia="Century Gothic" w:hAnsi="Century Gothic" w:cs="Century Gothic"/>
          <w:b/>
          <w:sz w:val="22"/>
        </w:rPr>
        <w:t>P R E S E N T E.</w:t>
      </w:r>
    </w:p>
    <w:p w14:paraId="23FE7F4A" w14:textId="16800AF0" w:rsidR="002D56F2" w:rsidRPr="00C42BF6" w:rsidRDefault="002D56F2" w:rsidP="00C42BF6">
      <w:pPr>
        <w:spacing w:line="480" w:lineRule="auto"/>
        <w:ind w:left="851"/>
        <w:rPr>
          <w:rFonts w:ascii="Century Gothic" w:hAnsi="Century Gothic" w:cstheme="minorHAnsi"/>
          <w:b/>
          <w:szCs w:val="24"/>
        </w:rPr>
      </w:pPr>
      <w:r w:rsidRPr="00C42BF6">
        <w:rPr>
          <w:rFonts w:ascii="Century Gothic" w:eastAsia="Century Gothic" w:hAnsi="Century Gothic" w:cs="Century Gothic"/>
          <w:szCs w:val="24"/>
        </w:rPr>
        <w:t xml:space="preserve">Los que suscriben, Edin Cuauhtémoc Estrada Sotelo, Óscar Daniel Avitia Arellanes, Rosana Díaz Reyes, Gustavo De la Rosa Hickerson, Ilse América García Soto, Magdalena Rentería Pérez, María Antonieta Pérez Reyes, Benjamín Carrera Chávez, David Óscar Castrejón Rivas y Leticia Ortega Máynez,  en nuestro carácter de Diputadas y Diputados de la Sexagésima Séptima Legislatura del Honorable Congreso del Estado de Chihuahua e integrantes del Grupo Parlamentario de Morena, </w:t>
      </w:r>
      <w:r w:rsidRPr="00C42BF6">
        <w:rPr>
          <w:rFonts w:ascii="Century Gothic" w:eastAsia="Century Gothic" w:hAnsi="Century Gothic" w:cs="Century Gothic"/>
          <w:bCs/>
          <w:szCs w:val="24"/>
        </w:rPr>
        <w:t>con fundamento en lo que dispone los artículos 167, fracción I, y 16</w:t>
      </w:r>
      <w:r w:rsidR="00C42BF6" w:rsidRPr="00C42BF6">
        <w:rPr>
          <w:rFonts w:ascii="Century Gothic" w:eastAsia="Century Gothic" w:hAnsi="Century Gothic" w:cs="Century Gothic"/>
          <w:bCs/>
          <w:szCs w:val="24"/>
        </w:rPr>
        <w:t>}</w:t>
      </w:r>
      <w:r w:rsidRPr="00C42BF6">
        <w:rPr>
          <w:rFonts w:ascii="Century Gothic" w:eastAsia="Century Gothic" w:hAnsi="Century Gothic" w:cs="Century Gothic"/>
          <w:bCs/>
          <w:szCs w:val="24"/>
        </w:rPr>
        <w:t xml:space="preserve">9, todos de la Ley Orgánica del Poder Legislativo del Estado de Chihuahua; artículo 2, fracción IX, del Reglamento Interior y de Prácticas Parlamentarias del Poder Legislativo; comparecemos  ante este Honorable Soberanía, a fin de presentar </w:t>
      </w:r>
      <w:r w:rsidRPr="00C42BF6">
        <w:rPr>
          <w:rFonts w:ascii="Century Gothic" w:eastAsia="Century Gothic" w:hAnsi="Century Gothic" w:cs="Century Gothic"/>
          <w:b/>
          <w:szCs w:val="24"/>
        </w:rPr>
        <w:t>proposición con carácter de Punto de Acuerdo a</w:t>
      </w:r>
      <w:r w:rsidR="00C42BF6" w:rsidRPr="00C42BF6">
        <w:rPr>
          <w:rFonts w:ascii="Century Gothic" w:hAnsi="Century Gothic" w:cstheme="minorHAnsi"/>
          <w:b/>
          <w:szCs w:val="24"/>
        </w:rPr>
        <w:t xml:space="preserve"> </w:t>
      </w:r>
      <w:r w:rsidR="00C42BF6" w:rsidRPr="00C42BF6">
        <w:rPr>
          <w:rFonts w:ascii="Century Gothic" w:hAnsi="Century Gothic" w:cs="Times New Roman"/>
          <w:b/>
          <w:color w:val="0F1419"/>
          <w:szCs w:val="24"/>
        </w:rPr>
        <w:t xml:space="preserve">efecto exhortar a las </w:t>
      </w:r>
      <w:r w:rsidR="00C42BF6">
        <w:rPr>
          <w:rFonts w:ascii="Century Gothic" w:hAnsi="Century Gothic" w:cs="Times New Roman"/>
          <w:b/>
          <w:color w:val="0F1419"/>
          <w:szCs w:val="24"/>
        </w:rPr>
        <w:t>M</w:t>
      </w:r>
      <w:r w:rsidR="00C42BF6" w:rsidRPr="00C42BF6">
        <w:rPr>
          <w:rFonts w:ascii="Century Gothic" w:hAnsi="Century Gothic" w:cs="Times New Roman"/>
          <w:b/>
          <w:color w:val="0F1419"/>
          <w:szCs w:val="24"/>
        </w:rPr>
        <w:t>inistras y</w:t>
      </w:r>
      <w:r w:rsidR="00C42BF6">
        <w:rPr>
          <w:rFonts w:ascii="Century Gothic" w:hAnsi="Century Gothic" w:cs="Times New Roman"/>
          <w:b/>
          <w:color w:val="0F1419"/>
          <w:szCs w:val="24"/>
        </w:rPr>
        <w:t xml:space="preserve"> </w:t>
      </w:r>
      <w:r w:rsidR="00C42BF6" w:rsidRPr="00C42BF6">
        <w:rPr>
          <w:rFonts w:ascii="Century Gothic" w:hAnsi="Century Gothic" w:cs="Times New Roman"/>
          <w:b/>
          <w:color w:val="0F1419"/>
          <w:szCs w:val="24"/>
        </w:rPr>
        <w:t xml:space="preserve">los </w:t>
      </w:r>
      <w:r w:rsidR="00C42BF6">
        <w:rPr>
          <w:rFonts w:ascii="Century Gothic" w:hAnsi="Century Gothic" w:cs="Times New Roman"/>
          <w:b/>
          <w:color w:val="0F1419"/>
          <w:szCs w:val="24"/>
        </w:rPr>
        <w:t>M</w:t>
      </w:r>
      <w:r w:rsidR="00C42BF6" w:rsidRPr="00C42BF6">
        <w:rPr>
          <w:rFonts w:ascii="Century Gothic" w:hAnsi="Century Gothic" w:cs="Times New Roman"/>
          <w:b/>
          <w:color w:val="0F1419"/>
          <w:szCs w:val="24"/>
        </w:rPr>
        <w:t xml:space="preserve">inistros de la Suprema Corte de Justicia de la Nación para que analicen con imparcialidad los autos admisorios y medidas cautelares relacionadas con los mecanismos de control constitucional interpuestos sobre la reforma electoral, </w:t>
      </w:r>
      <w:r w:rsidR="00C42BF6" w:rsidRPr="00C42BF6">
        <w:rPr>
          <w:rFonts w:ascii="Century Gothic" w:hAnsi="Century Gothic" w:cs="Times New Roman"/>
          <w:b/>
          <w:color w:val="0F1419"/>
          <w:szCs w:val="24"/>
        </w:rPr>
        <w:lastRenderedPageBreak/>
        <w:t>siempre en cumplimiento del marco legal y constitucional</w:t>
      </w:r>
      <w:r w:rsidRPr="00C42BF6">
        <w:rPr>
          <w:rFonts w:ascii="Century Gothic" w:hAnsi="Century Gothic" w:cstheme="minorHAnsi"/>
          <w:b/>
          <w:szCs w:val="24"/>
        </w:rPr>
        <w:t>.</w:t>
      </w:r>
      <w:r w:rsidRPr="00C42BF6">
        <w:rPr>
          <w:rFonts w:ascii="Century Gothic" w:hAnsi="Century Gothic" w:cstheme="minorHAnsi"/>
          <w:szCs w:val="24"/>
        </w:rPr>
        <w:t xml:space="preserve"> L</w:t>
      </w:r>
      <w:r w:rsidRPr="00C42BF6">
        <w:rPr>
          <w:rFonts w:ascii="Century Gothic" w:eastAsia="Century Gothic" w:hAnsi="Century Gothic" w:cs="Century Gothic"/>
          <w:bCs/>
          <w:szCs w:val="24"/>
        </w:rPr>
        <w:t>o anterior bajo el sustento en la siguiente:</w:t>
      </w:r>
    </w:p>
    <w:p w14:paraId="7565EF61" w14:textId="77777777" w:rsidR="002D56F2" w:rsidRPr="002D56F2" w:rsidRDefault="002D56F2" w:rsidP="00C42BF6">
      <w:pPr>
        <w:spacing w:line="480" w:lineRule="auto"/>
        <w:ind w:left="426"/>
        <w:rPr>
          <w:rFonts w:ascii="Century Gothic" w:eastAsia="Century Gothic" w:hAnsi="Century Gothic" w:cs="Century Gothic"/>
          <w:sz w:val="22"/>
        </w:rPr>
      </w:pPr>
    </w:p>
    <w:p w14:paraId="629D509A" w14:textId="77777777" w:rsidR="002D56F2" w:rsidRPr="002D56F2" w:rsidRDefault="002D56F2" w:rsidP="00C42BF6">
      <w:pPr>
        <w:spacing w:after="160" w:line="480" w:lineRule="auto"/>
        <w:ind w:left="709"/>
        <w:jc w:val="center"/>
        <w:rPr>
          <w:rFonts w:ascii="Century Gothic" w:eastAsia="Century Gothic" w:hAnsi="Century Gothic" w:cs="Century Gothic"/>
          <w:b/>
          <w:sz w:val="22"/>
        </w:rPr>
      </w:pPr>
      <w:r w:rsidRPr="002D56F2">
        <w:rPr>
          <w:rFonts w:ascii="Century Gothic" w:eastAsia="Century Gothic" w:hAnsi="Century Gothic" w:cs="Century Gothic"/>
          <w:b/>
          <w:sz w:val="22"/>
        </w:rPr>
        <w:t>EXPOSICIÓN DE MOTIVOS</w:t>
      </w:r>
    </w:p>
    <w:p w14:paraId="43936B15" w14:textId="77777777"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Con la reforma electoral se busca el acceso democrático de la ciudadanía y la transparencia de los recursos como compromisos que la democracia debe abanderar y defender.</w:t>
      </w:r>
    </w:p>
    <w:p w14:paraId="097FDBC6" w14:textId="77777777"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El acuerdo que admitió la controversia constitucional sobre la reforma, así como la medida suspensiva del Plan B, resultan contrarias a los principios fundamentales del Estado de derecho.</w:t>
      </w:r>
    </w:p>
    <w:p w14:paraId="091EF7ED" w14:textId="3CF6A13B"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La determinación</w:t>
      </w:r>
      <w:r w:rsidR="00150E25">
        <w:rPr>
          <w:rFonts w:ascii="Century Gothic" w:hAnsi="Century Gothic" w:cs="Times New Roman"/>
          <w:szCs w:val="24"/>
        </w:rPr>
        <w:t xml:space="preserve"> del</w:t>
      </w:r>
      <w:r w:rsidRPr="00C42BF6">
        <w:rPr>
          <w:rFonts w:ascii="Century Gothic" w:hAnsi="Century Gothic" w:cs="Times New Roman"/>
          <w:szCs w:val="24"/>
        </w:rPr>
        <w:t xml:space="preserve"> ministro de la Corte</w:t>
      </w:r>
      <w:r w:rsidR="00734920">
        <w:rPr>
          <w:rFonts w:ascii="Century Gothic" w:hAnsi="Century Gothic" w:cs="Times New Roman"/>
          <w:szCs w:val="24"/>
        </w:rPr>
        <w:t>, Javier Laynez, nombrado durante el sexenio de Enrique Peña Nieto,</w:t>
      </w:r>
      <w:r w:rsidRPr="00C42BF6">
        <w:rPr>
          <w:rFonts w:ascii="Century Gothic" w:hAnsi="Century Gothic" w:cs="Times New Roman"/>
          <w:szCs w:val="24"/>
        </w:rPr>
        <w:t xml:space="preserve"> </w:t>
      </w:r>
      <w:r w:rsidR="00734920">
        <w:rPr>
          <w:rFonts w:ascii="Century Gothic" w:hAnsi="Century Gothic" w:cs="Times New Roman"/>
          <w:szCs w:val="24"/>
        </w:rPr>
        <w:t>que fue dada a conocer</w:t>
      </w:r>
      <w:r w:rsidRPr="00C42BF6">
        <w:rPr>
          <w:rFonts w:ascii="Century Gothic" w:hAnsi="Century Gothic" w:cs="Times New Roman"/>
          <w:szCs w:val="24"/>
        </w:rPr>
        <w:t xml:space="preserve"> el viernes pasado, es contraria al marco legal, y lo más grave es que ocurre en un contexto en el que en el Poder Judicial busca obstaculizar el ejercicio de gobierno de la presidencia y alinear a la SCJN con causas opositoras.</w:t>
      </w:r>
    </w:p>
    <w:p w14:paraId="0419ED08" w14:textId="41A4A2E6"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 xml:space="preserve">Tanto la admisión, como la suspensión, no sólo contravienen el principio de que la SCJN no debe inmiscuirse en asuntos de la esfera electoral de acuerdo con la Constitución, sino que </w:t>
      </w:r>
      <w:r w:rsidR="00150E25">
        <w:rPr>
          <w:rFonts w:ascii="Century Gothic" w:hAnsi="Century Gothic" w:cs="Times New Roman"/>
          <w:szCs w:val="24"/>
        </w:rPr>
        <w:t xml:space="preserve">también </w:t>
      </w:r>
      <w:r w:rsidRPr="00C42BF6">
        <w:rPr>
          <w:rFonts w:ascii="Century Gothic" w:hAnsi="Century Gothic" w:cs="Times New Roman"/>
          <w:szCs w:val="24"/>
        </w:rPr>
        <w:t xml:space="preserve">coloca </w:t>
      </w:r>
      <w:r w:rsidRPr="00C42BF6">
        <w:rPr>
          <w:rFonts w:ascii="Century Gothic" w:hAnsi="Century Gothic" w:cs="Times New Roman"/>
          <w:szCs w:val="24"/>
        </w:rPr>
        <w:lastRenderedPageBreak/>
        <w:t>al Poder Judicial como aliado de la dirección saliente del INE, la cual actúa de manera cada vez más clara como coligado de los partidos opositores y adversaria política del gobierno federal.</w:t>
      </w:r>
    </w:p>
    <w:p w14:paraId="71A70CA4" w14:textId="77777777"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El Poder Judicial está urgido de una reformulación y de una limpieza profunda, no sólo para introducir factores que permitan corregir los fallos desviados de jueces poco probos sino para restituir un funcionamiento armónico y verdaderamente equilibrado entre los Poderes de la Unión.</w:t>
      </w:r>
    </w:p>
    <w:p w14:paraId="309CED62" w14:textId="4CF58A7D"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 xml:space="preserve">Como se mencionó, </w:t>
      </w:r>
      <w:r>
        <w:rPr>
          <w:rFonts w:ascii="Century Gothic" w:hAnsi="Century Gothic" w:cs="Times New Roman"/>
          <w:szCs w:val="24"/>
        </w:rPr>
        <w:t xml:space="preserve">la </w:t>
      </w:r>
      <w:r w:rsidRPr="00C42BF6">
        <w:rPr>
          <w:rFonts w:ascii="Century Gothic" w:hAnsi="Century Gothic" w:cs="Times New Roman"/>
          <w:szCs w:val="24"/>
        </w:rPr>
        <w:t xml:space="preserve">Corte no </w:t>
      </w:r>
      <w:r>
        <w:rPr>
          <w:rFonts w:ascii="Century Gothic" w:hAnsi="Century Gothic" w:cs="Times New Roman"/>
          <w:szCs w:val="24"/>
        </w:rPr>
        <w:t>debería</w:t>
      </w:r>
      <w:r w:rsidRPr="00C42BF6">
        <w:rPr>
          <w:rFonts w:ascii="Century Gothic" w:hAnsi="Century Gothic" w:cs="Times New Roman"/>
          <w:szCs w:val="24"/>
        </w:rPr>
        <w:t xml:space="preserve"> constitucionalmente dictaminar sobre materia electoral en controversias constitucionales. Con la determinación del viernes </w:t>
      </w:r>
      <w:r w:rsidR="00734920">
        <w:rPr>
          <w:rFonts w:ascii="Century Gothic" w:hAnsi="Century Gothic" w:cs="Times New Roman"/>
          <w:szCs w:val="24"/>
        </w:rPr>
        <w:t>se corrompieron</w:t>
      </w:r>
      <w:r w:rsidRPr="00C42BF6">
        <w:rPr>
          <w:rFonts w:ascii="Century Gothic" w:hAnsi="Century Gothic" w:cs="Times New Roman"/>
          <w:szCs w:val="24"/>
        </w:rPr>
        <w:t xml:space="preserve"> los precedentes jurisprudenciales y se </w:t>
      </w:r>
      <w:r w:rsidR="00150E25">
        <w:rPr>
          <w:rFonts w:ascii="Century Gothic" w:hAnsi="Century Gothic" w:cs="Times New Roman"/>
          <w:szCs w:val="24"/>
        </w:rPr>
        <w:t>dejó de lado</w:t>
      </w:r>
      <w:r w:rsidRPr="00C42BF6">
        <w:rPr>
          <w:rFonts w:ascii="Century Gothic" w:hAnsi="Century Gothic" w:cs="Times New Roman"/>
          <w:szCs w:val="24"/>
        </w:rPr>
        <w:t xml:space="preserve"> la presunción de validez constitucional que toda norma general posee.</w:t>
      </w:r>
    </w:p>
    <w:p w14:paraId="0F4BA18B" w14:textId="102DE8E6"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 xml:space="preserve">En materia de controversias constitucionales los efectos de una norma se </w:t>
      </w:r>
      <w:r w:rsidR="00734920">
        <w:rPr>
          <w:rFonts w:ascii="Century Gothic" w:hAnsi="Century Gothic" w:cs="Times New Roman"/>
          <w:szCs w:val="24"/>
        </w:rPr>
        <w:t xml:space="preserve">pueden </w:t>
      </w:r>
      <w:r w:rsidR="00150E25">
        <w:rPr>
          <w:rFonts w:ascii="Century Gothic" w:hAnsi="Century Gothic" w:cs="Times New Roman"/>
          <w:szCs w:val="24"/>
        </w:rPr>
        <w:t>conceder,</w:t>
      </w:r>
      <w:r w:rsidR="00734920">
        <w:rPr>
          <w:rFonts w:ascii="Century Gothic" w:hAnsi="Century Gothic" w:cs="Times New Roman"/>
          <w:szCs w:val="24"/>
        </w:rPr>
        <w:t xml:space="preserve"> pero solo </w:t>
      </w:r>
      <w:r w:rsidRPr="00C42BF6">
        <w:rPr>
          <w:rFonts w:ascii="Century Gothic" w:hAnsi="Century Gothic" w:cs="Times New Roman"/>
          <w:szCs w:val="24"/>
        </w:rPr>
        <w:t>de manera excepcional</w:t>
      </w:r>
      <w:r w:rsidR="00150E25">
        <w:rPr>
          <w:rFonts w:ascii="Century Gothic" w:hAnsi="Century Gothic" w:cs="Times New Roman"/>
          <w:szCs w:val="24"/>
        </w:rPr>
        <w:t xml:space="preserve">. La </w:t>
      </w:r>
      <w:r w:rsidRPr="00C42BF6">
        <w:rPr>
          <w:rFonts w:ascii="Century Gothic" w:hAnsi="Century Gothic" w:cs="Times New Roman"/>
          <w:szCs w:val="24"/>
        </w:rPr>
        <w:t xml:space="preserve">suspensión se decreta en relación con actos concretos, es decir, al existir partes involucradas que aducen contar con un interés jurídico o legítimo. </w:t>
      </w:r>
    </w:p>
    <w:p w14:paraId="63811C46" w14:textId="03858E26"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lastRenderedPageBreak/>
        <w:t>Sin embargo, es falso que con la reforma electoral se pongan en riesgo los derechos fundamentales de la ciudadanía</w:t>
      </w:r>
      <w:r w:rsidR="00734920">
        <w:rPr>
          <w:rFonts w:ascii="Century Gothic" w:hAnsi="Century Gothic" w:cs="Times New Roman"/>
          <w:szCs w:val="24"/>
        </w:rPr>
        <w:t xml:space="preserve">. Además, el ministro no dio justificación los actos </w:t>
      </w:r>
      <w:r w:rsidR="00150E25">
        <w:rPr>
          <w:rFonts w:ascii="Century Gothic" w:hAnsi="Century Gothic" w:cs="Times New Roman"/>
          <w:szCs w:val="24"/>
        </w:rPr>
        <w:t>concretos,</w:t>
      </w:r>
      <w:r w:rsidR="00734920">
        <w:rPr>
          <w:rFonts w:ascii="Century Gothic" w:hAnsi="Century Gothic" w:cs="Times New Roman"/>
          <w:szCs w:val="24"/>
        </w:rPr>
        <w:t xml:space="preserve"> sino que suspendió la aplicación de todas las reformas</w:t>
      </w:r>
      <w:r w:rsidR="00150E25">
        <w:rPr>
          <w:rFonts w:ascii="Century Gothic" w:hAnsi="Century Gothic" w:cs="Times New Roman"/>
          <w:szCs w:val="24"/>
        </w:rPr>
        <w:t>, totalmente en contra de lo establecido en la ley reglamentaria y los precedentes judiciales.</w:t>
      </w:r>
    </w:p>
    <w:p w14:paraId="6B268DE8" w14:textId="0CB5593A" w:rsidR="00C42BF6" w:rsidRPr="00C42BF6" w:rsidRDefault="00C42BF6" w:rsidP="00C42BF6">
      <w:pPr>
        <w:spacing w:after="120" w:line="480" w:lineRule="auto"/>
        <w:ind w:left="851"/>
        <w:rPr>
          <w:rFonts w:ascii="Century Gothic" w:hAnsi="Century Gothic" w:cs="Times New Roman"/>
          <w:szCs w:val="24"/>
          <w:lang w:eastAsia="es-MX"/>
        </w:rPr>
      </w:pPr>
      <w:r w:rsidRPr="00C42BF6">
        <w:rPr>
          <w:rFonts w:ascii="Century Gothic" w:hAnsi="Century Gothic" w:cs="Times New Roman"/>
          <w:szCs w:val="24"/>
          <w:lang w:eastAsia="es-MX"/>
        </w:rPr>
        <w:t>Confiamos</w:t>
      </w:r>
      <w:r w:rsidRPr="00C730C6">
        <w:rPr>
          <w:rFonts w:ascii="Century Gothic" w:hAnsi="Century Gothic" w:cs="Times New Roman"/>
          <w:szCs w:val="24"/>
          <w:lang w:eastAsia="es-MX"/>
        </w:rPr>
        <w:t xml:space="preserve"> en que el </w:t>
      </w:r>
      <w:r w:rsidRPr="00C42BF6">
        <w:rPr>
          <w:rFonts w:ascii="Century Gothic" w:hAnsi="Century Gothic" w:cs="Times New Roman"/>
          <w:szCs w:val="24"/>
          <w:lang w:eastAsia="es-MX"/>
        </w:rPr>
        <w:t>buen criterio y juicio</w:t>
      </w:r>
      <w:r w:rsidRPr="00C730C6">
        <w:rPr>
          <w:rFonts w:ascii="Century Gothic" w:hAnsi="Century Gothic" w:cs="Times New Roman"/>
          <w:szCs w:val="24"/>
          <w:lang w:eastAsia="es-MX"/>
        </w:rPr>
        <w:t xml:space="preserve"> analítico e interpretativo por parte de l</w:t>
      </w:r>
      <w:r w:rsidRPr="00C42BF6">
        <w:rPr>
          <w:rFonts w:ascii="Century Gothic" w:hAnsi="Century Gothic" w:cs="Times New Roman"/>
          <w:szCs w:val="24"/>
          <w:lang w:eastAsia="es-MX"/>
        </w:rPr>
        <w:t xml:space="preserve">as demás ministras y </w:t>
      </w:r>
      <w:r w:rsidRPr="00C730C6">
        <w:rPr>
          <w:rFonts w:ascii="Century Gothic" w:hAnsi="Century Gothic" w:cs="Times New Roman"/>
          <w:szCs w:val="24"/>
          <w:lang w:eastAsia="es-MX"/>
        </w:rPr>
        <w:t>ministros</w:t>
      </w:r>
      <w:r w:rsidRPr="00C42BF6">
        <w:rPr>
          <w:rFonts w:ascii="Century Gothic" w:hAnsi="Century Gothic" w:cs="Times New Roman"/>
          <w:szCs w:val="24"/>
          <w:lang w:eastAsia="es-MX"/>
        </w:rPr>
        <w:t>, y</w:t>
      </w:r>
      <w:r>
        <w:rPr>
          <w:rFonts w:ascii="Century Gothic" w:hAnsi="Century Gothic" w:cs="Times New Roman"/>
          <w:szCs w:val="24"/>
          <w:lang w:eastAsia="es-MX"/>
        </w:rPr>
        <w:t xml:space="preserve"> que</w:t>
      </w:r>
      <w:r w:rsidRPr="00C42BF6">
        <w:rPr>
          <w:rFonts w:ascii="Century Gothic" w:hAnsi="Century Gothic" w:cs="Times New Roman"/>
          <w:szCs w:val="24"/>
          <w:lang w:eastAsia="es-MX"/>
        </w:rPr>
        <w:t xml:space="preserve"> </w:t>
      </w:r>
      <w:r>
        <w:rPr>
          <w:rFonts w:ascii="Century Gothic" w:hAnsi="Century Gothic" w:cs="Times New Roman"/>
          <w:szCs w:val="24"/>
          <w:lang w:eastAsia="es-MX"/>
        </w:rPr>
        <w:t>cumplirán</w:t>
      </w:r>
      <w:r w:rsidRPr="00C42BF6">
        <w:rPr>
          <w:rFonts w:ascii="Century Gothic" w:hAnsi="Century Gothic" w:cs="Times New Roman"/>
          <w:szCs w:val="24"/>
          <w:lang w:eastAsia="es-MX"/>
        </w:rPr>
        <w:t xml:space="preserve"> con el marco legal y constitucional para </w:t>
      </w:r>
      <w:r w:rsidRPr="00C730C6">
        <w:rPr>
          <w:rFonts w:ascii="Century Gothic" w:hAnsi="Century Gothic" w:cs="Times New Roman"/>
          <w:szCs w:val="24"/>
          <w:lang w:eastAsia="es-MX"/>
        </w:rPr>
        <w:t>que vivamos en un país verdaderamente democrático.</w:t>
      </w:r>
    </w:p>
    <w:p w14:paraId="411EED60" w14:textId="5C941A44" w:rsidR="00C42BF6" w:rsidRPr="00C42BF6" w:rsidRDefault="00C42BF6" w:rsidP="00C42BF6">
      <w:pPr>
        <w:spacing w:after="120" w:line="480" w:lineRule="auto"/>
        <w:ind w:left="851"/>
        <w:rPr>
          <w:rFonts w:ascii="Century Gothic" w:hAnsi="Century Gothic" w:cs="Times New Roman"/>
          <w:szCs w:val="24"/>
        </w:rPr>
      </w:pPr>
      <w:r w:rsidRPr="00C42BF6">
        <w:rPr>
          <w:rFonts w:ascii="Century Gothic" w:hAnsi="Century Gothic" w:cs="Times New Roman"/>
          <w:szCs w:val="24"/>
        </w:rPr>
        <w:t xml:space="preserve">Los objetivos principales de la Reforma Electoral son la austeridad republicana y la reestructuración del INE. El plan B lo hicieron y aprobaron la mayoría de las legisladoras y </w:t>
      </w:r>
      <w:r>
        <w:rPr>
          <w:rFonts w:ascii="Century Gothic" w:hAnsi="Century Gothic" w:cs="Times New Roman"/>
          <w:szCs w:val="24"/>
        </w:rPr>
        <w:t xml:space="preserve">los </w:t>
      </w:r>
      <w:r w:rsidRPr="00C42BF6">
        <w:rPr>
          <w:rFonts w:ascii="Century Gothic" w:hAnsi="Century Gothic" w:cs="Times New Roman"/>
          <w:szCs w:val="24"/>
        </w:rPr>
        <w:t>legisladores que elegimos. Hay que defender al INE, pero de la oligarquía</w:t>
      </w:r>
      <w:r>
        <w:rPr>
          <w:rFonts w:ascii="Century Gothic" w:hAnsi="Century Gothic" w:cs="Times New Roman"/>
          <w:szCs w:val="24"/>
        </w:rPr>
        <w:t>;</w:t>
      </w:r>
      <w:r w:rsidRPr="00C42BF6">
        <w:rPr>
          <w:rFonts w:ascii="Century Gothic" w:hAnsi="Century Gothic" w:cs="Times New Roman"/>
          <w:szCs w:val="24"/>
        </w:rPr>
        <w:t xml:space="preserve"> porque la democracia en México es el pueblo.</w:t>
      </w:r>
    </w:p>
    <w:p w14:paraId="4F36F5FE" w14:textId="77777777" w:rsidR="002D56F2" w:rsidRPr="002D56F2" w:rsidRDefault="002D56F2" w:rsidP="00C42BF6">
      <w:pPr>
        <w:spacing w:after="120" w:line="480" w:lineRule="auto"/>
        <w:ind w:left="426"/>
        <w:jc w:val="center"/>
        <w:rPr>
          <w:rFonts w:ascii="Century Gothic" w:eastAsia="Century Gothic" w:hAnsi="Century Gothic" w:cs="Century Gothic"/>
          <w:b/>
          <w:bCs/>
          <w:sz w:val="22"/>
        </w:rPr>
      </w:pPr>
    </w:p>
    <w:p w14:paraId="0A8800B2" w14:textId="77777777" w:rsidR="002D56F2" w:rsidRPr="00C42BF6" w:rsidRDefault="002D56F2" w:rsidP="00C42BF6">
      <w:pPr>
        <w:spacing w:after="120" w:line="480" w:lineRule="auto"/>
        <w:ind w:left="426"/>
        <w:jc w:val="center"/>
        <w:rPr>
          <w:rFonts w:ascii="Century Gothic" w:eastAsia="Century Gothic" w:hAnsi="Century Gothic" w:cs="Century Gothic"/>
          <w:b/>
          <w:bCs/>
          <w:szCs w:val="24"/>
        </w:rPr>
      </w:pPr>
      <w:r w:rsidRPr="00C42BF6">
        <w:rPr>
          <w:rFonts w:ascii="Century Gothic" w:eastAsia="Century Gothic" w:hAnsi="Century Gothic" w:cs="Century Gothic"/>
          <w:b/>
          <w:bCs/>
          <w:szCs w:val="24"/>
        </w:rPr>
        <w:t>ACUERDO:</w:t>
      </w:r>
    </w:p>
    <w:p w14:paraId="1E8F63F7" w14:textId="778E7BC0" w:rsidR="002D56F2" w:rsidRPr="00C42BF6" w:rsidRDefault="002D56F2" w:rsidP="00C42BF6">
      <w:pPr>
        <w:pStyle w:val="Prrafodelista"/>
        <w:spacing w:after="120" w:line="480" w:lineRule="auto"/>
        <w:ind w:left="709"/>
        <w:rPr>
          <w:rFonts w:ascii="Century Gothic" w:hAnsi="Century Gothic" w:cstheme="minorHAnsi"/>
          <w:b/>
          <w:szCs w:val="24"/>
        </w:rPr>
      </w:pPr>
      <w:r w:rsidRPr="00C42BF6">
        <w:rPr>
          <w:rFonts w:ascii="Century Gothic" w:eastAsia="Century Gothic" w:hAnsi="Century Gothic" w:cs="Century Gothic"/>
          <w:b/>
          <w:szCs w:val="24"/>
        </w:rPr>
        <w:t xml:space="preserve">PRIMERO.  La Sexagésima Séptima Legislatura </w:t>
      </w:r>
      <w:r w:rsidR="00C42BF6" w:rsidRPr="00C42BF6">
        <w:rPr>
          <w:rFonts w:ascii="Century Gothic" w:hAnsi="Century Gothic" w:cs="Times New Roman"/>
          <w:b/>
          <w:color w:val="0F1419"/>
          <w:szCs w:val="24"/>
        </w:rPr>
        <w:t xml:space="preserve">exhorta a las Ministras y los Ministros de la Suprema Corte de Justicia de la Nación para que analicen con imparcialidad los autos admisorios y medidas cautelares </w:t>
      </w:r>
      <w:r w:rsidR="00C42BF6" w:rsidRPr="00C42BF6">
        <w:rPr>
          <w:rFonts w:ascii="Century Gothic" w:hAnsi="Century Gothic" w:cs="Times New Roman"/>
          <w:b/>
          <w:color w:val="0F1419"/>
          <w:szCs w:val="24"/>
        </w:rPr>
        <w:lastRenderedPageBreak/>
        <w:t>relacionadas con los mecanismos de control constitucional interpuestos sobre la reforma electoral, siempre en cumplimiento del marco legal y constitucional</w:t>
      </w:r>
      <w:r w:rsidR="00C42BF6">
        <w:rPr>
          <w:rFonts w:ascii="Century Gothic" w:hAnsi="Century Gothic" w:cs="Times New Roman"/>
          <w:b/>
          <w:color w:val="0F1419"/>
          <w:szCs w:val="24"/>
        </w:rPr>
        <w:t>.</w:t>
      </w:r>
    </w:p>
    <w:p w14:paraId="00B2719F" w14:textId="77777777" w:rsidR="005C4738" w:rsidRPr="002D56F2" w:rsidRDefault="005C4738" w:rsidP="00C42BF6">
      <w:pPr>
        <w:pStyle w:val="Prrafodelista"/>
        <w:spacing w:after="120" w:line="480" w:lineRule="auto"/>
        <w:ind w:left="426"/>
        <w:rPr>
          <w:rFonts w:ascii="Century Gothic" w:hAnsi="Century Gothic"/>
          <w:b/>
          <w:sz w:val="22"/>
        </w:rPr>
      </w:pPr>
    </w:p>
    <w:p w14:paraId="7DFAB027" w14:textId="77777777" w:rsidR="002D56F2" w:rsidRPr="00C42BF6" w:rsidRDefault="002D56F2" w:rsidP="00C42BF6">
      <w:pPr>
        <w:spacing w:after="120" w:line="480" w:lineRule="auto"/>
        <w:ind w:left="709"/>
        <w:rPr>
          <w:rFonts w:ascii="Century Gothic" w:hAnsi="Century Gothic" w:cs="Arial"/>
          <w:szCs w:val="24"/>
        </w:rPr>
      </w:pPr>
      <w:r w:rsidRPr="00C42BF6">
        <w:rPr>
          <w:rFonts w:ascii="Century Gothic" w:hAnsi="Century Gothic" w:cs="Arial"/>
          <w:b/>
          <w:szCs w:val="24"/>
        </w:rPr>
        <w:t xml:space="preserve">ECONÓMICO. </w:t>
      </w:r>
      <w:r w:rsidRPr="00C42BF6">
        <w:rPr>
          <w:rFonts w:ascii="Century Gothic" w:hAnsi="Century Gothic" w:cs="Arial"/>
          <w:szCs w:val="24"/>
        </w:rPr>
        <w:t>Aprobado que sea, remítase copia del presente acuerdo, así como de la proposición que le dio origen a la autoridad antes mencionada.</w:t>
      </w:r>
    </w:p>
    <w:p w14:paraId="1544B591" w14:textId="6A3EFB15" w:rsidR="002D56F2" w:rsidRPr="00C42BF6" w:rsidRDefault="002D56F2" w:rsidP="00C42BF6">
      <w:pPr>
        <w:spacing w:after="120" w:line="480" w:lineRule="auto"/>
        <w:ind w:left="709"/>
        <w:rPr>
          <w:rFonts w:ascii="Century Gothic" w:eastAsia="Century Gothic" w:hAnsi="Century Gothic" w:cs="Century Gothic"/>
          <w:szCs w:val="24"/>
        </w:rPr>
      </w:pPr>
      <w:r w:rsidRPr="00C42BF6">
        <w:rPr>
          <w:rFonts w:ascii="Century Gothic" w:eastAsia="Century Gothic" w:hAnsi="Century Gothic" w:cs="Century Gothic"/>
          <w:szCs w:val="24"/>
        </w:rPr>
        <w:t xml:space="preserve">Dado en el Recinto Oficial del Congreso del Estado de Chihuahua, a los </w:t>
      </w:r>
      <w:r w:rsidR="00C42BF6" w:rsidRPr="00C42BF6">
        <w:rPr>
          <w:rFonts w:ascii="Century Gothic" w:eastAsia="Century Gothic" w:hAnsi="Century Gothic" w:cs="Century Gothic"/>
          <w:szCs w:val="24"/>
        </w:rPr>
        <w:t>2</w:t>
      </w:r>
      <w:r w:rsidR="00C42BF6">
        <w:rPr>
          <w:rFonts w:ascii="Century Gothic" w:eastAsia="Century Gothic" w:hAnsi="Century Gothic" w:cs="Century Gothic"/>
          <w:szCs w:val="24"/>
        </w:rPr>
        <w:t>8</w:t>
      </w:r>
      <w:r w:rsidRPr="00C42BF6">
        <w:rPr>
          <w:rFonts w:ascii="Century Gothic" w:eastAsia="Century Gothic" w:hAnsi="Century Gothic" w:cs="Century Gothic"/>
          <w:szCs w:val="24"/>
        </w:rPr>
        <w:t xml:space="preserve"> días del mes de marzo del 2023.</w:t>
      </w:r>
    </w:p>
    <w:p w14:paraId="07F636A6" w14:textId="77777777" w:rsidR="002D56F2" w:rsidRPr="002D56F2" w:rsidRDefault="002D56F2" w:rsidP="00C42BF6">
      <w:pPr>
        <w:spacing w:after="120" w:line="480" w:lineRule="auto"/>
        <w:ind w:left="709"/>
        <w:rPr>
          <w:rFonts w:ascii="Century Gothic" w:hAnsi="Century Gothic" w:cstheme="majorHAnsi"/>
          <w:b/>
          <w:sz w:val="22"/>
        </w:rPr>
      </w:pPr>
    </w:p>
    <w:p w14:paraId="0B9B2FE9" w14:textId="77777777" w:rsidR="002D56F2" w:rsidRPr="002D56F2" w:rsidRDefault="002D56F2" w:rsidP="00C42BF6">
      <w:pPr>
        <w:spacing w:after="120" w:line="480" w:lineRule="auto"/>
        <w:ind w:left="426"/>
        <w:jc w:val="center"/>
        <w:rPr>
          <w:rFonts w:ascii="Century Gothic" w:hAnsi="Century Gothic" w:cstheme="majorHAnsi"/>
          <w:b/>
          <w:sz w:val="22"/>
        </w:rPr>
      </w:pPr>
      <w:r w:rsidRPr="002D56F2">
        <w:rPr>
          <w:rFonts w:ascii="Century Gothic" w:hAnsi="Century Gothic" w:cstheme="majorHAnsi"/>
          <w:b/>
          <w:sz w:val="22"/>
        </w:rPr>
        <w:t>A T E N T A M E N T E</w:t>
      </w:r>
    </w:p>
    <w:p w14:paraId="5B89BA8F" w14:textId="77777777" w:rsidR="002D56F2" w:rsidRPr="002D56F2" w:rsidRDefault="002D56F2" w:rsidP="00C42BF6">
      <w:pPr>
        <w:spacing w:after="120" w:line="480" w:lineRule="auto"/>
        <w:ind w:left="426"/>
        <w:jc w:val="center"/>
        <w:rPr>
          <w:rFonts w:ascii="Century Gothic" w:hAnsi="Century Gothic" w:cstheme="majorHAnsi"/>
          <w:b/>
          <w:bCs/>
          <w:sz w:val="22"/>
        </w:rPr>
      </w:pPr>
    </w:p>
    <w:p w14:paraId="4DC6F3A3" w14:textId="77777777" w:rsidR="002D56F2" w:rsidRPr="002D56F2" w:rsidRDefault="002D56F2" w:rsidP="00C42BF6">
      <w:pPr>
        <w:spacing w:after="120" w:line="480" w:lineRule="auto"/>
        <w:ind w:left="426"/>
        <w:jc w:val="center"/>
        <w:rPr>
          <w:rFonts w:ascii="Century Gothic" w:hAnsi="Century Gothic" w:cstheme="majorHAnsi"/>
          <w:b/>
          <w:bCs/>
          <w:sz w:val="22"/>
        </w:rPr>
      </w:pPr>
    </w:p>
    <w:p w14:paraId="647D9F6F" w14:textId="77777777" w:rsidR="002D56F2" w:rsidRPr="002D56F2" w:rsidRDefault="002D56F2" w:rsidP="00C42BF6">
      <w:pPr>
        <w:spacing w:after="120" w:line="480" w:lineRule="auto"/>
        <w:ind w:left="426"/>
        <w:jc w:val="center"/>
        <w:rPr>
          <w:rFonts w:ascii="Century Gothic" w:hAnsi="Century Gothic" w:cstheme="majorHAnsi"/>
          <w:b/>
          <w:bCs/>
          <w:sz w:val="22"/>
        </w:rPr>
      </w:pPr>
      <w:r w:rsidRPr="002D56F2">
        <w:rPr>
          <w:rFonts w:ascii="Century Gothic" w:hAnsi="Century Gothic" w:cstheme="majorHAnsi"/>
          <w:b/>
          <w:bCs/>
          <w:sz w:val="22"/>
        </w:rPr>
        <w:t>DIP. LETICIA ORTEGA MÁYNEZ</w:t>
      </w:r>
    </w:p>
    <w:tbl>
      <w:tblPr>
        <w:tblStyle w:val="Tablaconcuadrcula1"/>
        <w:tblpPr w:leftFromText="141" w:rightFromText="141" w:vertAnchor="text" w:horzAnchor="margin" w:tblpY="107"/>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4443"/>
      </w:tblGrid>
      <w:tr w:rsidR="002D56F2" w:rsidRPr="002D56F2" w14:paraId="0E104FCF" w14:textId="77777777">
        <w:trPr>
          <w:trHeight w:val="1640"/>
        </w:trPr>
        <w:tc>
          <w:tcPr>
            <w:tcW w:w="4443" w:type="dxa"/>
            <w:vAlign w:val="bottom"/>
          </w:tcPr>
          <w:p w14:paraId="425A62C1" w14:textId="77777777" w:rsidR="002D56F2" w:rsidRPr="002D56F2" w:rsidRDefault="002D56F2" w:rsidP="00C42BF6">
            <w:pPr>
              <w:spacing w:after="120" w:line="480" w:lineRule="auto"/>
              <w:ind w:left="426"/>
              <w:jc w:val="center"/>
              <w:rPr>
                <w:rFonts w:ascii="Century Gothic" w:hAnsi="Century Gothic" w:cstheme="majorHAnsi"/>
                <w:b/>
                <w:bCs/>
              </w:rPr>
            </w:pPr>
          </w:p>
          <w:p w14:paraId="208B6281" w14:textId="77777777" w:rsidR="002D56F2" w:rsidRPr="002D56F2" w:rsidRDefault="002D56F2" w:rsidP="00C42BF6">
            <w:pPr>
              <w:spacing w:after="120" w:line="480" w:lineRule="auto"/>
              <w:ind w:left="426"/>
              <w:jc w:val="center"/>
              <w:rPr>
                <w:rFonts w:ascii="Century Gothic" w:hAnsi="Century Gothic" w:cstheme="majorHAnsi"/>
                <w:b/>
                <w:bCs/>
              </w:rPr>
            </w:pPr>
          </w:p>
          <w:p w14:paraId="1E4EA0EB" w14:textId="77777777" w:rsidR="002D56F2" w:rsidRPr="002D56F2" w:rsidRDefault="002D56F2" w:rsidP="00C42BF6">
            <w:pPr>
              <w:spacing w:after="120" w:line="480" w:lineRule="auto"/>
              <w:ind w:left="426"/>
              <w:jc w:val="center"/>
              <w:rPr>
                <w:rFonts w:ascii="Century Gothic" w:hAnsi="Century Gothic" w:cstheme="majorHAnsi"/>
                <w:b/>
                <w:bCs/>
              </w:rPr>
            </w:pPr>
          </w:p>
          <w:p w14:paraId="498017BC" w14:textId="77777777"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DIP.MARIA ANTONIETA PÉREZ REYES</w:t>
            </w:r>
          </w:p>
          <w:p w14:paraId="521B6242" w14:textId="77777777" w:rsidR="002D56F2" w:rsidRPr="002D56F2" w:rsidRDefault="002D56F2" w:rsidP="00C42BF6">
            <w:pPr>
              <w:spacing w:after="120" w:line="480" w:lineRule="auto"/>
              <w:ind w:left="426"/>
              <w:jc w:val="center"/>
              <w:rPr>
                <w:rFonts w:ascii="Century Gothic" w:hAnsi="Century Gothic" w:cstheme="majorHAnsi"/>
                <w:b/>
                <w:bCs/>
              </w:rPr>
            </w:pPr>
          </w:p>
        </w:tc>
        <w:tc>
          <w:tcPr>
            <w:tcW w:w="4443" w:type="dxa"/>
            <w:vAlign w:val="center"/>
          </w:tcPr>
          <w:p w14:paraId="7F956B71" w14:textId="77777777" w:rsidR="002D56F2" w:rsidRPr="002D56F2" w:rsidRDefault="002D56F2" w:rsidP="00C42BF6">
            <w:pPr>
              <w:spacing w:after="120" w:line="480" w:lineRule="auto"/>
              <w:ind w:left="426"/>
              <w:jc w:val="center"/>
              <w:rPr>
                <w:rFonts w:ascii="Century Gothic" w:hAnsi="Century Gothic" w:cstheme="majorHAnsi"/>
                <w:b/>
                <w:bCs/>
              </w:rPr>
            </w:pPr>
          </w:p>
          <w:p w14:paraId="2247DCB7" w14:textId="77777777" w:rsidR="002D56F2" w:rsidRPr="002D56F2" w:rsidRDefault="002D56F2" w:rsidP="00C42BF6">
            <w:pPr>
              <w:spacing w:after="120" w:line="480" w:lineRule="auto"/>
              <w:ind w:left="426"/>
              <w:jc w:val="center"/>
              <w:rPr>
                <w:rFonts w:ascii="Century Gothic" w:hAnsi="Century Gothic" w:cstheme="majorHAnsi"/>
                <w:b/>
                <w:bCs/>
              </w:rPr>
            </w:pPr>
          </w:p>
          <w:p w14:paraId="39EB2C53" w14:textId="77777777"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DIP. ÓSCAR DANIEL AVITIA ARELLANES</w:t>
            </w:r>
          </w:p>
        </w:tc>
      </w:tr>
      <w:tr w:rsidR="002D56F2" w:rsidRPr="002D56F2" w14:paraId="1AD4DA68" w14:textId="77777777">
        <w:trPr>
          <w:trHeight w:val="1640"/>
        </w:trPr>
        <w:tc>
          <w:tcPr>
            <w:tcW w:w="4443" w:type="dxa"/>
            <w:vAlign w:val="bottom"/>
          </w:tcPr>
          <w:p w14:paraId="22D28201" w14:textId="3605CD66"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DIP. ROSANA DÍAZ</w:t>
            </w:r>
          </w:p>
          <w:p w14:paraId="00D236FC" w14:textId="77777777"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REYES</w:t>
            </w:r>
          </w:p>
        </w:tc>
        <w:tc>
          <w:tcPr>
            <w:tcW w:w="4443" w:type="dxa"/>
            <w:vAlign w:val="bottom"/>
          </w:tcPr>
          <w:p w14:paraId="1B941420" w14:textId="77777777"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DIP. GUSTAVO DE LA ROSA HICKERSON</w:t>
            </w:r>
          </w:p>
        </w:tc>
      </w:tr>
      <w:tr w:rsidR="002D56F2" w:rsidRPr="002D56F2" w14:paraId="3C1D486C" w14:textId="77777777">
        <w:trPr>
          <w:trHeight w:val="1640"/>
        </w:trPr>
        <w:tc>
          <w:tcPr>
            <w:tcW w:w="4443" w:type="dxa"/>
            <w:vAlign w:val="bottom"/>
          </w:tcPr>
          <w:p w14:paraId="72CB9165" w14:textId="77777777"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rPr>
              <w:t>DIP.</w:t>
            </w:r>
            <w:r w:rsidRPr="002D56F2">
              <w:rPr>
                <w:rFonts w:ascii="Century Gothic" w:eastAsia="Times New Roman" w:hAnsi="Century Gothic" w:cstheme="majorHAnsi"/>
                <w:b/>
              </w:rPr>
              <w:t xml:space="preserve"> EDIN CUAUHTÉMOC ESTRADA SOTELO</w:t>
            </w:r>
          </w:p>
        </w:tc>
        <w:tc>
          <w:tcPr>
            <w:tcW w:w="4443" w:type="dxa"/>
            <w:vAlign w:val="bottom"/>
          </w:tcPr>
          <w:p w14:paraId="0695CE70" w14:textId="77777777"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eastAsia="Times New Roman" w:hAnsi="Century Gothic" w:cstheme="majorHAnsi"/>
                <w:b/>
              </w:rPr>
              <w:t>DIP. MAGDALENA RENTERÍA PÉREZ</w:t>
            </w:r>
          </w:p>
        </w:tc>
      </w:tr>
      <w:tr w:rsidR="002D56F2" w:rsidRPr="002D56F2" w14:paraId="04BD7A38" w14:textId="77777777">
        <w:trPr>
          <w:trHeight w:val="1640"/>
        </w:trPr>
        <w:tc>
          <w:tcPr>
            <w:tcW w:w="4443" w:type="dxa"/>
            <w:vAlign w:val="bottom"/>
          </w:tcPr>
          <w:p w14:paraId="4A7037BE" w14:textId="77777777" w:rsidR="002D56F2" w:rsidRPr="002D56F2" w:rsidRDefault="002D56F2" w:rsidP="00C42BF6">
            <w:pPr>
              <w:spacing w:after="120" w:line="480" w:lineRule="auto"/>
              <w:ind w:left="426"/>
              <w:jc w:val="center"/>
              <w:rPr>
                <w:rFonts w:ascii="Century Gothic" w:hAnsi="Century Gothic" w:cstheme="majorHAnsi"/>
                <w:b/>
                <w:bCs/>
              </w:rPr>
            </w:pPr>
          </w:p>
          <w:p w14:paraId="4E174C10" w14:textId="77777777" w:rsidR="002D56F2" w:rsidRPr="002D56F2" w:rsidRDefault="002D56F2" w:rsidP="00C42BF6">
            <w:pPr>
              <w:spacing w:after="120" w:line="480" w:lineRule="auto"/>
              <w:ind w:left="426"/>
              <w:jc w:val="center"/>
              <w:rPr>
                <w:rFonts w:ascii="Century Gothic" w:hAnsi="Century Gothic" w:cstheme="majorHAnsi"/>
                <w:b/>
                <w:bCs/>
              </w:rPr>
            </w:pPr>
          </w:p>
          <w:p w14:paraId="6ECDEC0F" w14:textId="77777777" w:rsidR="002D56F2" w:rsidRPr="002D56F2" w:rsidRDefault="002D56F2" w:rsidP="00C42BF6">
            <w:pPr>
              <w:spacing w:after="120" w:line="480" w:lineRule="auto"/>
              <w:ind w:left="426"/>
              <w:jc w:val="center"/>
              <w:rPr>
                <w:rFonts w:ascii="Century Gothic" w:hAnsi="Century Gothic" w:cstheme="majorHAnsi"/>
                <w:b/>
                <w:bCs/>
              </w:rPr>
            </w:pPr>
          </w:p>
          <w:p w14:paraId="6CE5EB04" w14:textId="17A581DA"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DIP. ILSE AMÉRICA GARCÍA SOTO</w:t>
            </w:r>
          </w:p>
        </w:tc>
        <w:tc>
          <w:tcPr>
            <w:tcW w:w="4443" w:type="dxa"/>
            <w:vAlign w:val="bottom"/>
          </w:tcPr>
          <w:p w14:paraId="4B75E420" w14:textId="77777777"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DIP. BENJAMÍN CARRERA CHÁVEZ</w:t>
            </w:r>
          </w:p>
        </w:tc>
      </w:tr>
      <w:tr w:rsidR="002D56F2" w:rsidRPr="002D56F2" w14:paraId="46D5B507" w14:textId="77777777">
        <w:trPr>
          <w:trHeight w:val="1640"/>
        </w:trPr>
        <w:tc>
          <w:tcPr>
            <w:tcW w:w="4443" w:type="dxa"/>
            <w:vAlign w:val="bottom"/>
          </w:tcPr>
          <w:p w14:paraId="16339A01" w14:textId="77777777" w:rsidR="00C42BF6" w:rsidRDefault="00C42BF6" w:rsidP="00C42BF6">
            <w:pPr>
              <w:spacing w:after="120" w:line="480" w:lineRule="auto"/>
              <w:ind w:left="426"/>
              <w:jc w:val="center"/>
              <w:rPr>
                <w:rFonts w:ascii="Century Gothic" w:hAnsi="Century Gothic" w:cstheme="majorHAnsi"/>
                <w:b/>
                <w:bCs/>
              </w:rPr>
            </w:pPr>
          </w:p>
          <w:p w14:paraId="47D01FE9" w14:textId="77777777" w:rsidR="00C42BF6" w:rsidRDefault="00C42BF6" w:rsidP="00C42BF6">
            <w:pPr>
              <w:spacing w:after="120" w:line="480" w:lineRule="auto"/>
              <w:ind w:left="426"/>
              <w:jc w:val="center"/>
              <w:rPr>
                <w:rFonts w:ascii="Century Gothic" w:hAnsi="Century Gothic" w:cstheme="majorHAnsi"/>
                <w:b/>
                <w:bCs/>
              </w:rPr>
            </w:pPr>
          </w:p>
          <w:p w14:paraId="74065A9B" w14:textId="54A7E384" w:rsidR="002D56F2" w:rsidRPr="002D56F2" w:rsidRDefault="002D56F2" w:rsidP="00C42BF6">
            <w:pPr>
              <w:spacing w:after="120" w:line="480" w:lineRule="auto"/>
              <w:ind w:left="426"/>
              <w:jc w:val="center"/>
              <w:rPr>
                <w:rFonts w:ascii="Century Gothic" w:hAnsi="Century Gothic" w:cstheme="majorHAnsi"/>
                <w:b/>
                <w:bCs/>
              </w:rPr>
            </w:pPr>
            <w:r w:rsidRPr="002D56F2">
              <w:rPr>
                <w:rFonts w:ascii="Century Gothic" w:hAnsi="Century Gothic" w:cstheme="majorHAnsi"/>
                <w:b/>
                <w:bCs/>
              </w:rPr>
              <w:t>DIP. DAVID OSCAR CASTREJÓN RIVAS</w:t>
            </w:r>
          </w:p>
        </w:tc>
        <w:tc>
          <w:tcPr>
            <w:tcW w:w="4443" w:type="dxa"/>
          </w:tcPr>
          <w:p w14:paraId="32CEE937" w14:textId="77777777" w:rsidR="002D56F2" w:rsidRPr="002D56F2" w:rsidRDefault="002D56F2" w:rsidP="00C42BF6">
            <w:pPr>
              <w:spacing w:after="120" w:line="480" w:lineRule="auto"/>
              <w:ind w:left="426"/>
              <w:jc w:val="center"/>
              <w:rPr>
                <w:rFonts w:ascii="Century Gothic" w:hAnsi="Century Gothic" w:cstheme="majorHAnsi"/>
              </w:rPr>
            </w:pPr>
          </w:p>
        </w:tc>
      </w:tr>
    </w:tbl>
    <w:p w14:paraId="0F8EA36A" w14:textId="77777777" w:rsidR="002D56F2" w:rsidRPr="00F21A89" w:rsidRDefault="002D56F2" w:rsidP="00C42BF6">
      <w:pPr>
        <w:pBdr>
          <w:top w:val="nil"/>
          <w:left w:val="nil"/>
          <w:bottom w:val="nil"/>
          <w:right w:val="nil"/>
          <w:between w:val="nil"/>
        </w:pBdr>
        <w:spacing w:after="120" w:line="480" w:lineRule="auto"/>
        <w:jc w:val="center"/>
        <w:rPr>
          <w:rFonts w:ascii="Century Gothic" w:eastAsia="Century Gothic" w:hAnsi="Century Gothic" w:cs="Century Gothic"/>
          <w:b/>
          <w:szCs w:val="24"/>
        </w:rPr>
      </w:pPr>
    </w:p>
    <w:p w14:paraId="47338085" w14:textId="77777777" w:rsidR="00867114" w:rsidRPr="002D19F5" w:rsidRDefault="00867114" w:rsidP="00C42BF6">
      <w:pPr>
        <w:spacing w:line="480" w:lineRule="auto"/>
        <w:jc w:val="center"/>
        <w:rPr>
          <w:rFonts w:cs="Arial"/>
          <w:bCs/>
          <w:szCs w:val="24"/>
        </w:rPr>
      </w:pPr>
    </w:p>
    <w:sectPr w:rsidR="00867114" w:rsidRPr="002D19F5" w:rsidSect="00D5476C">
      <w:head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D3E8" w14:textId="77777777" w:rsidR="008A208B" w:rsidRDefault="008A208B" w:rsidP="000D16A0">
      <w:r>
        <w:separator/>
      </w:r>
    </w:p>
  </w:endnote>
  <w:endnote w:type="continuationSeparator" w:id="0">
    <w:p w14:paraId="3655D8A2" w14:textId="77777777" w:rsidR="008A208B" w:rsidRDefault="008A208B" w:rsidP="000D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E8B6" w14:textId="77777777" w:rsidR="008A208B" w:rsidRDefault="008A208B" w:rsidP="000D16A0">
      <w:r>
        <w:separator/>
      </w:r>
    </w:p>
  </w:footnote>
  <w:footnote w:type="continuationSeparator" w:id="0">
    <w:p w14:paraId="34D8AE3F" w14:textId="77777777" w:rsidR="008A208B" w:rsidRDefault="008A208B" w:rsidP="000D1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4F1D" w14:textId="77777777" w:rsidR="003E3862" w:rsidRDefault="003E3862" w:rsidP="003E3862">
    <w:pPr>
      <w:pStyle w:val="Encabezado"/>
      <w:jc w:val="right"/>
      <w:rPr>
        <w:rFonts w:ascii="Century Gothic" w:hAnsi="Century Gothic"/>
        <w:b/>
        <w:bCs/>
        <w:i/>
        <w:iCs/>
        <w:lang w:val="es-MX"/>
      </w:rPr>
    </w:pPr>
    <w:r>
      <w:rPr>
        <w:rFonts w:ascii="Century Gothic" w:hAnsi="Century Gothic"/>
        <w:b/>
        <w:bCs/>
        <w:i/>
        <w:iCs/>
      </w:rPr>
      <w:t xml:space="preserve">2023, Centenario de la Muerte del General Francisco Villa” </w:t>
    </w:r>
  </w:p>
  <w:p w14:paraId="39B5116F" w14:textId="77777777" w:rsidR="003E3862" w:rsidRDefault="003E3862" w:rsidP="003E3862">
    <w:pPr>
      <w:pStyle w:val="Encabezado"/>
      <w:jc w:val="right"/>
      <w:rPr>
        <w:rFonts w:ascii="Century Gothic" w:hAnsi="Century Gothic"/>
        <w:b/>
        <w:bCs/>
        <w:i/>
        <w:iCs/>
      </w:rPr>
    </w:pPr>
    <w:r>
      <w:rPr>
        <w:rFonts w:ascii="Century Gothic" w:hAnsi="Century Gothic"/>
        <w:b/>
        <w:bCs/>
        <w:i/>
        <w:iCs/>
      </w:rPr>
      <w:t>“2023, Cien años del Rotarismo en Chihuahua”</w:t>
    </w:r>
  </w:p>
  <w:p w14:paraId="029A25AC" w14:textId="77777777" w:rsidR="003E3862" w:rsidRDefault="003E38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91D"/>
    <w:multiLevelType w:val="multilevel"/>
    <w:tmpl w:val="DACEAFC0"/>
    <w:lvl w:ilvl="0">
      <w:start w:val="1"/>
      <w:numFmt w:val="decimal"/>
      <w:lvlText w:val="%1."/>
      <w:lvlJc w:val="left"/>
      <w:pPr>
        <w:ind w:left="1440" w:hanging="360"/>
      </w:pPr>
      <w:rPr>
        <w:b/>
        <w:bCs w:val="0"/>
      </w:rPr>
    </w:lvl>
    <w:lvl w:ilvl="1">
      <w:start w:val="2"/>
      <w:numFmt w:val="decimal"/>
      <w:isLgl/>
      <w:lvlText w:val="%1.%2"/>
      <w:lvlJc w:val="left"/>
      <w:pPr>
        <w:ind w:left="2120" w:hanging="6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0749294F"/>
    <w:multiLevelType w:val="hybridMultilevel"/>
    <w:tmpl w:val="AF1C36EC"/>
    <w:lvl w:ilvl="0" w:tplc="42C8893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3A0D29"/>
    <w:multiLevelType w:val="multilevel"/>
    <w:tmpl w:val="8D546F24"/>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b/>
        <w:bCs w:val="0"/>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 w15:restartNumberingAfterBreak="0">
    <w:nsid w:val="27964E55"/>
    <w:multiLevelType w:val="hybridMultilevel"/>
    <w:tmpl w:val="A9CEF3AC"/>
    <w:lvl w:ilvl="0" w:tplc="C7A0D60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511DA2"/>
    <w:multiLevelType w:val="hybridMultilevel"/>
    <w:tmpl w:val="F1B673E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1464A7"/>
    <w:multiLevelType w:val="hybridMultilevel"/>
    <w:tmpl w:val="C6206DFA"/>
    <w:lvl w:ilvl="0" w:tplc="B16ACDF8">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A57587"/>
    <w:multiLevelType w:val="hybridMultilevel"/>
    <w:tmpl w:val="0AA47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DB71D1"/>
    <w:multiLevelType w:val="hybridMultilevel"/>
    <w:tmpl w:val="5C189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7C17ED"/>
    <w:multiLevelType w:val="hybridMultilevel"/>
    <w:tmpl w:val="41DA9C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44436FC"/>
    <w:multiLevelType w:val="hybridMultilevel"/>
    <w:tmpl w:val="25E8BE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80405F4"/>
    <w:multiLevelType w:val="multilevel"/>
    <w:tmpl w:val="4830BF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
  </w:num>
  <w:num w:numId="4">
    <w:abstractNumId w:val="9"/>
  </w:num>
  <w:num w:numId="5">
    <w:abstractNumId w:val="4"/>
  </w:num>
  <w:num w:numId="6">
    <w:abstractNumId w:val="5"/>
  </w:num>
  <w:num w:numId="7">
    <w:abstractNumId w:val="0"/>
  </w:num>
  <w:num w:numId="8">
    <w:abstractNumId w:val="10"/>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6C"/>
    <w:rsid w:val="00012606"/>
    <w:rsid w:val="000147E2"/>
    <w:rsid w:val="0007620E"/>
    <w:rsid w:val="000914A0"/>
    <w:rsid w:val="000C21D6"/>
    <w:rsid w:val="000D16A0"/>
    <w:rsid w:val="000E7942"/>
    <w:rsid w:val="000F1C37"/>
    <w:rsid w:val="00115B22"/>
    <w:rsid w:val="0014781B"/>
    <w:rsid w:val="00150E25"/>
    <w:rsid w:val="00186631"/>
    <w:rsid w:val="001A1EF4"/>
    <w:rsid w:val="001B019D"/>
    <w:rsid w:val="001B1CE8"/>
    <w:rsid w:val="001E23C2"/>
    <w:rsid w:val="0024101D"/>
    <w:rsid w:val="0027130A"/>
    <w:rsid w:val="002A433A"/>
    <w:rsid w:val="002B2769"/>
    <w:rsid w:val="002B5C1C"/>
    <w:rsid w:val="002D19F5"/>
    <w:rsid w:val="002D56F2"/>
    <w:rsid w:val="00312047"/>
    <w:rsid w:val="0031296A"/>
    <w:rsid w:val="003241DF"/>
    <w:rsid w:val="0036692E"/>
    <w:rsid w:val="00395F6C"/>
    <w:rsid w:val="0039688D"/>
    <w:rsid w:val="003A40B2"/>
    <w:rsid w:val="003B0B56"/>
    <w:rsid w:val="003C5785"/>
    <w:rsid w:val="003E3862"/>
    <w:rsid w:val="004164F7"/>
    <w:rsid w:val="0046317B"/>
    <w:rsid w:val="00480705"/>
    <w:rsid w:val="004A2433"/>
    <w:rsid w:val="004C0E3A"/>
    <w:rsid w:val="004C5AD6"/>
    <w:rsid w:val="004E2604"/>
    <w:rsid w:val="004F4592"/>
    <w:rsid w:val="004F6028"/>
    <w:rsid w:val="005024EB"/>
    <w:rsid w:val="0053363D"/>
    <w:rsid w:val="00535134"/>
    <w:rsid w:val="00566232"/>
    <w:rsid w:val="005B0CE4"/>
    <w:rsid w:val="005B4D4C"/>
    <w:rsid w:val="005C4738"/>
    <w:rsid w:val="005D165D"/>
    <w:rsid w:val="005F1B43"/>
    <w:rsid w:val="00601838"/>
    <w:rsid w:val="00626252"/>
    <w:rsid w:val="00683EAF"/>
    <w:rsid w:val="006901F4"/>
    <w:rsid w:val="006B3D4C"/>
    <w:rsid w:val="006B42D2"/>
    <w:rsid w:val="006C64DF"/>
    <w:rsid w:val="006D4E41"/>
    <w:rsid w:val="006E0F5E"/>
    <w:rsid w:val="006E19F3"/>
    <w:rsid w:val="006F2979"/>
    <w:rsid w:val="0073223C"/>
    <w:rsid w:val="00734920"/>
    <w:rsid w:val="00737BBD"/>
    <w:rsid w:val="00746623"/>
    <w:rsid w:val="00766A0E"/>
    <w:rsid w:val="007A4888"/>
    <w:rsid w:val="007A725E"/>
    <w:rsid w:val="008229DC"/>
    <w:rsid w:val="0082369C"/>
    <w:rsid w:val="008424B1"/>
    <w:rsid w:val="00867114"/>
    <w:rsid w:val="00881E24"/>
    <w:rsid w:val="008A208B"/>
    <w:rsid w:val="008B1464"/>
    <w:rsid w:val="008F0197"/>
    <w:rsid w:val="009126A6"/>
    <w:rsid w:val="009165FD"/>
    <w:rsid w:val="009728EC"/>
    <w:rsid w:val="00981F1D"/>
    <w:rsid w:val="009919F5"/>
    <w:rsid w:val="009955DC"/>
    <w:rsid w:val="009C602C"/>
    <w:rsid w:val="009F786A"/>
    <w:rsid w:val="00A000C2"/>
    <w:rsid w:val="00A0029C"/>
    <w:rsid w:val="00A06E43"/>
    <w:rsid w:val="00A24534"/>
    <w:rsid w:val="00A75CEC"/>
    <w:rsid w:val="00A8325A"/>
    <w:rsid w:val="00A93588"/>
    <w:rsid w:val="00AB458B"/>
    <w:rsid w:val="00AD5D8E"/>
    <w:rsid w:val="00B00B61"/>
    <w:rsid w:val="00B0701A"/>
    <w:rsid w:val="00B36F6D"/>
    <w:rsid w:val="00B46DBD"/>
    <w:rsid w:val="00B500F5"/>
    <w:rsid w:val="00B54DBC"/>
    <w:rsid w:val="00B769B1"/>
    <w:rsid w:val="00B8350B"/>
    <w:rsid w:val="00BE2592"/>
    <w:rsid w:val="00BE4FC6"/>
    <w:rsid w:val="00BF2123"/>
    <w:rsid w:val="00C42BF6"/>
    <w:rsid w:val="00C44537"/>
    <w:rsid w:val="00C76363"/>
    <w:rsid w:val="00CE1612"/>
    <w:rsid w:val="00CE1F5E"/>
    <w:rsid w:val="00CF2C72"/>
    <w:rsid w:val="00D004B7"/>
    <w:rsid w:val="00D14C0D"/>
    <w:rsid w:val="00D1633A"/>
    <w:rsid w:val="00D2441D"/>
    <w:rsid w:val="00D27E52"/>
    <w:rsid w:val="00D50DB4"/>
    <w:rsid w:val="00D5476C"/>
    <w:rsid w:val="00D605D9"/>
    <w:rsid w:val="00D76FCA"/>
    <w:rsid w:val="00D85E1D"/>
    <w:rsid w:val="00DB09F0"/>
    <w:rsid w:val="00DB3236"/>
    <w:rsid w:val="00DE2E53"/>
    <w:rsid w:val="00E3013E"/>
    <w:rsid w:val="00E3542A"/>
    <w:rsid w:val="00E60186"/>
    <w:rsid w:val="00E732C2"/>
    <w:rsid w:val="00E824E4"/>
    <w:rsid w:val="00E91618"/>
    <w:rsid w:val="00E91A92"/>
    <w:rsid w:val="00EA5FBF"/>
    <w:rsid w:val="00EC0C21"/>
    <w:rsid w:val="00ED7CEA"/>
    <w:rsid w:val="00EE788E"/>
    <w:rsid w:val="00EF3F72"/>
    <w:rsid w:val="00F24E28"/>
    <w:rsid w:val="00F25FC4"/>
    <w:rsid w:val="00F34C12"/>
    <w:rsid w:val="00F44EC8"/>
    <w:rsid w:val="00F9308D"/>
    <w:rsid w:val="00FA1423"/>
    <w:rsid w:val="00FC274B"/>
    <w:rsid w:val="00FD7D7C"/>
    <w:rsid w:val="00FE1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7F4D0"/>
  <w15:docId w15:val="{2A55FF85-D383-47C7-B62E-B3CF9BAC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1,TEXTO GENERAL SENTENCIAS,Cita texto,Footnote,List Paragraph1,Párrafo de lista2,List Paragraph,CNBV Parrafo1,Parrafo 1,Colorful List - Accent 11,Cuadrícula clara - Énfasis 31,Imagen,Tabla de contenido"/>
    <w:basedOn w:val="Normal"/>
    <w:link w:val="PrrafodelistaCar"/>
    <w:uiPriority w:val="34"/>
    <w:qFormat/>
    <w:rsid w:val="008B1464"/>
    <w:pPr>
      <w:ind w:left="720"/>
      <w:contextualSpacing/>
    </w:pPr>
  </w:style>
  <w:style w:type="paragraph" w:styleId="Textonotaalfinal">
    <w:name w:val="endnote text"/>
    <w:basedOn w:val="Normal"/>
    <w:link w:val="TextonotaalfinalCar"/>
    <w:uiPriority w:val="99"/>
    <w:semiHidden/>
    <w:unhideWhenUsed/>
    <w:rsid w:val="000D16A0"/>
    <w:rPr>
      <w:sz w:val="20"/>
      <w:szCs w:val="20"/>
    </w:rPr>
  </w:style>
  <w:style w:type="character" w:customStyle="1" w:styleId="TextonotaalfinalCar">
    <w:name w:val="Texto nota al final Car"/>
    <w:basedOn w:val="Fuentedeprrafopredeter"/>
    <w:link w:val="Textonotaalfinal"/>
    <w:uiPriority w:val="99"/>
    <w:semiHidden/>
    <w:rsid w:val="000D16A0"/>
    <w:rPr>
      <w:sz w:val="20"/>
      <w:szCs w:val="20"/>
    </w:rPr>
  </w:style>
  <w:style w:type="character" w:styleId="Refdenotaalfinal">
    <w:name w:val="endnote reference"/>
    <w:basedOn w:val="Fuentedeprrafopredeter"/>
    <w:uiPriority w:val="99"/>
    <w:semiHidden/>
    <w:unhideWhenUsed/>
    <w:rsid w:val="000D16A0"/>
    <w:rPr>
      <w:vertAlign w:val="superscript"/>
    </w:rPr>
  </w:style>
  <w:style w:type="paragraph" w:styleId="Textonotapie">
    <w:name w:val="footnote text"/>
    <w:basedOn w:val="Normal"/>
    <w:link w:val="TextonotapieCar"/>
    <w:uiPriority w:val="99"/>
    <w:semiHidden/>
    <w:unhideWhenUsed/>
    <w:rsid w:val="000D16A0"/>
    <w:rPr>
      <w:sz w:val="20"/>
      <w:szCs w:val="20"/>
    </w:rPr>
  </w:style>
  <w:style w:type="character" w:customStyle="1" w:styleId="TextonotapieCar">
    <w:name w:val="Texto nota pie Car"/>
    <w:basedOn w:val="Fuentedeprrafopredeter"/>
    <w:link w:val="Textonotapie"/>
    <w:uiPriority w:val="99"/>
    <w:semiHidden/>
    <w:rsid w:val="000D16A0"/>
    <w:rPr>
      <w:sz w:val="20"/>
      <w:szCs w:val="20"/>
    </w:rPr>
  </w:style>
  <w:style w:type="character" w:styleId="Refdenotaalpie">
    <w:name w:val="footnote reference"/>
    <w:basedOn w:val="Fuentedeprrafopredeter"/>
    <w:uiPriority w:val="99"/>
    <w:semiHidden/>
    <w:unhideWhenUsed/>
    <w:rsid w:val="000D16A0"/>
    <w:rPr>
      <w:vertAlign w:val="superscript"/>
    </w:rPr>
  </w:style>
  <w:style w:type="character" w:styleId="Hipervnculo">
    <w:name w:val="Hyperlink"/>
    <w:basedOn w:val="Fuentedeprrafopredeter"/>
    <w:uiPriority w:val="99"/>
    <w:unhideWhenUsed/>
    <w:rsid w:val="000D16A0"/>
    <w:rPr>
      <w:color w:val="0563C1" w:themeColor="hyperlink"/>
      <w:u w:val="single"/>
    </w:rPr>
  </w:style>
  <w:style w:type="character" w:styleId="Hipervnculovisitado">
    <w:name w:val="FollowedHyperlink"/>
    <w:basedOn w:val="Fuentedeprrafopredeter"/>
    <w:uiPriority w:val="99"/>
    <w:semiHidden/>
    <w:unhideWhenUsed/>
    <w:rsid w:val="000D16A0"/>
    <w:rPr>
      <w:color w:val="954F72" w:themeColor="followedHyperlink"/>
      <w:u w:val="single"/>
    </w:rPr>
  </w:style>
  <w:style w:type="paragraph" w:styleId="Encabezado">
    <w:name w:val="header"/>
    <w:basedOn w:val="Normal"/>
    <w:link w:val="EncabezadoCar"/>
    <w:uiPriority w:val="99"/>
    <w:unhideWhenUsed/>
    <w:rsid w:val="000D16A0"/>
    <w:pPr>
      <w:tabs>
        <w:tab w:val="center" w:pos="4419"/>
        <w:tab w:val="right" w:pos="8838"/>
      </w:tabs>
    </w:pPr>
  </w:style>
  <w:style w:type="character" w:customStyle="1" w:styleId="EncabezadoCar">
    <w:name w:val="Encabezado Car"/>
    <w:basedOn w:val="Fuentedeprrafopredeter"/>
    <w:link w:val="Encabezado"/>
    <w:uiPriority w:val="99"/>
    <w:rsid w:val="000D16A0"/>
  </w:style>
  <w:style w:type="paragraph" w:styleId="Piedepgina">
    <w:name w:val="footer"/>
    <w:basedOn w:val="Normal"/>
    <w:link w:val="PiedepginaCar"/>
    <w:uiPriority w:val="99"/>
    <w:unhideWhenUsed/>
    <w:rsid w:val="000D16A0"/>
    <w:pPr>
      <w:tabs>
        <w:tab w:val="center" w:pos="4419"/>
        <w:tab w:val="right" w:pos="8838"/>
      </w:tabs>
    </w:pPr>
  </w:style>
  <w:style w:type="character" w:customStyle="1" w:styleId="PiedepginaCar">
    <w:name w:val="Pie de página Car"/>
    <w:basedOn w:val="Fuentedeprrafopredeter"/>
    <w:link w:val="Piedepgina"/>
    <w:uiPriority w:val="99"/>
    <w:rsid w:val="000D16A0"/>
  </w:style>
  <w:style w:type="character" w:styleId="Mencinsinresolver">
    <w:name w:val="Unresolved Mention"/>
    <w:basedOn w:val="Fuentedeprrafopredeter"/>
    <w:uiPriority w:val="99"/>
    <w:semiHidden/>
    <w:unhideWhenUsed/>
    <w:rsid w:val="00746623"/>
    <w:rPr>
      <w:color w:val="605E5C"/>
      <w:shd w:val="clear" w:color="auto" w:fill="E1DFDD"/>
    </w:rPr>
  </w:style>
  <w:style w:type="character" w:customStyle="1" w:styleId="PrrafodelistaCar">
    <w:name w:val="Párrafo de lista Car"/>
    <w:aliases w:val="Párrafo de lista1 Car,TEXTO GENERAL SENTENCIAS Car,Cita texto Car,Footnote Car,List Paragraph1 Car,Párrafo de lista2 Car,List Paragraph Car,CNBV Parrafo1 Car,Parrafo 1 Car,Colorful List - Accent 11 Car,Imagen Car"/>
    <w:link w:val="Prrafodelista"/>
    <w:uiPriority w:val="34"/>
    <w:locked/>
    <w:rsid w:val="002D56F2"/>
    <w:rPr>
      <w:lang w:val="es-ES_tradnl"/>
    </w:rPr>
  </w:style>
  <w:style w:type="table" w:customStyle="1" w:styleId="Tablaconcuadrcula1">
    <w:name w:val="Tabla con cuadrícula1"/>
    <w:basedOn w:val="Tablanormal"/>
    <w:next w:val="Tablaconcuadrcula"/>
    <w:uiPriority w:val="39"/>
    <w:rsid w:val="002D56F2"/>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D5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61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71494-1AE2-45DF-9DD4-1642431E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781</Words>
  <Characters>4297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Brenda Sarahi Gonzalez Dominguez</cp:lastModifiedBy>
  <cp:revision>2</cp:revision>
  <cp:lastPrinted>2022-12-19T15:55:00Z</cp:lastPrinted>
  <dcterms:created xsi:type="dcterms:W3CDTF">2023-03-27T18:06:00Z</dcterms:created>
  <dcterms:modified xsi:type="dcterms:W3CDTF">2023-03-27T18:06:00Z</dcterms:modified>
</cp:coreProperties>
</file>