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b/>
          <w:sz w:val="24"/>
          <w:szCs w:val="24"/>
        </w:rPr>
        <w:t>H. CONGRESO DEL ESTADO.</w:t>
      </w: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b/>
          <w:sz w:val="24"/>
          <w:szCs w:val="24"/>
        </w:rPr>
        <w:t>P R E S E N T E.-</w:t>
      </w:r>
      <w:bookmarkStart w:id="0" w:name="_GoBack"/>
      <w:bookmarkEnd w:id="0"/>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El suscrito, en mi carácter de Diputado de la Sexagésima Séptima Legislatura del H. Congreso del Estado de Chihuahua e integrante del Grupo Parlamentario del Partido Revolucionario Institucional, con fundamento en lo dispuesto por el artículo 116, fracción</w:t>
      </w:r>
      <w:r>
        <w:rPr>
          <w:rFonts w:ascii="Century Gothic" w:eastAsia="Century Gothic" w:hAnsi="Century Gothic" w:cs="Century Gothic"/>
          <w:sz w:val="24"/>
          <w:szCs w:val="24"/>
        </w:rPr>
        <w:t xml:space="preserve"> II, inciso a) del Reglamento Interior y de Prácticas Parlamentarias del Poder Legislativo del Estado de Chihuahua, someto a consideración de este Alto Cuerpo Colegiado, las reservas al dictamen emitido por la Comisión de Gobernación y Puntos Constituciona</w:t>
      </w:r>
      <w:r>
        <w:rPr>
          <w:rFonts w:ascii="Century Gothic" w:eastAsia="Century Gothic" w:hAnsi="Century Gothic" w:cs="Century Gothic"/>
          <w:sz w:val="24"/>
          <w:szCs w:val="24"/>
        </w:rPr>
        <w:t xml:space="preserve">les de fecha 25 de mayo del 2022, en específico, respecto a los artículos  13, 18, 20 y 21, por las razones que más adelante procederé a exponer. </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Lo anterior al tenor de la siguiente:  </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center"/>
        <w:rPr>
          <w:rFonts w:ascii="Century Gothic" w:eastAsia="Century Gothic" w:hAnsi="Century Gothic" w:cs="Century Gothic"/>
          <w:sz w:val="24"/>
          <w:szCs w:val="24"/>
        </w:rPr>
      </w:pPr>
      <w:r>
        <w:rPr>
          <w:rFonts w:ascii="Century Gothic" w:eastAsia="Century Gothic" w:hAnsi="Century Gothic" w:cs="Century Gothic"/>
          <w:b/>
          <w:sz w:val="24"/>
          <w:szCs w:val="24"/>
        </w:rPr>
        <w:t>EXPOSICIÓN DE MOTIVOS</w:t>
      </w:r>
    </w:p>
    <w:p w:rsidR="00CF4163" w:rsidRDefault="00A56F1D">
      <w:pPr>
        <w:tabs>
          <w:tab w:val="left" w:pos="5175"/>
        </w:tabs>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ab/>
      </w: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b/>
          <w:sz w:val="24"/>
          <w:szCs w:val="24"/>
        </w:rPr>
        <w:t>I.-</w:t>
      </w:r>
      <w:r>
        <w:rPr>
          <w:rFonts w:ascii="Century Gothic" w:eastAsia="Century Gothic" w:hAnsi="Century Gothic" w:cs="Century Gothic"/>
          <w:sz w:val="24"/>
          <w:szCs w:val="24"/>
        </w:rPr>
        <w:t xml:space="preserve"> Por lo que respecta a la reserva que pr</w:t>
      </w:r>
      <w:r>
        <w:rPr>
          <w:rFonts w:ascii="Century Gothic" w:eastAsia="Century Gothic" w:hAnsi="Century Gothic" w:cs="Century Gothic"/>
          <w:sz w:val="24"/>
          <w:szCs w:val="24"/>
        </w:rPr>
        <w:t>esento al artículo 13 de la propuesta del dictamen, se debe mencionar que para poder garantizar la garantía de audiencia que prevé el artículo 14 de nuestra Carta Magna, se agrega un párrafo en el cual se establece: “</w:t>
      </w:r>
      <w:r>
        <w:rPr>
          <w:rFonts w:ascii="Century Gothic" w:eastAsia="Century Gothic" w:hAnsi="Century Gothic" w:cs="Century Gothic"/>
          <w:sz w:val="24"/>
          <w:szCs w:val="24"/>
        </w:rPr>
        <w:t>Por lo que hace a todas las reuniones y</w:t>
      </w:r>
      <w:r>
        <w:rPr>
          <w:rFonts w:ascii="Century Gothic" w:eastAsia="Century Gothic" w:hAnsi="Century Gothic" w:cs="Century Gothic"/>
          <w:sz w:val="24"/>
          <w:szCs w:val="24"/>
        </w:rPr>
        <w:t xml:space="preserve"> diligencias a que se refiere el presente artículo, deberá citarse a las partes. No obstante, las mismas se llevarán a cabo con o sin su asistencia.”</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pBdr>
          <w:top w:val="nil"/>
          <w:left w:val="nil"/>
          <w:bottom w:val="nil"/>
          <w:right w:val="nil"/>
          <w:between w:val="nil"/>
        </w:pBdr>
        <w:shd w:val="clear" w:color="auto" w:fill="FFFFFF"/>
        <w:spacing w:after="0" w:line="360" w:lineRule="auto"/>
        <w:ind w:left="0" w:hanging="2"/>
        <w:jc w:val="both"/>
        <w:rPr>
          <w:rFonts w:ascii="Century Gothic" w:eastAsia="Century Gothic" w:hAnsi="Century Gothic" w:cs="Century Gothic"/>
          <w:color w:val="484848"/>
          <w:sz w:val="24"/>
          <w:szCs w:val="24"/>
        </w:rPr>
      </w:pPr>
      <w:r>
        <w:rPr>
          <w:rFonts w:ascii="Century Gothic" w:eastAsia="Century Gothic" w:hAnsi="Century Gothic" w:cs="Century Gothic"/>
          <w:color w:val="000000"/>
          <w:sz w:val="24"/>
          <w:szCs w:val="24"/>
        </w:rPr>
        <w:lastRenderedPageBreak/>
        <w:t xml:space="preserve">En relación con el artículo 20 contenido en el dictamen, estimo se debe eliminar su último párrafo, en razón de que </w:t>
      </w:r>
      <w:r>
        <w:rPr>
          <w:rFonts w:ascii="Century Gothic" w:eastAsia="Century Gothic" w:hAnsi="Century Gothic" w:cs="Century Gothic"/>
          <w:color w:val="484848"/>
          <w:sz w:val="24"/>
          <w:szCs w:val="24"/>
        </w:rPr>
        <w:t>de acuerdo con el artículo 20, apartado B, fracción VI de nuestra Carta Magna, es derecho de toda persona imputada que le sean facilitados l</w:t>
      </w:r>
      <w:r>
        <w:rPr>
          <w:rFonts w:ascii="Century Gothic" w:eastAsia="Century Gothic" w:hAnsi="Century Gothic" w:cs="Century Gothic"/>
          <w:color w:val="484848"/>
          <w:sz w:val="24"/>
          <w:szCs w:val="24"/>
        </w:rPr>
        <w:t>os datos que solicite para su defensa y que consten en el proceso.</w:t>
      </w:r>
    </w:p>
    <w:p w:rsidR="00CF4163" w:rsidRDefault="00CF4163">
      <w:pPr>
        <w:pBdr>
          <w:top w:val="nil"/>
          <w:left w:val="nil"/>
          <w:bottom w:val="nil"/>
          <w:right w:val="nil"/>
          <w:between w:val="nil"/>
        </w:pBdr>
        <w:shd w:val="clear" w:color="auto" w:fill="FFFFFF"/>
        <w:spacing w:after="0" w:line="360" w:lineRule="auto"/>
        <w:ind w:left="0" w:hanging="2"/>
        <w:jc w:val="both"/>
        <w:rPr>
          <w:rFonts w:ascii="Century Gothic" w:eastAsia="Century Gothic" w:hAnsi="Century Gothic" w:cs="Century Gothic"/>
          <w:color w:val="484848"/>
          <w:sz w:val="24"/>
          <w:szCs w:val="24"/>
        </w:rPr>
      </w:pPr>
    </w:p>
    <w:p w:rsidR="00CF4163" w:rsidRDefault="00A56F1D">
      <w:pPr>
        <w:pBdr>
          <w:top w:val="nil"/>
          <w:left w:val="nil"/>
          <w:bottom w:val="nil"/>
          <w:right w:val="nil"/>
          <w:between w:val="nil"/>
        </w:pBdr>
        <w:shd w:val="clear" w:color="auto" w:fill="FFFFFF"/>
        <w:spacing w:after="0" w:line="360" w:lineRule="auto"/>
        <w:ind w:left="0" w:hanging="2"/>
        <w:jc w:val="both"/>
        <w:rPr>
          <w:rFonts w:ascii="Century Gothic" w:eastAsia="Century Gothic" w:hAnsi="Century Gothic" w:cs="Century Gothic"/>
          <w:color w:val="484848"/>
          <w:sz w:val="24"/>
          <w:szCs w:val="24"/>
        </w:rPr>
      </w:pPr>
      <w:r>
        <w:rPr>
          <w:rFonts w:ascii="Century Gothic" w:eastAsia="Century Gothic" w:hAnsi="Century Gothic" w:cs="Century Gothic"/>
          <w:color w:val="484848"/>
          <w:sz w:val="24"/>
          <w:szCs w:val="24"/>
        </w:rPr>
        <w:t>En principio, los registros de la investigación son estrictamente reservados, por lo que únicamente las partes podrán tener acceso a los mismos.</w:t>
      </w:r>
      <w:r>
        <w:rPr>
          <w:rFonts w:ascii="Century Gothic" w:eastAsia="Century Gothic" w:hAnsi="Century Gothic" w:cs="Century Gothic"/>
          <w:b/>
          <w:color w:val="484848"/>
          <w:sz w:val="24"/>
          <w:szCs w:val="24"/>
        </w:rPr>
        <w:t xml:space="preserve"> </w:t>
      </w:r>
    </w:p>
    <w:p w:rsidR="00CF4163" w:rsidRDefault="00CF4163">
      <w:pPr>
        <w:ind w:left="0" w:hanging="2"/>
      </w:pPr>
      <w:bookmarkStart w:id="1" w:name="_gjdgxs" w:colFirst="0" w:colLast="0"/>
      <w:bookmarkEnd w:id="1"/>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line="360" w:lineRule="auto"/>
        <w:ind w:left="0" w:hanging="2"/>
        <w:jc w:val="both"/>
        <w:rPr>
          <w:rFonts w:ascii="Century Gothic" w:eastAsia="Century Gothic" w:hAnsi="Century Gothic" w:cs="Century Gothic"/>
          <w:color w:val="000000"/>
          <w:sz w:val="24"/>
          <w:szCs w:val="24"/>
          <w:highlight w:val="white"/>
        </w:rPr>
      </w:pPr>
      <w:r>
        <w:rPr>
          <w:rFonts w:ascii="Century Gothic" w:eastAsia="Century Gothic" w:hAnsi="Century Gothic" w:cs="Century Gothic"/>
          <w:sz w:val="24"/>
          <w:szCs w:val="24"/>
        </w:rPr>
        <w:t xml:space="preserve">Lo anterior, ya que </w:t>
      </w:r>
      <w:r>
        <w:rPr>
          <w:rFonts w:ascii="Century Gothic" w:eastAsia="Century Gothic" w:hAnsi="Century Gothic" w:cs="Century Gothic"/>
          <w:color w:val="000000"/>
          <w:sz w:val="24"/>
          <w:szCs w:val="24"/>
          <w:highlight w:val="white"/>
        </w:rPr>
        <w:t>esta garantía de audiencia prevé que la persona tenga el derecho de saber de qué se trata y qué autoridad es la que está imponiendo o pretendiendo imponer una sanción y que pruebas puede ofrecer al respecto y en todo momento se le tiene que respetar el der</w:t>
      </w:r>
      <w:r>
        <w:rPr>
          <w:rFonts w:ascii="Century Gothic" w:eastAsia="Century Gothic" w:hAnsi="Century Gothic" w:cs="Century Gothic"/>
          <w:color w:val="000000"/>
          <w:sz w:val="24"/>
          <w:szCs w:val="24"/>
          <w:highlight w:val="white"/>
        </w:rPr>
        <w:t xml:space="preserve">echo de ofrecer alegatos en su favor. </w:t>
      </w:r>
    </w:p>
    <w:p w:rsidR="00CF4163" w:rsidRDefault="00CF4163">
      <w:pPr>
        <w:spacing w:line="360" w:lineRule="auto"/>
        <w:ind w:left="0" w:hanging="2"/>
        <w:jc w:val="both"/>
        <w:rPr>
          <w:rFonts w:ascii="Century Gothic" w:eastAsia="Century Gothic" w:hAnsi="Century Gothic" w:cs="Century Gothic"/>
          <w:color w:val="000000"/>
          <w:sz w:val="24"/>
          <w:szCs w:val="24"/>
          <w:highlight w:val="white"/>
        </w:rPr>
      </w:pPr>
    </w:p>
    <w:p w:rsidR="00CF4163" w:rsidRDefault="00A56F1D">
      <w:pPr>
        <w:spacing w:line="360" w:lineRule="auto"/>
        <w:ind w:left="0" w:hanging="2"/>
        <w:jc w:val="both"/>
        <w:rPr>
          <w:rFonts w:ascii="Century Gothic" w:eastAsia="Century Gothic" w:hAnsi="Century Gothic" w:cs="Century Gothic"/>
          <w:color w:val="000000"/>
          <w:sz w:val="24"/>
          <w:szCs w:val="24"/>
          <w:highlight w:val="white"/>
        </w:rPr>
      </w:pPr>
      <w:r>
        <w:rPr>
          <w:rFonts w:ascii="Century Gothic" w:eastAsia="Century Gothic" w:hAnsi="Century Gothic" w:cs="Century Gothic"/>
          <w:color w:val="000000"/>
          <w:sz w:val="24"/>
          <w:szCs w:val="24"/>
          <w:highlight w:val="white"/>
        </w:rPr>
        <w:t xml:space="preserve">Ahora bien, propongo también una modificación al artículo 21, como consecuencia lógica de lo antes planteado. </w:t>
      </w:r>
    </w:p>
    <w:p w:rsidR="00CF4163" w:rsidRDefault="00CF4163">
      <w:pPr>
        <w:spacing w:line="360" w:lineRule="auto"/>
        <w:ind w:left="0" w:hanging="2"/>
        <w:jc w:val="both"/>
        <w:rPr>
          <w:rFonts w:ascii="Century Gothic" w:eastAsia="Century Gothic" w:hAnsi="Century Gothic" w:cs="Century Gothic"/>
          <w:color w:val="000000"/>
          <w:sz w:val="24"/>
          <w:szCs w:val="24"/>
          <w:highlight w:val="white"/>
        </w:rPr>
      </w:pPr>
    </w:p>
    <w:p w:rsidR="00CF4163" w:rsidRDefault="00A56F1D">
      <w:pPr>
        <w:spacing w:line="360" w:lineRule="auto"/>
        <w:ind w:left="0" w:hanging="2"/>
        <w:jc w:val="both"/>
        <w:rPr>
          <w:rFonts w:ascii="Century Gothic" w:eastAsia="Century Gothic" w:hAnsi="Century Gothic" w:cs="Century Gothic"/>
          <w:color w:val="000000"/>
          <w:sz w:val="24"/>
          <w:szCs w:val="24"/>
          <w:highlight w:val="white"/>
        </w:rPr>
      </w:pPr>
      <w:r>
        <w:rPr>
          <w:rFonts w:ascii="Century Gothic" w:eastAsia="Century Gothic" w:hAnsi="Century Gothic" w:cs="Century Gothic"/>
          <w:color w:val="000000"/>
          <w:sz w:val="24"/>
          <w:szCs w:val="24"/>
          <w:highlight w:val="white"/>
        </w:rPr>
        <w:t>Por lo que respecta a la reserva que propongo al artículo 18, se debe señalar que principalmente respond</w:t>
      </w:r>
      <w:r>
        <w:rPr>
          <w:rFonts w:ascii="Century Gothic" w:eastAsia="Century Gothic" w:hAnsi="Century Gothic" w:cs="Century Gothic"/>
          <w:color w:val="000000"/>
          <w:sz w:val="24"/>
          <w:szCs w:val="24"/>
          <w:highlight w:val="white"/>
        </w:rPr>
        <w:t xml:space="preserve">e a que la norma tenga perspectiva de derechos humanos, en su vertiente de garantizar la presunción de inocencia. </w:t>
      </w:r>
    </w:p>
    <w:p w:rsidR="00CF4163" w:rsidRDefault="00CF4163">
      <w:pPr>
        <w:spacing w:line="360" w:lineRule="auto"/>
        <w:ind w:left="0" w:hanging="2"/>
        <w:jc w:val="both"/>
        <w:rPr>
          <w:rFonts w:ascii="Century Gothic" w:eastAsia="Century Gothic" w:hAnsi="Century Gothic" w:cs="Century Gothic"/>
          <w:color w:val="000000"/>
          <w:sz w:val="24"/>
          <w:szCs w:val="24"/>
          <w:highlight w:val="white"/>
        </w:rPr>
      </w:pPr>
    </w:p>
    <w:p w:rsidR="00CF4163" w:rsidRDefault="00A56F1D">
      <w:pPr>
        <w:spacing w:after="0" w:line="360" w:lineRule="auto"/>
        <w:ind w:left="0" w:right="49"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Es por todo lo anterior que propongo las siguientes redacciones:</w:t>
      </w:r>
    </w:p>
    <w:p w:rsidR="00CF4163" w:rsidRDefault="00CF4163">
      <w:pPr>
        <w:spacing w:after="0" w:line="360" w:lineRule="auto"/>
        <w:ind w:left="0" w:right="49" w:hanging="2"/>
        <w:jc w:val="both"/>
        <w:rPr>
          <w:rFonts w:ascii="Century Gothic" w:eastAsia="Century Gothic" w:hAnsi="Century Gothic" w:cs="Century Gothic"/>
          <w:sz w:val="24"/>
          <w:szCs w:val="24"/>
        </w:rPr>
      </w:pPr>
    </w:p>
    <w:p w:rsidR="00CF4163" w:rsidRDefault="00A56F1D">
      <w:pPr>
        <w:spacing w:after="0" w:line="360" w:lineRule="auto"/>
        <w:ind w:left="0" w:right="49" w:hanging="2"/>
        <w:jc w:val="both"/>
        <w:rPr>
          <w:rFonts w:ascii="Century Gothic" w:eastAsia="Century Gothic" w:hAnsi="Century Gothic" w:cs="Century Gothic"/>
          <w:sz w:val="24"/>
          <w:szCs w:val="24"/>
        </w:rPr>
      </w:pPr>
      <w:r>
        <w:rPr>
          <w:rFonts w:ascii="Century Gothic" w:eastAsia="Century Gothic" w:hAnsi="Century Gothic" w:cs="Century Gothic"/>
          <w:b/>
          <w:sz w:val="24"/>
          <w:szCs w:val="24"/>
        </w:rPr>
        <w:t>1.</w:t>
      </w:r>
      <w:r>
        <w:rPr>
          <w:rFonts w:ascii="Century Gothic" w:eastAsia="Century Gothic" w:hAnsi="Century Gothic" w:cs="Century Gothic"/>
          <w:sz w:val="24"/>
          <w:szCs w:val="24"/>
        </w:rPr>
        <w:t xml:space="preserve"> El texto del dictamen menciona:</w:t>
      </w:r>
    </w:p>
    <w:p w:rsidR="00CF4163" w:rsidRDefault="00CF4163">
      <w:pPr>
        <w:spacing w:after="0" w:line="360" w:lineRule="auto"/>
        <w:ind w:left="0" w:right="49"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Artículo 13. Instrucción y alegatos.</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highlight w:val="yellow"/>
        </w:rPr>
      </w:pPr>
      <w:r>
        <w:rPr>
          <w:rFonts w:ascii="Century Gothic" w:eastAsia="Century Gothic" w:hAnsi="Century Gothic" w:cs="Century Gothic"/>
          <w:sz w:val="24"/>
          <w:szCs w:val="24"/>
        </w:rPr>
        <w:t>Concluido el plazo para contestar la denuncia, la Comisión Jurisdiccional acordará la apertura de un periodo, de veinte días comunes, para el desahogo de pruebas, manifestando la admisión de las pruebas ofrecidas por las partes, en sus escritos de denuncia</w:t>
      </w:r>
      <w:r>
        <w:rPr>
          <w:rFonts w:ascii="Century Gothic" w:eastAsia="Century Gothic" w:hAnsi="Century Gothic" w:cs="Century Gothic"/>
          <w:sz w:val="24"/>
          <w:szCs w:val="24"/>
        </w:rPr>
        <w:t xml:space="preserve"> y contestación a la misma, y aquellas que se determinen por la propia Comisión para mejor proveer. Asimismo, ordenará las medidas que resulten necesarias para su preparación; fijando día y hora para el desahogo de aquellas que así lo ameriten. </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Serán adm</w:t>
      </w:r>
      <w:r>
        <w:rPr>
          <w:rFonts w:ascii="Century Gothic" w:eastAsia="Century Gothic" w:hAnsi="Century Gothic" w:cs="Century Gothic"/>
          <w:sz w:val="24"/>
          <w:szCs w:val="24"/>
        </w:rPr>
        <w:t>isibles todo tipo de pruebas, pero se desecharán aquellas cuyo desahogo implique salir del plazo señalado para tales efectos. La Comisión Jurisdiccional calificará la idoneidad de las pruebas, desechando las que sean improcedentes, debiendo en este supuest</w:t>
      </w:r>
      <w:r>
        <w:rPr>
          <w:rFonts w:ascii="Century Gothic" w:eastAsia="Century Gothic" w:hAnsi="Century Gothic" w:cs="Century Gothic"/>
          <w:sz w:val="24"/>
          <w:szCs w:val="24"/>
        </w:rPr>
        <w:t>o fundar y motivar su determinación. Para determinar esta improcedencia se atenderá a lo dispuesto por el artículo 24, fracciones I, II, III y IV de esta Ley. La resolución que admita o deseche las pruebas es inatacable.</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Dicho acuerdo deberá ser notificad</w:t>
      </w:r>
      <w:r>
        <w:rPr>
          <w:rFonts w:ascii="Century Gothic" w:eastAsia="Century Gothic" w:hAnsi="Century Gothic" w:cs="Century Gothic"/>
          <w:sz w:val="24"/>
          <w:szCs w:val="24"/>
        </w:rPr>
        <w:t>o personalmente a la parte denunciante y a la denunciada, dentro de los tres días siguientes a que se dicte el mismo.</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Si al concluir dicho plazo no hubiese sido posible desahogar las pruebas ofrecidas oportunamente, o es preciso allegarse de otras, la Com</w:t>
      </w:r>
      <w:r>
        <w:rPr>
          <w:rFonts w:ascii="Century Gothic" w:eastAsia="Century Gothic" w:hAnsi="Century Gothic" w:cs="Century Gothic"/>
          <w:sz w:val="24"/>
          <w:szCs w:val="24"/>
        </w:rPr>
        <w:t>isión Jurisdiccional podrá ampliarlo por una sola vez hasta por quince días, concluido el cual se declararán desiertas de plano las pruebas  que no haya sido posible desahogar.</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Concluido el plazo probatorio, se pondrá el expediente a la vista de las parte</w:t>
      </w:r>
      <w:r>
        <w:rPr>
          <w:rFonts w:ascii="Century Gothic" w:eastAsia="Century Gothic" w:hAnsi="Century Gothic" w:cs="Century Gothic"/>
          <w:sz w:val="24"/>
          <w:szCs w:val="24"/>
        </w:rPr>
        <w:t xml:space="preserve">s y de su defensa, a fin de que tomen los datos que requieran para formular alegatos, los cuales deberán presentar por escrito dentro de los ocho días siguientes. </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CF4163">
      <w:pPr>
        <w:spacing w:after="0" w:line="360" w:lineRule="auto"/>
        <w:ind w:left="0" w:right="49" w:hanging="2"/>
        <w:jc w:val="both"/>
        <w:rPr>
          <w:rFonts w:ascii="Century Gothic" w:eastAsia="Century Gothic" w:hAnsi="Century Gothic" w:cs="Century Gothic"/>
          <w:sz w:val="24"/>
          <w:szCs w:val="24"/>
        </w:rPr>
      </w:pPr>
    </w:p>
    <w:p w:rsidR="00CF4163" w:rsidRDefault="00A56F1D">
      <w:pPr>
        <w:spacing w:after="0" w:line="360" w:lineRule="auto"/>
        <w:ind w:left="0" w:right="90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Propongo la siguiente redacción:</w:t>
      </w:r>
    </w:p>
    <w:p w:rsidR="00CF4163" w:rsidRDefault="00CF4163">
      <w:pPr>
        <w:spacing w:after="0" w:line="360" w:lineRule="auto"/>
        <w:ind w:left="0" w:right="90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Artículo 13. </w:t>
      </w:r>
      <w:r>
        <w:rPr>
          <w:rFonts w:ascii="Century Gothic" w:eastAsia="Century Gothic" w:hAnsi="Century Gothic" w:cs="Century Gothic"/>
          <w:sz w:val="24"/>
          <w:szCs w:val="24"/>
        </w:rPr>
        <w:t>…</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highlight w:val="yellow"/>
        </w:rPr>
      </w:pPr>
      <w:r>
        <w:rPr>
          <w:rFonts w:ascii="Century Gothic" w:eastAsia="Century Gothic" w:hAnsi="Century Gothic" w:cs="Century Gothic"/>
          <w:sz w:val="24"/>
          <w:szCs w:val="24"/>
        </w:rPr>
        <w:t>…</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Por lo que hace a todas las reuniones y diligencias a que se refiere el presente artículo, deberá citarse a las partes. No obstante, las mismas se llevarán a cabo con o sin su asistencia.</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b/>
          <w:sz w:val="24"/>
          <w:szCs w:val="24"/>
        </w:rPr>
        <w:t>2.</w:t>
      </w:r>
      <w:r>
        <w:rPr>
          <w:rFonts w:ascii="Century Gothic" w:eastAsia="Century Gothic" w:hAnsi="Century Gothic" w:cs="Century Gothic"/>
          <w:sz w:val="24"/>
          <w:szCs w:val="24"/>
        </w:rPr>
        <w:t xml:space="preserve"> El texto del dictamen menciona: </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Artículo 18. Resolución abs</w:t>
      </w:r>
      <w:r>
        <w:rPr>
          <w:rFonts w:ascii="Century Gothic" w:eastAsia="Century Gothic" w:hAnsi="Century Gothic" w:cs="Century Gothic"/>
          <w:b/>
          <w:sz w:val="24"/>
          <w:szCs w:val="24"/>
        </w:rPr>
        <w:t>olutoria.</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Si se resuelve por la mayoría calificada requerida, que no existe responsabilidad de la parte denunciada, se ordenará archivar el expediente como asunto totalmente concluido.</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Propongo la siguiente redacción: </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Artículo 18. …</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b/>
          <w:sz w:val="24"/>
          <w:szCs w:val="24"/>
        </w:rPr>
      </w:pPr>
      <w:r>
        <w:rPr>
          <w:rFonts w:ascii="Century Gothic" w:eastAsia="Century Gothic" w:hAnsi="Century Gothic" w:cs="Century Gothic"/>
          <w:sz w:val="24"/>
          <w:szCs w:val="24"/>
        </w:rPr>
        <w:t>Si se resuelve por</w:t>
      </w:r>
      <w:r>
        <w:rPr>
          <w:rFonts w:ascii="Century Gothic" w:eastAsia="Century Gothic" w:hAnsi="Century Gothic" w:cs="Century Gothic"/>
          <w:sz w:val="24"/>
          <w:szCs w:val="24"/>
        </w:rPr>
        <w:t xml:space="preserve"> la mayoría requerida que no existe responsabilidad de la parte denunciada, se ordenará archivar el expediente como asunto totalmente concluido </w:t>
      </w:r>
      <w:r>
        <w:rPr>
          <w:rFonts w:ascii="Century Gothic" w:eastAsia="Century Gothic" w:hAnsi="Century Gothic" w:cs="Century Gothic"/>
          <w:b/>
          <w:sz w:val="24"/>
          <w:szCs w:val="24"/>
        </w:rPr>
        <w:t xml:space="preserve">y la persona servidora pública quedará absuelta. </w:t>
      </w:r>
    </w:p>
    <w:p w:rsidR="00CF4163" w:rsidRDefault="00CF4163">
      <w:pPr>
        <w:spacing w:after="0" w:line="360" w:lineRule="auto"/>
        <w:ind w:left="0" w:hanging="2"/>
        <w:jc w:val="both"/>
        <w:rPr>
          <w:rFonts w:ascii="Century Gothic" w:eastAsia="Century Gothic" w:hAnsi="Century Gothic" w:cs="Century Gothic"/>
          <w:b/>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3. </w:t>
      </w:r>
      <w:r>
        <w:rPr>
          <w:rFonts w:ascii="Century Gothic" w:eastAsia="Century Gothic" w:hAnsi="Century Gothic" w:cs="Century Gothic"/>
          <w:sz w:val="24"/>
          <w:szCs w:val="24"/>
        </w:rPr>
        <w:t xml:space="preserve">El texto del dictamen menciona: </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Artículo 20. Presentació</w:t>
      </w:r>
      <w:r>
        <w:rPr>
          <w:rFonts w:ascii="Century Gothic" w:eastAsia="Century Gothic" w:hAnsi="Century Gothic" w:cs="Century Gothic"/>
          <w:b/>
          <w:sz w:val="24"/>
          <w:szCs w:val="24"/>
        </w:rPr>
        <w:t>n de la solicitud.</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El Ministerio Público presentará la solicitud de declaración de procedencia ante la Secretaría de Asuntos Legislativos y Jurídicos del Congreso del Estado, a través de quien ostente la titularidad de la Fiscalía General del Estado o de </w:t>
      </w:r>
      <w:r>
        <w:rPr>
          <w:rFonts w:ascii="Century Gothic" w:eastAsia="Century Gothic" w:hAnsi="Century Gothic" w:cs="Century Gothic"/>
          <w:sz w:val="24"/>
          <w:szCs w:val="24"/>
        </w:rPr>
        <w:t xml:space="preserve">la persona en que se delegue esa facultad. </w:t>
      </w: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El escrito de solicitud deberá contener los siguientes datos:</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numPr>
          <w:ilvl w:val="0"/>
          <w:numId w:val="1"/>
        </w:numPr>
        <w:spacing w:after="0" w:line="360" w:lineRule="auto"/>
        <w:ind w:left="0" w:hanging="2"/>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El nombre completo de la persona solicitante y, en su caso, datos de publicación en el Periódico Oficial del Estado del acuerdo delegatorio de facultades.</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numPr>
          <w:ilvl w:val="0"/>
          <w:numId w:val="1"/>
        </w:numPr>
        <w:spacing w:after="0" w:line="360" w:lineRule="auto"/>
        <w:ind w:left="0" w:hanging="2"/>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El nombre, domicilio y cargo de la persona servidora pública indiciada.</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numPr>
          <w:ilvl w:val="0"/>
          <w:numId w:val="1"/>
        </w:numPr>
        <w:spacing w:after="0" w:line="360" w:lineRule="auto"/>
        <w:ind w:left="0" w:hanging="2"/>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 xml:space="preserve">El hecho que la ley señala </w:t>
      </w:r>
      <w:r>
        <w:rPr>
          <w:rFonts w:ascii="Century Gothic" w:eastAsia="Century Gothic" w:hAnsi="Century Gothic" w:cs="Century Gothic"/>
          <w:sz w:val="24"/>
          <w:szCs w:val="24"/>
        </w:rPr>
        <w:t>como delito, su forma de intervención y los hechos que se le atribuyen.</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numPr>
          <w:ilvl w:val="0"/>
          <w:numId w:val="1"/>
        </w:numPr>
        <w:spacing w:after="0" w:line="360" w:lineRule="auto"/>
        <w:ind w:left="0" w:hanging="2"/>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La expresión de los datos de prueba que establezcan que se ha cometido un hecho que la ley señale como delito y que exista la probabilidad de que la persona indiciada lo cometió o par</w:t>
      </w:r>
      <w:r>
        <w:rPr>
          <w:rFonts w:ascii="Century Gothic" w:eastAsia="Century Gothic" w:hAnsi="Century Gothic" w:cs="Century Gothic"/>
          <w:sz w:val="24"/>
          <w:szCs w:val="24"/>
        </w:rPr>
        <w:t>ticipó en su comisión.</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numPr>
          <w:ilvl w:val="0"/>
          <w:numId w:val="1"/>
        </w:numPr>
        <w:spacing w:after="0" w:line="360" w:lineRule="auto"/>
        <w:ind w:left="0" w:hanging="2"/>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La firma de la persona solicitante.</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Al escrito deberá adjuntarse copia certificada de los registros de investigación con que se sustente la solicitud.</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b/>
          <w:sz w:val="24"/>
          <w:szCs w:val="24"/>
        </w:rPr>
      </w:pPr>
      <w:r>
        <w:rPr>
          <w:rFonts w:ascii="Century Gothic" w:eastAsia="Century Gothic" w:hAnsi="Century Gothic" w:cs="Century Gothic"/>
          <w:sz w:val="24"/>
          <w:szCs w:val="24"/>
        </w:rPr>
        <w:t xml:space="preserve">Propongo quede en los mismos términos, </w:t>
      </w:r>
      <w:r>
        <w:rPr>
          <w:rFonts w:ascii="Century Gothic" w:eastAsia="Century Gothic" w:hAnsi="Century Gothic" w:cs="Century Gothic"/>
          <w:b/>
          <w:sz w:val="24"/>
          <w:szCs w:val="24"/>
        </w:rPr>
        <w:t>pero que se elimine el último párrafo, r</w:t>
      </w:r>
      <w:r>
        <w:rPr>
          <w:rFonts w:ascii="Century Gothic" w:eastAsia="Century Gothic" w:hAnsi="Century Gothic" w:cs="Century Gothic"/>
          <w:b/>
          <w:sz w:val="24"/>
          <w:szCs w:val="24"/>
        </w:rPr>
        <w:t xml:space="preserve">elativo a la copia certificada de los registros de investigación. </w:t>
      </w:r>
    </w:p>
    <w:p w:rsidR="00CF4163" w:rsidRDefault="00CF4163">
      <w:pPr>
        <w:spacing w:after="0" w:line="360" w:lineRule="auto"/>
        <w:ind w:left="0" w:hanging="2"/>
        <w:jc w:val="both"/>
        <w:rPr>
          <w:rFonts w:ascii="Century Gothic" w:eastAsia="Century Gothic" w:hAnsi="Century Gothic" w:cs="Century Gothic"/>
          <w:b/>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4. </w:t>
      </w:r>
      <w:r>
        <w:rPr>
          <w:rFonts w:ascii="Century Gothic" w:eastAsia="Century Gothic" w:hAnsi="Century Gothic" w:cs="Century Gothic"/>
          <w:sz w:val="24"/>
          <w:szCs w:val="24"/>
        </w:rPr>
        <w:t xml:space="preserve">El texto del dictamen menciona: </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Artículo 21. Admisión y turno de la solicitud.</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Presentada la solicitud, la Secretaría de Asuntos Legislativos y Jurídicos la turnará, al día siguiente</w:t>
      </w:r>
      <w:r>
        <w:rPr>
          <w:rFonts w:ascii="Century Gothic" w:eastAsia="Century Gothic" w:hAnsi="Century Gothic" w:cs="Century Gothic"/>
          <w:sz w:val="24"/>
          <w:szCs w:val="24"/>
        </w:rPr>
        <w:t>, a la Comisión Jurisdiccional, dando vista a la Presidencia del Congreso.</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La Comisión Jurisdiccional analizará dentro de los siguientes quince días, a que le fuere turnada la solicitud, la admisión, o no, de la misma, resolviendo mediante la emisión del </w:t>
      </w:r>
      <w:r>
        <w:rPr>
          <w:rFonts w:ascii="Century Gothic" w:eastAsia="Century Gothic" w:hAnsi="Century Gothic" w:cs="Century Gothic"/>
          <w:sz w:val="24"/>
          <w:szCs w:val="24"/>
        </w:rPr>
        <w:t xml:space="preserve">acuerdo correspondiente. Dicha solicitud únicamente podrá ser rechazada en los siguientes casos: </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numPr>
          <w:ilvl w:val="0"/>
          <w:numId w:val="2"/>
        </w:numPr>
        <w:spacing w:after="0" w:line="360" w:lineRule="auto"/>
        <w:ind w:left="0" w:hanging="2"/>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Si la persona indiciada no se ubica dentro de las personas servidoras públicas a que se refiere el artículo 179 de la Constitución Estatal.</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numPr>
          <w:ilvl w:val="0"/>
          <w:numId w:val="2"/>
        </w:numPr>
        <w:spacing w:after="0" w:line="360" w:lineRule="auto"/>
        <w:ind w:left="0" w:hanging="2"/>
        <w:contextualSpacing/>
        <w:jc w:val="both"/>
        <w:rPr>
          <w:rFonts w:ascii="Century Gothic" w:eastAsia="Century Gothic" w:hAnsi="Century Gothic" w:cs="Century Gothic"/>
          <w:sz w:val="24"/>
          <w:szCs w:val="24"/>
        </w:rPr>
      </w:pPr>
      <w:r>
        <w:rPr>
          <w:rFonts w:ascii="Century Gothic" w:eastAsia="Century Gothic" w:hAnsi="Century Gothic" w:cs="Century Gothic"/>
          <w:sz w:val="24"/>
          <w:szCs w:val="24"/>
        </w:rPr>
        <w:t>Si carece de los registros de investigación que apoyen la solicitud. En este último caso, la Comisión prevendrá a la persona solicitante para que los exhiba en un plazo de tres días.</w:t>
      </w:r>
    </w:p>
    <w:p w:rsidR="00CF4163" w:rsidRDefault="00CF4163">
      <w:pPr>
        <w:pBdr>
          <w:top w:val="nil"/>
          <w:left w:val="nil"/>
          <w:bottom w:val="nil"/>
          <w:right w:val="nil"/>
          <w:between w:val="nil"/>
        </w:pBdr>
        <w:ind w:left="0" w:hanging="2"/>
        <w:rPr>
          <w:rFonts w:ascii="Century Gothic" w:eastAsia="Century Gothic" w:hAnsi="Century Gothic" w:cs="Century Gothic"/>
          <w:color w:val="000000"/>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Propongo quede en los siguientes términos: </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Artículo 21. </w:t>
      </w:r>
      <w:r>
        <w:rPr>
          <w:rFonts w:ascii="Century Gothic" w:eastAsia="Century Gothic" w:hAnsi="Century Gothic" w:cs="Century Gothic"/>
          <w:sz w:val="24"/>
          <w:szCs w:val="24"/>
        </w:rPr>
        <w:t>…</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w:t>
      </w:r>
    </w:p>
    <w:p w:rsidR="00CF4163" w:rsidRDefault="00CF4163">
      <w:pPr>
        <w:spacing w:after="0" w:line="360" w:lineRule="auto"/>
        <w:ind w:left="0" w:hanging="2"/>
        <w:jc w:val="both"/>
        <w:rPr>
          <w:rFonts w:ascii="Century Gothic" w:eastAsia="Century Gothic" w:hAnsi="Century Gothic" w:cs="Century Gothic"/>
          <w:sz w:val="24"/>
          <w:szCs w:val="24"/>
        </w:rPr>
      </w:pPr>
    </w:p>
    <w:p w:rsidR="00CF4163" w:rsidRDefault="00A56F1D">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La Comisión Jurisdiccional analizará dentro de los siguientes quince días, a que le fuere turnada la solicitud, la admisión, o no, de la misma, resolviendo mediante la emisión del acuerdo correspondiente. Dicha solicitud únicamente podrá ser rechazada si l</w:t>
      </w:r>
      <w:r>
        <w:rPr>
          <w:rFonts w:ascii="Century Gothic" w:eastAsia="Century Gothic" w:hAnsi="Century Gothic" w:cs="Century Gothic"/>
          <w:sz w:val="24"/>
          <w:szCs w:val="24"/>
        </w:rPr>
        <w:t>a persona indiciada no se ubica dentro de las personas servidoras públicas a que se refiere el artículo 179 de la Constitución Estatal.</w:t>
      </w:r>
    </w:p>
    <w:p w:rsidR="00CF4163" w:rsidRDefault="00CF4163">
      <w:pPr>
        <w:spacing w:after="0" w:line="360" w:lineRule="auto"/>
        <w:ind w:left="0" w:right="900" w:hanging="2"/>
        <w:jc w:val="both"/>
        <w:rPr>
          <w:rFonts w:ascii="Century Gothic" w:eastAsia="Century Gothic" w:hAnsi="Century Gothic" w:cs="Century Gothic"/>
          <w:sz w:val="24"/>
          <w:szCs w:val="24"/>
        </w:rPr>
      </w:pPr>
    </w:p>
    <w:p w:rsidR="00CF4163" w:rsidRDefault="00A56F1D">
      <w:pPr>
        <w:spacing w:after="0" w:line="360" w:lineRule="auto"/>
        <w:ind w:left="0" w:right="49"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Dado en el Recinto Oficial del H. Congreso del Estado de Chihuahua, a los veintiséis días del mes de mayo del dos mil v</w:t>
      </w:r>
      <w:r>
        <w:rPr>
          <w:rFonts w:ascii="Century Gothic" w:eastAsia="Century Gothic" w:hAnsi="Century Gothic" w:cs="Century Gothic"/>
          <w:sz w:val="24"/>
          <w:szCs w:val="24"/>
        </w:rPr>
        <w:t xml:space="preserve">eintidós. </w:t>
      </w:r>
    </w:p>
    <w:p w:rsidR="00CF4163" w:rsidRDefault="00CF4163">
      <w:pPr>
        <w:spacing w:after="0" w:line="360" w:lineRule="auto"/>
        <w:ind w:left="0" w:right="49" w:hanging="2"/>
        <w:jc w:val="both"/>
        <w:rPr>
          <w:rFonts w:ascii="Century Gothic" w:eastAsia="Century Gothic" w:hAnsi="Century Gothic" w:cs="Century Gothic"/>
          <w:sz w:val="24"/>
          <w:szCs w:val="24"/>
        </w:rPr>
      </w:pPr>
    </w:p>
    <w:p w:rsidR="00CF4163" w:rsidRDefault="00CF4163">
      <w:pPr>
        <w:spacing w:after="0" w:line="360" w:lineRule="auto"/>
        <w:ind w:left="0" w:right="49" w:hanging="2"/>
        <w:jc w:val="both"/>
        <w:rPr>
          <w:rFonts w:ascii="Century Gothic" w:eastAsia="Century Gothic" w:hAnsi="Century Gothic" w:cs="Century Gothic"/>
          <w:sz w:val="24"/>
          <w:szCs w:val="24"/>
        </w:rPr>
      </w:pPr>
    </w:p>
    <w:p w:rsidR="00CF4163" w:rsidRDefault="00A56F1D">
      <w:pPr>
        <w:spacing w:after="0" w:line="360" w:lineRule="auto"/>
        <w:ind w:left="0" w:right="900" w:hanging="2"/>
        <w:jc w:val="center"/>
        <w:rPr>
          <w:rFonts w:ascii="Century Gothic" w:eastAsia="Century Gothic" w:hAnsi="Century Gothic" w:cs="Century Gothic"/>
          <w:sz w:val="24"/>
          <w:szCs w:val="24"/>
        </w:rPr>
      </w:pPr>
      <w:r>
        <w:rPr>
          <w:rFonts w:ascii="Century Gothic" w:eastAsia="Century Gothic" w:hAnsi="Century Gothic" w:cs="Century Gothic"/>
          <w:b/>
          <w:sz w:val="24"/>
          <w:szCs w:val="24"/>
        </w:rPr>
        <w:t>ATENTAMENTE.</w:t>
      </w:r>
    </w:p>
    <w:p w:rsidR="00CF4163" w:rsidRDefault="00CF4163">
      <w:pPr>
        <w:spacing w:after="0" w:line="360" w:lineRule="auto"/>
        <w:ind w:left="0" w:right="900" w:hanging="2"/>
        <w:jc w:val="center"/>
        <w:rPr>
          <w:rFonts w:ascii="Century Gothic" w:eastAsia="Century Gothic" w:hAnsi="Century Gothic" w:cs="Century Gothic"/>
          <w:sz w:val="24"/>
          <w:szCs w:val="24"/>
        </w:rPr>
      </w:pPr>
    </w:p>
    <w:p w:rsidR="00CF4163" w:rsidRDefault="00CF4163">
      <w:pPr>
        <w:spacing w:after="0" w:line="360" w:lineRule="auto"/>
        <w:ind w:left="0" w:right="900" w:hanging="2"/>
        <w:jc w:val="center"/>
        <w:rPr>
          <w:rFonts w:ascii="Century Gothic" w:eastAsia="Century Gothic" w:hAnsi="Century Gothic" w:cs="Century Gothic"/>
          <w:sz w:val="24"/>
          <w:szCs w:val="24"/>
        </w:rPr>
      </w:pPr>
    </w:p>
    <w:p w:rsidR="00CF4163" w:rsidRDefault="00CF4163">
      <w:pPr>
        <w:spacing w:after="0" w:line="360" w:lineRule="auto"/>
        <w:ind w:left="0" w:right="900" w:hanging="2"/>
        <w:jc w:val="center"/>
        <w:rPr>
          <w:rFonts w:ascii="Century Gothic" w:eastAsia="Century Gothic" w:hAnsi="Century Gothic" w:cs="Century Gothic"/>
          <w:sz w:val="24"/>
          <w:szCs w:val="24"/>
        </w:rPr>
      </w:pPr>
    </w:p>
    <w:p w:rsidR="00CF4163" w:rsidRDefault="00CF4163">
      <w:pPr>
        <w:spacing w:after="0" w:line="360" w:lineRule="auto"/>
        <w:ind w:left="0" w:right="900" w:hanging="2"/>
        <w:jc w:val="center"/>
        <w:rPr>
          <w:rFonts w:ascii="Century Gothic" w:eastAsia="Century Gothic" w:hAnsi="Century Gothic" w:cs="Century Gothic"/>
          <w:sz w:val="24"/>
          <w:szCs w:val="24"/>
        </w:rPr>
      </w:pPr>
    </w:p>
    <w:p w:rsidR="00CF4163" w:rsidRDefault="00CF4163">
      <w:pPr>
        <w:spacing w:after="0" w:line="360" w:lineRule="auto"/>
        <w:ind w:left="0" w:right="900" w:hanging="2"/>
        <w:jc w:val="center"/>
        <w:rPr>
          <w:rFonts w:ascii="Century Gothic" w:eastAsia="Century Gothic" w:hAnsi="Century Gothic" w:cs="Century Gothic"/>
          <w:sz w:val="24"/>
          <w:szCs w:val="24"/>
        </w:rPr>
      </w:pPr>
    </w:p>
    <w:p w:rsidR="00CF4163" w:rsidRDefault="00CF4163">
      <w:pPr>
        <w:spacing w:after="0" w:line="360" w:lineRule="auto"/>
        <w:ind w:left="0" w:right="900" w:hanging="2"/>
        <w:jc w:val="center"/>
        <w:rPr>
          <w:rFonts w:ascii="Century Gothic" w:eastAsia="Century Gothic" w:hAnsi="Century Gothic" w:cs="Century Gothic"/>
          <w:sz w:val="24"/>
          <w:szCs w:val="24"/>
        </w:rPr>
      </w:pPr>
    </w:p>
    <w:p w:rsidR="00CF4163" w:rsidRDefault="00A56F1D">
      <w:pPr>
        <w:spacing w:after="0" w:line="360" w:lineRule="auto"/>
        <w:ind w:left="0" w:right="900" w:hanging="2"/>
        <w:jc w:val="center"/>
        <w:rPr>
          <w:rFonts w:ascii="Century Gothic" w:eastAsia="Century Gothic" w:hAnsi="Century Gothic" w:cs="Century Gothic"/>
          <w:sz w:val="24"/>
          <w:szCs w:val="24"/>
        </w:rPr>
      </w:pPr>
      <w:r>
        <w:rPr>
          <w:rFonts w:ascii="Century Gothic" w:eastAsia="Century Gothic" w:hAnsi="Century Gothic" w:cs="Century Gothic"/>
          <w:b/>
          <w:sz w:val="24"/>
          <w:szCs w:val="24"/>
        </w:rPr>
        <w:t>DIPUTADO OMAR BAZÁN FLORES</w:t>
      </w:r>
    </w:p>
    <w:sectPr w:rsidR="00CF4163">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C486E"/>
    <w:multiLevelType w:val="multilevel"/>
    <w:tmpl w:val="ACB633D0"/>
    <w:lvl w:ilvl="0">
      <w:start w:val="1"/>
      <w:numFmt w:val="upperRoman"/>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836B4"/>
    <w:multiLevelType w:val="multilevel"/>
    <w:tmpl w:val="8E68D27E"/>
    <w:lvl w:ilvl="0">
      <w:start w:val="1"/>
      <w:numFmt w:val="upperRoman"/>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
  <w:rsids>
    <w:rsidRoot w:val="00CF4163"/>
    <w:rsid w:val="00A56F1D"/>
    <w:rsid w:val="00CF41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63E67B-CBEC-4F34-BF92-EB7EC59F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B09"/>
    <w:pPr>
      <w:suppressAutoHyphens/>
      <w:ind w:leftChars="-1" w:left="-1" w:hangingChars="1"/>
      <w:textDirection w:val="btLr"/>
      <w:textAlignment w:val="top"/>
      <w:outlineLvl w:val="0"/>
    </w:pPr>
    <w:rPr>
      <w:position w:val="-1"/>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4D089C"/>
    <w:pPr>
      <w:ind w:left="720"/>
      <w:contextualSpacing/>
    </w:pPr>
  </w:style>
  <w:style w:type="paragraph" w:customStyle="1" w:styleId="ql-align-justify">
    <w:name w:val="ql-align-justify"/>
    <w:basedOn w:val="Normal"/>
    <w:rsid w:val="005701C5"/>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es-ES_tradnl"/>
    </w:rPr>
  </w:style>
  <w:style w:type="character" w:styleId="Textoennegrita">
    <w:name w:val="Strong"/>
    <w:basedOn w:val="Fuentedeprrafopredeter"/>
    <w:uiPriority w:val="22"/>
    <w:qFormat/>
    <w:rsid w:val="005701C5"/>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A56F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6F1D"/>
    <w:rPr>
      <w:rFonts w:ascii="Segoe UI" w:hAnsi="Segoe UI" w:cs="Segoe UI"/>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1186</Words>
  <Characters>6528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Sonia Pérez Chacón</cp:lastModifiedBy>
  <cp:revision>2</cp:revision>
  <cp:lastPrinted>2022-05-26T17:26:00Z</cp:lastPrinted>
  <dcterms:created xsi:type="dcterms:W3CDTF">2022-05-26T17:28:00Z</dcterms:created>
  <dcterms:modified xsi:type="dcterms:W3CDTF">2022-05-26T17:28:00Z</dcterms:modified>
</cp:coreProperties>
</file>