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5B" w:rsidRDefault="0023135B" w:rsidP="00205A9D">
      <w:pPr>
        <w:pStyle w:val="Encabezado"/>
        <w:ind w:left="851" w:right="617"/>
        <w:jc w:val="center"/>
        <w:rPr>
          <w:rFonts w:ascii="Arial" w:hAnsi="Arial" w:cs="Arial"/>
          <w:b/>
          <w:sz w:val="24"/>
          <w:szCs w:val="24"/>
          <w:lang w:eastAsia="es-MX"/>
        </w:rPr>
      </w:pPr>
    </w:p>
    <w:p w:rsidR="00205A9D" w:rsidRDefault="00205A9D" w:rsidP="00205A9D">
      <w:pPr>
        <w:pStyle w:val="Encabezado"/>
        <w:ind w:left="851" w:right="617"/>
        <w:jc w:val="center"/>
        <w:rPr>
          <w:rFonts w:ascii="Arial" w:hAnsi="Arial" w:cs="Arial"/>
          <w:b/>
          <w:sz w:val="24"/>
          <w:szCs w:val="24"/>
          <w:lang w:eastAsia="es-MX"/>
        </w:rPr>
      </w:pPr>
    </w:p>
    <w:p w:rsidR="00802ADC" w:rsidRPr="00AB65B6" w:rsidRDefault="00802ADC" w:rsidP="00796466">
      <w:pPr>
        <w:spacing w:line="360" w:lineRule="auto"/>
        <w:jc w:val="both"/>
        <w:rPr>
          <w:rFonts w:ascii="Arial" w:hAnsi="Arial" w:cs="Arial"/>
          <w:b/>
          <w:sz w:val="24"/>
          <w:szCs w:val="24"/>
          <w:lang w:eastAsia="es-MX"/>
        </w:rPr>
      </w:pPr>
      <w:r w:rsidRPr="00AB65B6">
        <w:rPr>
          <w:rFonts w:ascii="Arial" w:hAnsi="Arial" w:cs="Arial"/>
          <w:b/>
          <w:sz w:val="24"/>
          <w:szCs w:val="24"/>
          <w:lang w:eastAsia="es-MX"/>
        </w:rPr>
        <w:t xml:space="preserve">DECLARATORIA MEDIANTE LA CUAL LA SEGUNDA DIPUTACIÓN PERMANENTE, DEL TERCER AÑO DE EJERCICIO CONSTITUCIONAL, </w:t>
      </w:r>
      <w:r w:rsidR="00D15BBD">
        <w:rPr>
          <w:rFonts w:ascii="Arial" w:hAnsi="Arial" w:cs="Arial"/>
          <w:b/>
          <w:sz w:val="24"/>
          <w:szCs w:val="24"/>
          <w:lang w:eastAsia="es-MX"/>
        </w:rPr>
        <w:t xml:space="preserve">DE LA SEXAGÉSIMA SEXTA LEGISLATURA, </w:t>
      </w:r>
      <w:r w:rsidRPr="00AB65B6">
        <w:rPr>
          <w:rFonts w:ascii="Arial" w:hAnsi="Arial" w:cs="Arial"/>
          <w:b/>
          <w:sz w:val="24"/>
          <w:szCs w:val="24"/>
          <w:lang w:eastAsia="es-MX"/>
        </w:rPr>
        <w:t>FORMALMENTE ASUME LAS ATRIBUCIONES DE COMISIÓN INSTALADORA DE LA SEXAGÉSIMA SÉ</w:t>
      </w:r>
      <w:r w:rsidR="00AB65B6">
        <w:rPr>
          <w:rFonts w:ascii="Arial" w:hAnsi="Arial" w:cs="Arial"/>
          <w:b/>
          <w:sz w:val="24"/>
          <w:szCs w:val="24"/>
          <w:lang w:eastAsia="es-MX"/>
        </w:rPr>
        <w:t>P</w:t>
      </w:r>
      <w:r w:rsidRPr="00AB65B6">
        <w:rPr>
          <w:rFonts w:ascii="Arial" w:hAnsi="Arial" w:cs="Arial"/>
          <w:b/>
          <w:sz w:val="24"/>
          <w:szCs w:val="24"/>
          <w:lang w:eastAsia="es-MX"/>
        </w:rPr>
        <w:t>TIMA LEGISLATURA DEL H. CONGRESO DEL ESTADO DE CHIHUAHUA.</w:t>
      </w:r>
    </w:p>
    <w:p w:rsidR="00802ADC" w:rsidRDefault="00802ADC" w:rsidP="009C1E29">
      <w:pPr>
        <w:jc w:val="both"/>
        <w:rPr>
          <w:rFonts w:ascii="Arial" w:hAnsi="Arial" w:cs="Arial"/>
          <w:b/>
          <w:sz w:val="24"/>
          <w:szCs w:val="24"/>
          <w:lang w:eastAsia="es-MX"/>
        </w:rPr>
      </w:pPr>
    </w:p>
    <w:p w:rsidR="008B49AC" w:rsidRPr="00AB65B6" w:rsidRDefault="008B49AC" w:rsidP="009C1E29">
      <w:pPr>
        <w:jc w:val="both"/>
        <w:rPr>
          <w:rFonts w:ascii="Arial" w:hAnsi="Arial" w:cs="Arial"/>
          <w:b/>
          <w:sz w:val="24"/>
          <w:szCs w:val="24"/>
          <w:lang w:eastAsia="es-MX"/>
        </w:rPr>
      </w:pPr>
    </w:p>
    <w:p w:rsidR="00802ADC" w:rsidRDefault="00802ADC" w:rsidP="00802ADC">
      <w:pPr>
        <w:jc w:val="center"/>
        <w:rPr>
          <w:rFonts w:ascii="Arial" w:hAnsi="Arial" w:cs="Arial"/>
          <w:b/>
          <w:sz w:val="24"/>
          <w:szCs w:val="24"/>
          <w:lang w:eastAsia="es-MX"/>
        </w:rPr>
      </w:pPr>
      <w:r w:rsidRPr="00AB65B6">
        <w:rPr>
          <w:rFonts w:ascii="Arial" w:hAnsi="Arial" w:cs="Arial"/>
          <w:b/>
          <w:sz w:val="24"/>
          <w:szCs w:val="24"/>
          <w:lang w:eastAsia="es-MX"/>
        </w:rPr>
        <w:t>CONSIDERANDO</w:t>
      </w:r>
    </w:p>
    <w:p w:rsidR="008B49AC" w:rsidRPr="00AB65B6" w:rsidRDefault="008B49AC" w:rsidP="00802ADC">
      <w:pPr>
        <w:jc w:val="center"/>
        <w:rPr>
          <w:rFonts w:ascii="Arial" w:hAnsi="Arial" w:cs="Arial"/>
          <w:b/>
          <w:sz w:val="24"/>
          <w:szCs w:val="24"/>
          <w:lang w:eastAsia="es-MX"/>
        </w:rPr>
      </w:pPr>
    </w:p>
    <w:p w:rsidR="00802ADC" w:rsidRPr="00AB65B6" w:rsidRDefault="00802ADC" w:rsidP="009C1E29">
      <w:pPr>
        <w:jc w:val="both"/>
        <w:rPr>
          <w:rFonts w:ascii="Arial" w:hAnsi="Arial" w:cs="Arial"/>
          <w:b/>
          <w:sz w:val="24"/>
          <w:szCs w:val="24"/>
          <w:lang w:eastAsia="es-MX"/>
        </w:rPr>
      </w:pPr>
    </w:p>
    <w:p w:rsidR="00802ADC" w:rsidRPr="00AB65B6" w:rsidRDefault="00802ADC" w:rsidP="0019197F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AB65B6">
        <w:rPr>
          <w:rFonts w:ascii="Arial" w:hAnsi="Arial" w:cs="Arial"/>
          <w:sz w:val="24"/>
          <w:szCs w:val="24"/>
          <w:lang w:eastAsia="es-MX"/>
        </w:rPr>
        <w:t xml:space="preserve">Que la Ley Orgánica del Poder Legislativo del Estado de Chihuahua contempla, </w:t>
      </w:r>
      <w:r w:rsidR="0019197F" w:rsidRPr="00AB65B6">
        <w:rPr>
          <w:rFonts w:ascii="Arial" w:hAnsi="Arial" w:cs="Arial"/>
          <w:sz w:val="24"/>
          <w:szCs w:val="24"/>
          <w:lang w:eastAsia="es-MX"/>
        </w:rPr>
        <w:t xml:space="preserve">en el año de renovación de la Legislatura, </w:t>
      </w:r>
      <w:r w:rsidRPr="00AB65B6">
        <w:rPr>
          <w:rFonts w:ascii="Arial" w:hAnsi="Arial" w:cs="Arial"/>
          <w:sz w:val="24"/>
          <w:szCs w:val="24"/>
          <w:lang w:eastAsia="es-MX"/>
        </w:rPr>
        <w:t>entre otras atribuciones de la Diputación Permanente</w:t>
      </w:r>
      <w:r w:rsidR="0019197F" w:rsidRPr="00AB65B6">
        <w:rPr>
          <w:rFonts w:ascii="Arial" w:hAnsi="Arial" w:cs="Arial"/>
          <w:sz w:val="24"/>
          <w:szCs w:val="24"/>
          <w:lang w:eastAsia="es-MX"/>
        </w:rPr>
        <w:t xml:space="preserve">, la de constituirse como Comisión Instaladora de la Legislatura que le sucederá. </w:t>
      </w:r>
    </w:p>
    <w:p w:rsidR="0019197F" w:rsidRPr="00AB65B6" w:rsidRDefault="0019197F" w:rsidP="0023135B">
      <w:pPr>
        <w:jc w:val="both"/>
        <w:rPr>
          <w:rFonts w:ascii="Arial" w:hAnsi="Arial" w:cs="Arial"/>
          <w:sz w:val="24"/>
          <w:szCs w:val="24"/>
          <w:lang w:eastAsia="es-MX"/>
        </w:rPr>
      </w:pPr>
    </w:p>
    <w:p w:rsidR="009C1E29" w:rsidRPr="00AB65B6" w:rsidRDefault="0019197F" w:rsidP="001919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65B6">
        <w:rPr>
          <w:rFonts w:ascii="Arial" w:hAnsi="Arial" w:cs="Arial"/>
          <w:sz w:val="24"/>
          <w:szCs w:val="24"/>
          <w:lang w:eastAsia="es-MX"/>
        </w:rPr>
        <w:t>Que</w:t>
      </w:r>
      <w:r w:rsidR="00796466" w:rsidRPr="00AB65B6">
        <w:rPr>
          <w:rFonts w:ascii="Arial" w:hAnsi="Arial" w:cs="Arial"/>
          <w:sz w:val="24"/>
          <w:szCs w:val="24"/>
          <w:lang w:eastAsia="es-MX"/>
        </w:rPr>
        <w:t>,</w:t>
      </w:r>
      <w:r w:rsidRPr="00AB65B6">
        <w:rPr>
          <w:rFonts w:ascii="Arial" w:hAnsi="Arial" w:cs="Arial"/>
          <w:sz w:val="24"/>
          <w:szCs w:val="24"/>
          <w:lang w:eastAsia="es-MX"/>
        </w:rPr>
        <w:t xml:space="preserve"> de igual modo, la referida Diputación Permanente </w:t>
      </w:r>
      <w:r w:rsidR="009C1E29" w:rsidRPr="00AB65B6">
        <w:rPr>
          <w:rFonts w:ascii="Arial" w:hAnsi="Arial" w:cs="Arial"/>
          <w:sz w:val="24"/>
          <w:szCs w:val="24"/>
        </w:rPr>
        <w:t>recibirá del Instituto Estatal Electoral y, en su caso, del Tribunal Estatal Electoral, la documentación relativa a la elección de diputadas y diputados.</w:t>
      </w:r>
    </w:p>
    <w:p w:rsidR="009C1E29" w:rsidRPr="00AB65B6" w:rsidRDefault="009C1E29" w:rsidP="0023135B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19197F" w:rsidRPr="00AB65B6" w:rsidRDefault="00796466" w:rsidP="0019197F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65B6">
        <w:rPr>
          <w:rFonts w:ascii="Arial" w:hAnsi="Arial" w:cs="Arial"/>
          <w:sz w:val="24"/>
          <w:szCs w:val="24"/>
        </w:rPr>
        <w:t>Que, igualmente</w:t>
      </w:r>
      <w:r w:rsidR="0019197F" w:rsidRPr="00AB65B6">
        <w:rPr>
          <w:rFonts w:ascii="Arial" w:hAnsi="Arial" w:cs="Arial"/>
          <w:sz w:val="24"/>
          <w:szCs w:val="24"/>
        </w:rPr>
        <w:t xml:space="preserve">, </w:t>
      </w:r>
      <w:r w:rsidR="009C1E29" w:rsidRPr="00AB65B6">
        <w:rPr>
          <w:rFonts w:ascii="Arial" w:hAnsi="Arial" w:cs="Arial"/>
          <w:sz w:val="24"/>
          <w:szCs w:val="24"/>
        </w:rPr>
        <w:t>dentro de los diez días anteriores al inicio del primer período ordinario de la Legislatura entrante, convocará a las y los diputados electos a la Junta Previa, a fin de hacer su presentación formal y acordar lo relacionado con la designación de la Mesa Directiva que coordinará los trabajos de las sesiones del primer año de ejercicio constitucional</w:t>
      </w:r>
      <w:r w:rsidR="0019197F" w:rsidRPr="00AB65B6">
        <w:rPr>
          <w:rFonts w:ascii="Arial" w:hAnsi="Arial" w:cs="Arial"/>
          <w:sz w:val="24"/>
          <w:szCs w:val="24"/>
        </w:rPr>
        <w:t>.</w:t>
      </w:r>
    </w:p>
    <w:p w:rsidR="0019197F" w:rsidRPr="00AB65B6" w:rsidRDefault="0019197F" w:rsidP="009C1E2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F86073" w:rsidRDefault="00796466" w:rsidP="00F8607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65B6">
        <w:rPr>
          <w:rFonts w:ascii="Arial" w:hAnsi="Arial" w:cs="Arial"/>
          <w:sz w:val="24"/>
          <w:szCs w:val="24"/>
        </w:rPr>
        <w:lastRenderedPageBreak/>
        <w:t xml:space="preserve">Que, </w:t>
      </w:r>
      <w:r w:rsidR="00031578">
        <w:rPr>
          <w:rFonts w:ascii="Arial" w:hAnsi="Arial" w:cs="Arial"/>
          <w:sz w:val="24"/>
          <w:szCs w:val="24"/>
        </w:rPr>
        <w:t>además,</w:t>
      </w:r>
      <w:r w:rsidRPr="00AB65B6">
        <w:rPr>
          <w:rFonts w:ascii="Arial" w:hAnsi="Arial" w:cs="Arial"/>
          <w:sz w:val="24"/>
          <w:szCs w:val="24"/>
        </w:rPr>
        <w:t xml:space="preserve"> </w:t>
      </w:r>
      <w:r w:rsidR="009C1E29" w:rsidRPr="00AB65B6">
        <w:rPr>
          <w:rFonts w:ascii="Arial" w:hAnsi="Arial" w:cs="Arial"/>
          <w:sz w:val="24"/>
          <w:szCs w:val="24"/>
        </w:rPr>
        <w:t>designará a las diputadas y los diputados electos que formarán parte de la comisión de entrega-recepción.</w:t>
      </w:r>
      <w:r w:rsidR="00F86073">
        <w:rPr>
          <w:rFonts w:ascii="Arial" w:hAnsi="Arial" w:cs="Arial"/>
          <w:sz w:val="24"/>
          <w:szCs w:val="24"/>
        </w:rPr>
        <w:t xml:space="preserve"> </w:t>
      </w:r>
    </w:p>
    <w:p w:rsidR="00031578" w:rsidRDefault="00031578" w:rsidP="0023135B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031578" w:rsidRPr="00031578" w:rsidRDefault="00031578" w:rsidP="00031578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578">
        <w:rPr>
          <w:rFonts w:ascii="Arial" w:hAnsi="Arial" w:cs="Arial"/>
          <w:sz w:val="24"/>
          <w:szCs w:val="24"/>
        </w:rPr>
        <w:t>Que, también, la Comisión Instaladora hará lo necesario para que las diputadas y los diputados electos, propietarios y suplentes, reciban capacitación sobre los asuntos legislativos, los derechos, deberes y obligaciones de los legisladores.</w:t>
      </w:r>
    </w:p>
    <w:p w:rsidR="00F86073" w:rsidRDefault="00F86073" w:rsidP="0023135B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F86073" w:rsidRDefault="00F86073" w:rsidP="00F8607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</w:rPr>
        <w:t xml:space="preserve">Que el Reglamento Interior y de Prácticas Parlamentarias del Poder Legislativo desarrolla lo manifestado anteriormente diciendo que la Diputación Permanente recibirá </w:t>
      </w:r>
      <w:r w:rsidRPr="00F86073">
        <w:rPr>
          <w:rFonts w:ascii="Arial" w:hAnsi="Arial" w:cs="Arial"/>
          <w:sz w:val="24"/>
          <w:szCs w:val="24"/>
          <w:lang w:eastAsia="es-MX"/>
        </w:rPr>
        <w:t>copia certificada de las resoluciones emitidas por los tribunales electorales competentes, cuando se hubieren interpuesto recursos en contra de las elecciones para la Gubernatura del Estado y diputaciones por ambos principios.</w:t>
      </w:r>
      <w:r>
        <w:rPr>
          <w:rFonts w:ascii="Arial" w:hAnsi="Arial" w:cs="Arial"/>
          <w:sz w:val="24"/>
          <w:szCs w:val="24"/>
          <w:lang w:eastAsia="es-MX"/>
        </w:rPr>
        <w:t xml:space="preserve"> </w:t>
      </w:r>
    </w:p>
    <w:p w:rsidR="00031578" w:rsidRDefault="00031578" w:rsidP="0023135B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es-MX"/>
        </w:rPr>
      </w:pPr>
    </w:p>
    <w:p w:rsidR="00F86073" w:rsidRPr="00F86073" w:rsidRDefault="00F86073" w:rsidP="00F86073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F86073">
        <w:rPr>
          <w:rFonts w:ascii="Arial" w:hAnsi="Arial" w:cs="Arial"/>
          <w:sz w:val="24"/>
          <w:szCs w:val="24"/>
          <w:lang w:eastAsia="es-MX"/>
        </w:rPr>
        <w:t xml:space="preserve">Que, </w:t>
      </w:r>
      <w:r w:rsidR="00031578">
        <w:rPr>
          <w:rFonts w:ascii="Arial" w:hAnsi="Arial" w:cs="Arial"/>
          <w:sz w:val="24"/>
          <w:szCs w:val="24"/>
          <w:lang w:eastAsia="es-MX"/>
        </w:rPr>
        <w:t xml:space="preserve">de igual manera, </w:t>
      </w:r>
      <w:r w:rsidRPr="00F86073">
        <w:rPr>
          <w:rFonts w:ascii="Arial" w:hAnsi="Arial" w:cs="Arial"/>
          <w:sz w:val="24"/>
          <w:szCs w:val="24"/>
          <w:lang w:eastAsia="es-MX"/>
        </w:rPr>
        <w:t>entregará a la Mesa Directiva del primer año de ejercicio constitucional de la Legislatura entrante, los archivos y documentos que los Órganos Técnicos elaboren con motivo del cambio de Legislatura</w:t>
      </w:r>
      <w:r>
        <w:rPr>
          <w:rFonts w:ascii="Arial" w:hAnsi="Arial" w:cs="Arial"/>
          <w:sz w:val="24"/>
          <w:szCs w:val="24"/>
          <w:lang w:eastAsia="es-MX"/>
        </w:rPr>
        <w:t>.</w:t>
      </w:r>
    </w:p>
    <w:p w:rsidR="00796466" w:rsidRPr="00AB65B6" w:rsidRDefault="00796466" w:rsidP="009C1E2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AB65B6" w:rsidRDefault="00796466" w:rsidP="00AB65B6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65B6">
        <w:rPr>
          <w:rFonts w:ascii="Arial" w:hAnsi="Arial" w:cs="Arial"/>
          <w:sz w:val="24"/>
          <w:szCs w:val="24"/>
        </w:rPr>
        <w:t xml:space="preserve">Que todas y cada una de estas actividades conllevan una serie de </w:t>
      </w:r>
      <w:r w:rsidR="00B66A1E" w:rsidRPr="00AB65B6">
        <w:rPr>
          <w:rFonts w:ascii="Arial" w:hAnsi="Arial" w:cs="Arial"/>
          <w:sz w:val="24"/>
          <w:szCs w:val="24"/>
        </w:rPr>
        <w:t>trabajos</w:t>
      </w:r>
      <w:r w:rsidR="00AB65B6" w:rsidRPr="00AB65B6">
        <w:rPr>
          <w:rFonts w:ascii="Arial" w:hAnsi="Arial" w:cs="Arial"/>
          <w:sz w:val="24"/>
          <w:szCs w:val="24"/>
        </w:rPr>
        <w:t>, que en representación de la Diputación Permanente</w:t>
      </w:r>
      <w:r w:rsidRPr="00AB65B6">
        <w:rPr>
          <w:rFonts w:ascii="Arial" w:hAnsi="Arial" w:cs="Arial"/>
          <w:sz w:val="24"/>
          <w:szCs w:val="24"/>
        </w:rPr>
        <w:t xml:space="preserve"> </w:t>
      </w:r>
      <w:r w:rsidR="00AB65B6" w:rsidRPr="00AB65B6">
        <w:rPr>
          <w:rFonts w:ascii="Arial" w:hAnsi="Arial" w:cs="Arial"/>
          <w:sz w:val="24"/>
          <w:szCs w:val="24"/>
        </w:rPr>
        <w:t xml:space="preserve">deberá </w:t>
      </w:r>
      <w:r w:rsidR="00B66A1E">
        <w:rPr>
          <w:rFonts w:ascii="Arial" w:hAnsi="Arial" w:cs="Arial"/>
          <w:sz w:val="24"/>
          <w:szCs w:val="24"/>
        </w:rPr>
        <w:t>coordinar</w:t>
      </w:r>
      <w:r w:rsidR="00AB65B6" w:rsidRPr="00AB65B6">
        <w:rPr>
          <w:rFonts w:ascii="Arial" w:hAnsi="Arial" w:cs="Arial"/>
          <w:sz w:val="24"/>
          <w:szCs w:val="24"/>
        </w:rPr>
        <w:t xml:space="preserve"> quien presid</w:t>
      </w:r>
      <w:r w:rsidR="00B66A1E">
        <w:rPr>
          <w:rFonts w:ascii="Arial" w:hAnsi="Arial" w:cs="Arial"/>
          <w:sz w:val="24"/>
          <w:szCs w:val="24"/>
        </w:rPr>
        <w:t>e</w:t>
      </w:r>
      <w:r w:rsidR="00AB65B6" w:rsidRPr="00AB65B6">
        <w:rPr>
          <w:rFonts w:ascii="Arial" w:hAnsi="Arial" w:cs="Arial"/>
          <w:sz w:val="24"/>
          <w:szCs w:val="24"/>
        </w:rPr>
        <w:t xml:space="preserve"> su Mesa Directiva.</w:t>
      </w:r>
    </w:p>
    <w:p w:rsidR="00304556" w:rsidRDefault="00304556" w:rsidP="00AB65B6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4556" w:rsidRPr="00AB65B6" w:rsidRDefault="00304556" w:rsidP="00AB65B6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resulta oportuno iniciar con las tareas inherentes al cambio de Legislatura, </w:t>
      </w:r>
      <w:r w:rsidR="005B5055">
        <w:rPr>
          <w:rFonts w:ascii="Arial" w:hAnsi="Arial" w:cs="Arial"/>
          <w:sz w:val="24"/>
          <w:szCs w:val="24"/>
        </w:rPr>
        <w:t xml:space="preserve">preparando la documentación e información de los temas y asuntos y demás materias propios del Poder Legislativo, con el propósito de que las y los legisladores integrantes de la Legislatura entrante, tengan un panorama del quehacer legislativo.  </w:t>
      </w:r>
    </w:p>
    <w:p w:rsidR="00AB65B6" w:rsidRPr="00AB65B6" w:rsidRDefault="00AB65B6" w:rsidP="009C1E2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796466" w:rsidRDefault="00AB65B6" w:rsidP="00AB65B6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65B6">
        <w:rPr>
          <w:rFonts w:ascii="Arial" w:hAnsi="Arial" w:cs="Arial"/>
          <w:sz w:val="24"/>
          <w:szCs w:val="24"/>
        </w:rPr>
        <w:t xml:space="preserve">Que, en razón de lo anterior, y con el </w:t>
      </w:r>
      <w:r w:rsidR="009F42FB">
        <w:rPr>
          <w:rFonts w:ascii="Arial" w:hAnsi="Arial" w:cs="Arial"/>
          <w:sz w:val="24"/>
          <w:szCs w:val="24"/>
        </w:rPr>
        <w:t>objeto</w:t>
      </w:r>
      <w:r w:rsidRPr="00AB65B6">
        <w:rPr>
          <w:rFonts w:ascii="Arial" w:hAnsi="Arial" w:cs="Arial"/>
          <w:sz w:val="24"/>
          <w:szCs w:val="24"/>
        </w:rPr>
        <w:t xml:space="preserve"> de dar certeza y seguridad jurídicas</w:t>
      </w:r>
      <w:r w:rsidR="00B66A1E">
        <w:rPr>
          <w:rFonts w:ascii="Arial" w:hAnsi="Arial" w:cs="Arial"/>
          <w:sz w:val="24"/>
          <w:szCs w:val="24"/>
        </w:rPr>
        <w:t xml:space="preserve"> a dichos trabajos,</w:t>
      </w:r>
      <w:r w:rsidR="0071392B">
        <w:rPr>
          <w:rFonts w:ascii="Arial" w:hAnsi="Arial" w:cs="Arial"/>
          <w:sz w:val="24"/>
          <w:szCs w:val="24"/>
        </w:rPr>
        <w:t xml:space="preserve"> con fundamento en </w:t>
      </w:r>
      <w:r w:rsidR="00B66670">
        <w:rPr>
          <w:rFonts w:ascii="Arial" w:hAnsi="Arial" w:cs="Arial"/>
          <w:sz w:val="24"/>
          <w:szCs w:val="24"/>
        </w:rPr>
        <w:t xml:space="preserve">los </w:t>
      </w:r>
      <w:r w:rsidR="008E154B">
        <w:rPr>
          <w:rFonts w:ascii="Arial" w:hAnsi="Arial" w:cs="Arial"/>
          <w:sz w:val="24"/>
          <w:szCs w:val="24"/>
        </w:rPr>
        <w:t>artículo</w:t>
      </w:r>
      <w:r w:rsidR="00B66670">
        <w:rPr>
          <w:rFonts w:ascii="Arial" w:hAnsi="Arial" w:cs="Arial"/>
          <w:sz w:val="24"/>
          <w:szCs w:val="24"/>
        </w:rPr>
        <w:t>s 82, fracción XI de la Constitución Política</w:t>
      </w:r>
      <w:r w:rsidR="001D7D76">
        <w:rPr>
          <w:rFonts w:ascii="Arial" w:hAnsi="Arial" w:cs="Arial"/>
          <w:sz w:val="24"/>
          <w:szCs w:val="24"/>
        </w:rPr>
        <w:t>;</w:t>
      </w:r>
      <w:r w:rsidR="00B66670">
        <w:rPr>
          <w:rFonts w:ascii="Arial" w:hAnsi="Arial" w:cs="Arial"/>
          <w:sz w:val="24"/>
          <w:szCs w:val="24"/>
        </w:rPr>
        <w:t xml:space="preserve"> 16 </w:t>
      </w:r>
      <w:r w:rsidR="00B66A1E">
        <w:rPr>
          <w:rFonts w:ascii="Arial" w:hAnsi="Arial" w:cs="Arial"/>
          <w:sz w:val="24"/>
          <w:szCs w:val="24"/>
        </w:rPr>
        <w:t xml:space="preserve">y 17 </w:t>
      </w:r>
      <w:r w:rsidR="00B66670">
        <w:rPr>
          <w:rFonts w:ascii="Arial" w:hAnsi="Arial" w:cs="Arial"/>
          <w:sz w:val="24"/>
          <w:szCs w:val="24"/>
        </w:rPr>
        <w:t>de la Ley Orgánica</w:t>
      </w:r>
      <w:r w:rsidR="001D7D76">
        <w:rPr>
          <w:rFonts w:ascii="Arial" w:hAnsi="Arial" w:cs="Arial"/>
          <w:sz w:val="24"/>
          <w:szCs w:val="24"/>
        </w:rPr>
        <w:t>,</w:t>
      </w:r>
      <w:r w:rsidR="00B66670">
        <w:rPr>
          <w:rFonts w:ascii="Arial" w:hAnsi="Arial" w:cs="Arial"/>
          <w:sz w:val="24"/>
          <w:szCs w:val="24"/>
        </w:rPr>
        <w:t xml:space="preserve"> y </w:t>
      </w:r>
      <w:r w:rsidR="003A1261">
        <w:rPr>
          <w:rFonts w:ascii="Arial" w:hAnsi="Arial" w:cs="Arial"/>
          <w:sz w:val="24"/>
          <w:szCs w:val="24"/>
        </w:rPr>
        <w:t xml:space="preserve">7, 8, 9 y 10 </w:t>
      </w:r>
      <w:r w:rsidR="000E1611">
        <w:rPr>
          <w:rFonts w:ascii="Arial" w:hAnsi="Arial" w:cs="Arial"/>
          <w:sz w:val="24"/>
          <w:szCs w:val="24"/>
        </w:rPr>
        <w:t>del Reglamento Interior y de Prácticas Parlamentarias, ambos del Poder Legislativo</w:t>
      </w:r>
      <w:r w:rsidR="001D7D76">
        <w:rPr>
          <w:rFonts w:ascii="Arial" w:hAnsi="Arial" w:cs="Arial"/>
          <w:sz w:val="24"/>
          <w:szCs w:val="24"/>
        </w:rPr>
        <w:t>,</w:t>
      </w:r>
      <w:r w:rsidR="000E1611">
        <w:rPr>
          <w:rFonts w:ascii="Arial" w:hAnsi="Arial" w:cs="Arial"/>
          <w:sz w:val="24"/>
          <w:szCs w:val="24"/>
        </w:rPr>
        <w:t xml:space="preserve"> y todos los ordenamientos del Estado de Chihuahua, </w:t>
      </w:r>
      <w:r w:rsidRPr="00AB65B6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formula la siguiente </w:t>
      </w:r>
    </w:p>
    <w:p w:rsidR="00AB65B6" w:rsidRDefault="00AB65B6" w:rsidP="009C1E2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A4650" w:rsidRDefault="003A4650" w:rsidP="00AB65B6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3A4650" w:rsidRDefault="003A4650" w:rsidP="00AB65B6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3A4650" w:rsidRDefault="003A4650" w:rsidP="00AB65B6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AB65B6" w:rsidRPr="0071392B" w:rsidRDefault="00AB65B6" w:rsidP="00AB65B6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71392B">
        <w:rPr>
          <w:rFonts w:ascii="Arial" w:hAnsi="Arial" w:cs="Arial"/>
          <w:b/>
          <w:sz w:val="24"/>
          <w:szCs w:val="24"/>
        </w:rPr>
        <w:t>DECLARATORIA</w:t>
      </w:r>
    </w:p>
    <w:p w:rsidR="00592BAB" w:rsidRDefault="00592BAB">
      <w:pPr>
        <w:rPr>
          <w:b/>
          <w:sz w:val="24"/>
          <w:szCs w:val="24"/>
        </w:rPr>
      </w:pPr>
    </w:p>
    <w:p w:rsidR="008B49AC" w:rsidRPr="0071392B" w:rsidRDefault="008B49AC">
      <w:pPr>
        <w:rPr>
          <w:b/>
          <w:sz w:val="24"/>
          <w:szCs w:val="24"/>
        </w:rPr>
      </w:pPr>
    </w:p>
    <w:p w:rsidR="00D15BBD" w:rsidRPr="00E031B1" w:rsidRDefault="00AB65B6" w:rsidP="00E031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31B1">
        <w:rPr>
          <w:rFonts w:ascii="Arial" w:hAnsi="Arial" w:cs="Arial"/>
          <w:b/>
          <w:sz w:val="24"/>
          <w:szCs w:val="24"/>
        </w:rPr>
        <w:t>PRIMERO.-</w:t>
      </w:r>
      <w:r w:rsidRPr="00E031B1">
        <w:rPr>
          <w:rFonts w:ascii="Arial" w:hAnsi="Arial" w:cs="Arial"/>
          <w:sz w:val="24"/>
          <w:szCs w:val="24"/>
        </w:rPr>
        <w:t xml:space="preserve"> </w:t>
      </w:r>
      <w:r w:rsidR="0071392B" w:rsidRPr="00E031B1">
        <w:rPr>
          <w:rFonts w:ascii="Arial" w:hAnsi="Arial" w:cs="Arial"/>
          <w:sz w:val="24"/>
          <w:szCs w:val="24"/>
        </w:rPr>
        <w:t xml:space="preserve"> </w:t>
      </w:r>
      <w:r w:rsidRPr="00E031B1">
        <w:rPr>
          <w:rFonts w:ascii="Arial" w:hAnsi="Arial" w:cs="Arial"/>
          <w:sz w:val="24"/>
          <w:szCs w:val="24"/>
        </w:rPr>
        <w:t xml:space="preserve">Se declara a la Segunda Diputación Permanente del Tercer Año de </w:t>
      </w:r>
      <w:r w:rsidR="00D15BBD" w:rsidRPr="00E031B1">
        <w:rPr>
          <w:rFonts w:ascii="Arial" w:hAnsi="Arial" w:cs="Arial"/>
          <w:sz w:val="24"/>
          <w:szCs w:val="24"/>
        </w:rPr>
        <w:t>E</w:t>
      </w:r>
      <w:r w:rsidRPr="00E031B1">
        <w:rPr>
          <w:rFonts w:ascii="Arial" w:hAnsi="Arial" w:cs="Arial"/>
          <w:sz w:val="24"/>
          <w:szCs w:val="24"/>
        </w:rPr>
        <w:t xml:space="preserve">jercicio </w:t>
      </w:r>
      <w:r w:rsidR="00D15BBD" w:rsidRPr="00E031B1">
        <w:rPr>
          <w:rFonts w:ascii="Arial" w:hAnsi="Arial" w:cs="Arial"/>
          <w:sz w:val="24"/>
          <w:szCs w:val="24"/>
        </w:rPr>
        <w:t>C</w:t>
      </w:r>
      <w:r w:rsidRPr="00E031B1">
        <w:rPr>
          <w:rFonts w:ascii="Arial" w:hAnsi="Arial" w:cs="Arial"/>
          <w:sz w:val="24"/>
          <w:szCs w:val="24"/>
        </w:rPr>
        <w:t>onstitucional</w:t>
      </w:r>
      <w:r w:rsidR="00D15BBD" w:rsidRPr="00E031B1">
        <w:rPr>
          <w:rFonts w:ascii="Arial" w:hAnsi="Arial" w:cs="Arial"/>
          <w:sz w:val="24"/>
          <w:szCs w:val="24"/>
        </w:rPr>
        <w:t>, Comisión Instaladora de la Sexagésima Sé</w:t>
      </w:r>
      <w:r w:rsidR="00E031B1">
        <w:rPr>
          <w:rFonts w:ascii="Arial" w:hAnsi="Arial" w:cs="Arial"/>
          <w:sz w:val="24"/>
          <w:szCs w:val="24"/>
        </w:rPr>
        <w:t>p</w:t>
      </w:r>
      <w:r w:rsidR="00D15BBD" w:rsidRPr="00E031B1">
        <w:rPr>
          <w:rFonts w:ascii="Arial" w:hAnsi="Arial" w:cs="Arial"/>
          <w:sz w:val="24"/>
          <w:szCs w:val="24"/>
        </w:rPr>
        <w:t>tima Legislatura del H. Congreso del Estado de Chihuahua.</w:t>
      </w:r>
    </w:p>
    <w:p w:rsidR="00D15BBD" w:rsidRDefault="00D15BBD">
      <w:pPr>
        <w:rPr>
          <w:sz w:val="24"/>
          <w:szCs w:val="24"/>
        </w:rPr>
      </w:pPr>
    </w:p>
    <w:p w:rsidR="00AB65B6" w:rsidRDefault="00D15BBD" w:rsidP="00E031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31B1">
        <w:rPr>
          <w:rFonts w:ascii="Arial" w:hAnsi="Arial" w:cs="Arial"/>
          <w:b/>
          <w:sz w:val="24"/>
          <w:szCs w:val="24"/>
        </w:rPr>
        <w:t>SEGUNDO.-</w:t>
      </w:r>
      <w:r w:rsidR="00AB65B6" w:rsidRPr="00E031B1">
        <w:rPr>
          <w:rFonts w:ascii="Arial" w:hAnsi="Arial" w:cs="Arial"/>
          <w:sz w:val="24"/>
          <w:szCs w:val="24"/>
        </w:rPr>
        <w:t xml:space="preserve"> </w:t>
      </w:r>
      <w:r w:rsidRPr="00E031B1">
        <w:rPr>
          <w:rFonts w:ascii="Arial" w:hAnsi="Arial" w:cs="Arial"/>
          <w:sz w:val="24"/>
          <w:szCs w:val="24"/>
        </w:rPr>
        <w:t>Quien presid</w:t>
      </w:r>
      <w:r w:rsidR="005B033B">
        <w:rPr>
          <w:rFonts w:ascii="Arial" w:hAnsi="Arial" w:cs="Arial"/>
          <w:sz w:val="24"/>
          <w:szCs w:val="24"/>
        </w:rPr>
        <w:t>e</w:t>
      </w:r>
      <w:r w:rsidRPr="00E031B1">
        <w:rPr>
          <w:rFonts w:ascii="Arial" w:hAnsi="Arial" w:cs="Arial"/>
          <w:sz w:val="24"/>
          <w:szCs w:val="24"/>
        </w:rPr>
        <w:t xml:space="preserve"> la Mesa Directiva de la referida Diputación Permanente, </w:t>
      </w:r>
      <w:r w:rsidR="000E1611" w:rsidRPr="00E031B1">
        <w:rPr>
          <w:rFonts w:ascii="Arial" w:hAnsi="Arial" w:cs="Arial"/>
          <w:sz w:val="24"/>
          <w:szCs w:val="24"/>
        </w:rPr>
        <w:t xml:space="preserve">coordinará los trabajos y realizará los actos pertinentes para cumplir </w:t>
      </w:r>
      <w:r w:rsidR="005C366A">
        <w:rPr>
          <w:rFonts w:ascii="Arial" w:hAnsi="Arial" w:cs="Arial"/>
          <w:sz w:val="24"/>
          <w:szCs w:val="24"/>
        </w:rPr>
        <w:t>con</w:t>
      </w:r>
      <w:r w:rsidR="00246A64">
        <w:rPr>
          <w:rFonts w:ascii="Arial" w:hAnsi="Arial" w:cs="Arial"/>
          <w:sz w:val="24"/>
          <w:szCs w:val="24"/>
        </w:rPr>
        <w:t xml:space="preserve"> </w:t>
      </w:r>
      <w:r w:rsidR="00E031B1">
        <w:rPr>
          <w:rFonts w:ascii="Arial" w:hAnsi="Arial" w:cs="Arial"/>
          <w:sz w:val="24"/>
          <w:szCs w:val="24"/>
        </w:rPr>
        <w:t>los</w:t>
      </w:r>
      <w:r w:rsidR="000E1611" w:rsidRPr="00E031B1">
        <w:rPr>
          <w:rFonts w:ascii="Arial" w:hAnsi="Arial" w:cs="Arial"/>
          <w:sz w:val="24"/>
          <w:szCs w:val="24"/>
        </w:rPr>
        <w:t xml:space="preserve"> </w:t>
      </w:r>
      <w:r w:rsidR="00A54363">
        <w:rPr>
          <w:rFonts w:ascii="Arial" w:hAnsi="Arial" w:cs="Arial"/>
          <w:sz w:val="24"/>
          <w:szCs w:val="24"/>
        </w:rPr>
        <w:t xml:space="preserve">fines </w:t>
      </w:r>
      <w:r w:rsidR="00E031B1">
        <w:rPr>
          <w:rFonts w:ascii="Arial" w:hAnsi="Arial" w:cs="Arial"/>
          <w:sz w:val="24"/>
          <w:szCs w:val="24"/>
        </w:rPr>
        <w:t>de esta Declaratoria</w:t>
      </w:r>
      <w:r w:rsidR="005C366A">
        <w:rPr>
          <w:rFonts w:ascii="Arial" w:hAnsi="Arial" w:cs="Arial"/>
          <w:sz w:val="24"/>
          <w:szCs w:val="24"/>
        </w:rPr>
        <w:t>, en los términos de la normatividad aplicable</w:t>
      </w:r>
      <w:r w:rsidR="00E031B1">
        <w:rPr>
          <w:rFonts w:ascii="Arial" w:hAnsi="Arial" w:cs="Arial"/>
          <w:sz w:val="24"/>
          <w:szCs w:val="24"/>
        </w:rPr>
        <w:t>.</w:t>
      </w:r>
    </w:p>
    <w:p w:rsidR="00E031B1" w:rsidRDefault="00E031B1" w:rsidP="0023135B">
      <w:pPr>
        <w:jc w:val="both"/>
        <w:rPr>
          <w:rFonts w:ascii="Arial" w:hAnsi="Arial" w:cs="Arial"/>
          <w:sz w:val="24"/>
          <w:szCs w:val="24"/>
        </w:rPr>
      </w:pPr>
    </w:p>
    <w:p w:rsidR="008B49AC" w:rsidRDefault="008B49AC" w:rsidP="00E031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031B1" w:rsidRDefault="00E031B1" w:rsidP="00E031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Dado en el Recinto Oficial del Poder Legislativo, en la modalidad de acceso remoto o virtual, a los dieciséis días del mes de julio del año dos mil veintiuno. </w:t>
      </w:r>
    </w:p>
    <w:p w:rsidR="00227A5C" w:rsidRDefault="00227A5C" w:rsidP="00E031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7DB5" w:rsidRPr="00DE54D3" w:rsidRDefault="00DC7DB5" w:rsidP="00DC7DB5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E54D3">
        <w:rPr>
          <w:rFonts w:ascii="Arial" w:eastAsia="Calibri" w:hAnsi="Arial" w:cs="Arial"/>
          <w:b/>
          <w:sz w:val="24"/>
          <w:szCs w:val="24"/>
          <w:lang w:eastAsia="en-US"/>
        </w:rPr>
        <w:t>Presidenta</w:t>
      </w:r>
    </w:p>
    <w:p w:rsidR="00DC7DB5" w:rsidRDefault="00DC7DB5" w:rsidP="00DC7DB5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DC7DB5" w:rsidRDefault="00DC7DB5" w:rsidP="00DC7DB5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413E76" w:rsidRDefault="00413E76" w:rsidP="00DC7DB5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DC7DB5" w:rsidRPr="00DE54D3" w:rsidRDefault="00DC7DB5" w:rsidP="00DC7DB5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E54D3">
        <w:rPr>
          <w:rFonts w:ascii="Arial" w:eastAsia="Calibri" w:hAnsi="Arial" w:cs="Arial"/>
          <w:b/>
          <w:sz w:val="24"/>
          <w:szCs w:val="24"/>
          <w:lang w:eastAsia="en-US"/>
        </w:rPr>
        <w:t>Dip. Blanca Gámez Gutiérrez</w:t>
      </w:r>
    </w:p>
    <w:p w:rsidR="00E94A25" w:rsidRDefault="00E94A25" w:rsidP="00DC7DB5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63059" w:rsidRDefault="00963059" w:rsidP="00DC7DB5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94A25" w:rsidRDefault="00E94A25" w:rsidP="00DC7DB5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963059" w:rsidTr="00963059">
        <w:tc>
          <w:tcPr>
            <w:tcW w:w="4414" w:type="dxa"/>
          </w:tcPr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Primer Vicepresidente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3D5C03" w:rsidRDefault="003D5C03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Dip. Omar Bazán Flores</w:t>
            </w:r>
          </w:p>
        </w:tc>
        <w:tc>
          <w:tcPr>
            <w:tcW w:w="4414" w:type="dxa"/>
          </w:tcPr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Segunda Vicepresidenta</w:t>
            </w:r>
          </w:p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3D5C03" w:rsidRDefault="003D5C03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Dip. Lourdes Beatriz Valle Armendáriz</w:t>
            </w:r>
          </w:p>
        </w:tc>
      </w:tr>
      <w:tr w:rsidR="00963059" w:rsidTr="00963059">
        <w:tc>
          <w:tcPr>
            <w:tcW w:w="4414" w:type="dxa"/>
          </w:tcPr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1D7D76" w:rsidRDefault="001D7D76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1D7D76" w:rsidRDefault="001D7D76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14" w:type="dxa"/>
          </w:tcPr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963059" w:rsidTr="00963059">
        <w:tc>
          <w:tcPr>
            <w:tcW w:w="4414" w:type="dxa"/>
          </w:tcPr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Primera Secretaria</w:t>
            </w:r>
            <w:r w:rsidRPr="00DE54D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 </w:t>
            </w:r>
          </w:p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3D5C03" w:rsidRDefault="003D5C03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963059" w:rsidRDefault="00963059" w:rsidP="001D7D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Dip.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Roc</w:t>
            </w:r>
            <w:r w:rsidR="001D7D7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o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Guadalupe Sarmiento Rufino                                         </w:t>
            </w:r>
          </w:p>
        </w:tc>
        <w:tc>
          <w:tcPr>
            <w:tcW w:w="4414" w:type="dxa"/>
          </w:tcPr>
          <w:p w:rsidR="00963059" w:rsidRDefault="00963059" w:rsidP="009630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Segundo</w:t>
            </w:r>
            <w:r w:rsidRPr="00DE54D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Secretari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o</w:t>
            </w:r>
          </w:p>
          <w:p w:rsidR="00963059" w:rsidRDefault="00963059" w:rsidP="009630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963059" w:rsidRDefault="00963059" w:rsidP="009630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3D5C03" w:rsidRPr="00DE54D3" w:rsidRDefault="003D5C03" w:rsidP="009630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963059" w:rsidRDefault="00963059" w:rsidP="009630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DE54D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Dip.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Jesús Villarreal Macías</w:t>
            </w:r>
          </w:p>
        </w:tc>
      </w:tr>
      <w:tr w:rsidR="00963059" w:rsidTr="00963059">
        <w:tc>
          <w:tcPr>
            <w:tcW w:w="4414" w:type="dxa"/>
          </w:tcPr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14" w:type="dxa"/>
          </w:tcPr>
          <w:p w:rsidR="00963059" w:rsidRDefault="00963059" w:rsidP="009630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963059" w:rsidTr="00963059">
        <w:tc>
          <w:tcPr>
            <w:tcW w:w="4414" w:type="dxa"/>
          </w:tcPr>
          <w:p w:rsidR="00963059" w:rsidRDefault="00205A9D" w:rsidP="00DC7D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963059" w:rsidRPr="002B728F">
              <w:rPr>
                <w:rFonts w:ascii="Arial" w:hAnsi="Arial" w:cs="Arial"/>
                <w:b/>
                <w:sz w:val="24"/>
                <w:szCs w:val="24"/>
              </w:rPr>
              <w:t>rosecretario</w:t>
            </w:r>
            <w:r w:rsidR="009630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63059" w:rsidRDefault="00963059" w:rsidP="00DC7D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059" w:rsidRDefault="00963059" w:rsidP="00DC7D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C03" w:rsidRDefault="003D5C03" w:rsidP="00DC7D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059" w:rsidRDefault="00963059" w:rsidP="00DC7D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Dip. Misael Máynez Cano</w:t>
            </w:r>
          </w:p>
        </w:tc>
        <w:tc>
          <w:tcPr>
            <w:tcW w:w="4414" w:type="dxa"/>
          </w:tcPr>
          <w:p w:rsidR="00963059" w:rsidRDefault="00963059" w:rsidP="009630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728F">
              <w:rPr>
                <w:rFonts w:ascii="Arial" w:hAnsi="Arial" w:cs="Arial"/>
                <w:b/>
                <w:sz w:val="24"/>
                <w:szCs w:val="24"/>
              </w:rPr>
              <w:t>Prosecretaria</w:t>
            </w:r>
          </w:p>
          <w:p w:rsidR="00963059" w:rsidRDefault="00963059" w:rsidP="009630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059" w:rsidRDefault="00963059" w:rsidP="009630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C03" w:rsidRDefault="003D5C03" w:rsidP="009630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059" w:rsidRDefault="00963059" w:rsidP="0096305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2B728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Dip. </w:t>
            </w:r>
            <w:r w:rsidRPr="002B728F">
              <w:rPr>
                <w:rFonts w:ascii="Arial" w:hAnsi="Arial" w:cs="Arial"/>
                <w:b/>
                <w:sz w:val="24"/>
                <w:szCs w:val="24"/>
              </w:rPr>
              <w:t xml:space="preserve">Amelia Deyanira </w:t>
            </w:r>
            <w:proofErr w:type="spellStart"/>
            <w:r w:rsidRPr="002B728F">
              <w:rPr>
                <w:rFonts w:ascii="Arial" w:hAnsi="Arial" w:cs="Arial"/>
                <w:b/>
                <w:sz w:val="24"/>
                <w:szCs w:val="24"/>
              </w:rPr>
              <w:t>Ozaeta</w:t>
            </w:r>
            <w:proofErr w:type="spellEnd"/>
            <w:r w:rsidRPr="002B728F">
              <w:rPr>
                <w:rFonts w:ascii="Arial" w:hAnsi="Arial" w:cs="Arial"/>
                <w:b/>
                <w:sz w:val="24"/>
                <w:szCs w:val="24"/>
              </w:rPr>
              <w:t xml:space="preserve"> Díaz</w:t>
            </w:r>
          </w:p>
        </w:tc>
      </w:tr>
      <w:tr w:rsidR="00963059" w:rsidTr="00963059">
        <w:tc>
          <w:tcPr>
            <w:tcW w:w="4414" w:type="dxa"/>
          </w:tcPr>
          <w:p w:rsidR="00963059" w:rsidRDefault="00963059" w:rsidP="00DC7D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059" w:rsidRDefault="00963059" w:rsidP="00DC7D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059" w:rsidRDefault="00963059" w:rsidP="00DC7D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63059" w:rsidRDefault="00963059" w:rsidP="009630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3059" w:rsidTr="00963059">
        <w:tc>
          <w:tcPr>
            <w:tcW w:w="4414" w:type="dxa"/>
          </w:tcPr>
          <w:p w:rsidR="00963059" w:rsidRDefault="00963059" w:rsidP="00DC7D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728F">
              <w:rPr>
                <w:rFonts w:ascii="Arial" w:hAnsi="Arial" w:cs="Arial"/>
                <w:b/>
                <w:sz w:val="24"/>
                <w:szCs w:val="24"/>
              </w:rPr>
              <w:t>Prosecretaria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63059" w:rsidRDefault="00963059" w:rsidP="00DC7D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C03" w:rsidRDefault="003D5C03" w:rsidP="00DC7D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059" w:rsidRDefault="00963059" w:rsidP="00DC7D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059" w:rsidRDefault="00963059" w:rsidP="00DC7D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Dip. </w:t>
            </w:r>
            <w:r w:rsidRPr="002B728F">
              <w:rPr>
                <w:rFonts w:ascii="Arial" w:hAnsi="Arial" w:cs="Arial"/>
                <w:b/>
                <w:sz w:val="24"/>
                <w:szCs w:val="24"/>
              </w:rPr>
              <w:t>Anna Elizabeth Chávez Mata</w:t>
            </w:r>
          </w:p>
        </w:tc>
        <w:tc>
          <w:tcPr>
            <w:tcW w:w="4414" w:type="dxa"/>
          </w:tcPr>
          <w:p w:rsidR="00963059" w:rsidRDefault="00963059" w:rsidP="009630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B728F">
              <w:rPr>
                <w:rFonts w:ascii="Arial" w:hAnsi="Arial" w:cs="Arial"/>
                <w:b/>
                <w:sz w:val="24"/>
                <w:szCs w:val="24"/>
              </w:rPr>
              <w:t>Prosecretario</w:t>
            </w:r>
            <w:r w:rsidRPr="002B728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963059" w:rsidRDefault="00963059" w:rsidP="009630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059" w:rsidRDefault="00963059" w:rsidP="009630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5C03" w:rsidRDefault="003D5C03" w:rsidP="009630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3059" w:rsidRDefault="00963059" w:rsidP="009630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Dip. </w:t>
            </w:r>
            <w:r w:rsidRPr="002B728F">
              <w:rPr>
                <w:rFonts w:ascii="Arial" w:hAnsi="Arial" w:cs="Arial"/>
                <w:b/>
                <w:sz w:val="24"/>
                <w:szCs w:val="24"/>
              </w:rPr>
              <w:t>Luis Alberto Aguilar Lozoya</w:t>
            </w:r>
          </w:p>
        </w:tc>
      </w:tr>
    </w:tbl>
    <w:p w:rsidR="00E94A25" w:rsidRPr="002B728F" w:rsidRDefault="00413E76" w:rsidP="00E94A2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E94A25" w:rsidRPr="002B728F" w:rsidSect="00205A9D">
      <w:headerReference w:type="default" r:id="rId7"/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A9D" w:rsidRDefault="00205A9D" w:rsidP="00205A9D">
      <w:r>
        <w:separator/>
      </w:r>
    </w:p>
  </w:endnote>
  <w:endnote w:type="continuationSeparator" w:id="0">
    <w:p w:rsidR="00205A9D" w:rsidRDefault="00205A9D" w:rsidP="0020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A9D" w:rsidRDefault="00205A9D" w:rsidP="00205A9D">
      <w:r>
        <w:separator/>
      </w:r>
    </w:p>
  </w:footnote>
  <w:footnote w:type="continuationSeparator" w:id="0">
    <w:p w:rsidR="00205A9D" w:rsidRDefault="00205A9D" w:rsidP="00205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A9D" w:rsidRPr="00BA1F97" w:rsidRDefault="00205A9D" w:rsidP="00205A9D">
    <w:pPr>
      <w:pStyle w:val="Encabezado"/>
      <w:ind w:left="851" w:right="617"/>
      <w:jc w:val="center"/>
      <w:rPr>
        <w:rFonts w:ascii="Arial" w:hAnsi="Arial" w:cs="Arial"/>
        <w:b/>
        <w:sz w:val="23"/>
        <w:szCs w:val="23"/>
      </w:rPr>
    </w:pPr>
    <w:r w:rsidRPr="00BA1F97">
      <w:rPr>
        <w:rFonts w:ascii="Arial" w:hAnsi="Arial" w:cs="Arial"/>
        <w:b/>
        <w:sz w:val="23"/>
        <w:szCs w:val="23"/>
      </w:rPr>
      <w:t>“2021, Año del Bicentenario de la Consumación de la Independencia”</w:t>
    </w:r>
  </w:p>
  <w:p w:rsidR="00205A9D" w:rsidRPr="00BA1F97" w:rsidRDefault="00205A9D" w:rsidP="00205A9D">
    <w:pPr>
      <w:pStyle w:val="Encabezado"/>
      <w:ind w:left="851" w:right="617"/>
      <w:jc w:val="center"/>
      <w:rPr>
        <w:rFonts w:ascii="Arial" w:hAnsi="Arial" w:cs="Arial"/>
        <w:b/>
        <w:sz w:val="23"/>
        <w:szCs w:val="23"/>
      </w:rPr>
    </w:pPr>
  </w:p>
  <w:p w:rsidR="00205A9D" w:rsidRPr="00BA1F97" w:rsidRDefault="00205A9D" w:rsidP="00205A9D">
    <w:pPr>
      <w:pStyle w:val="Encabezado"/>
      <w:ind w:left="851" w:right="617"/>
      <w:jc w:val="center"/>
      <w:rPr>
        <w:rFonts w:ascii="Arial" w:hAnsi="Arial" w:cs="Arial"/>
        <w:b/>
        <w:sz w:val="23"/>
        <w:szCs w:val="23"/>
      </w:rPr>
    </w:pPr>
    <w:r w:rsidRPr="00BA1F97">
      <w:rPr>
        <w:rFonts w:ascii="Arial" w:hAnsi="Arial" w:cs="Arial"/>
        <w:b/>
        <w:sz w:val="23"/>
        <w:szCs w:val="23"/>
      </w:rPr>
      <w:t>“2021, Año de las Culturas del Norte”</w:t>
    </w:r>
  </w:p>
  <w:p w:rsidR="00205A9D" w:rsidRDefault="00205A9D" w:rsidP="00205A9D">
    <w:pPr>
      <w:tabs>
        <w:tab w:val="left" w:pos="2670"/>
      </w:tabs>
      <w:spacing w:line="360" w:lineRule="auto"/>
      <w:jc w:val="both"/>
      <w:rPr>
        <w:rFonts w:ascii="Arial" w:hAnsi="Arial" w:cs="Arial"/>
        <w:b/>
        <w:sz w:val="24"/>
        <w:szCs w:val="24"/>
        <w:lang w:eastAsia="es-MX"/>
      </w:rPr>
    </w:pPr>
  </w:p>
  <w:p w:rsidR="00205A9D" w:rsidRDefault="00205A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0402D"/>
    <w:multiLevelType w:val="hybridMultilevel"/>
    <w:tmpl w:val="41ACBBA2"/>
    <w:lvl w:ilvl="0" w:tplc="E6D65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29"/>
    <w:rsid w:val="00031578"/>
    <w:rsid w:val="000E1611"/>
    <w:rsid w:val="000F20E8"/>
    <w:rsid w:val="0019197F"/>
    <w:rsid w:val="001D7D76"/>
    <w:rsid w:val="00205A9D"/>
    <w:rsid w:val="00227A5C"/>
    <w:rsid w:val="0023135B"/>
    <w:rsid w:val="00246A64"/>
    <w:rsid w:val="00263A7B"/>
    <w:rsid w:val="002B728F"/>
    <w:rsid w:val="00304556"/>
    <w:rsid w:val="003A025E"/>
    <w:rsid w:val="003A1261"/>
    <w:rsid w:val="003A4650"/>
    <w:rsid w:val="003D5C03"/>
    <w:rsid w:val="00413E76"/>
    <w:rsid w:val="004D144C"/>
    <w:rsid w:val="004E6D11"/>
    <w:rsid w:val="00592BAB"/>
    <w:rsid w:val="005B033B"/>
    <w:rsid w:val="005B5055"/>
    <w:rsid w:val="005C366A"/>
    <w:rsid w:val="0071392B"/>
    <w:rsid w:val="00796466"/>
    <w:rsid w:val="00802ADC"/>
    <w:rsid w:val="008B49AC"/>
    <w:rsid w:val="008E154B"/>
    <w:rsid w:val="00963059"/>
    <w:rsid w:val="009C1E29"/>
    <w:rsid w:val="009F0CE4"/>
    <w:rsid w:val="009F42FB"/>
    <w:rsid w:val="00A54363"/>
    <w:rsid w:val="00AB65B6"/>
    <w:rsid w:val="00AC085C"/>
    <w:rsid w:val="00B66670"/>
    <w:rsid w:val="00B66A1E"/>
    <w:rsid w:val="00BA1F97"/>
    <w:rsid w:val="00D15BBD"/>
    <w:rsid w:val="00DC7DB5"/>
    <w:rsid w:val="00E031B1"/>
    <w:rsid w:val="00E94A25"/>
    <w:rsid w:val="00F86073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FBF08-B239-488D-BA44-F0B1B35A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13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3135B"/>
    <w:rPr>
      <w:lang w:val="es-MX"/>
    </w:rPr>
  </w:style>
  <w:style w:type="table" w:styleId="Tablaconcuadrcula">
    <w:name w:val="Table Grid"/>
    <w:basedOn w:val="Tablanormal"/>
    <w:uiPriority w:val="39"/>
    <w:rsid w:val="0096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05A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A9D"/>
    <w:rPr>
      <w:rFonts w:ascii="Times New Roman" w:eastAsia="Times New Roman" w:hAnsi="Times New Roman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dcterms:created xsi:type="dcterms:W3CDTF">2021-07-15T19:26:00Z</dcterms:created>
  <dcterms:modified xsi:type="dcterms:W3CDTF">2021-07-15T19:29:00Z</dcterms:modified>
</cp:coreProperties>
</file>