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5442F2">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5442F2">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5442F2">
      <w:pPr>
        <w:jc w:val="both"/>
        <w:rPr>
          <w:rFonts w:ascii="Century Gothic" w:hAnsi="Century Gothic" w:cs="Arial"/>
          <w:b/>
          <w:sz w:val="24"/>
          <w:szCs w:val="24"/>
          <w:lang w:val="es-ES_tradnl"/>
        </w:rPr>
      </w:pPr>
      <w:bookmarkStart w:id="0" w:name="_GoBack"/>
      <w:bookmarkEnd w:id="0"/>
    </w:p>
    <w:p w14:paraId="0ACA93F6" w14:textId="1E07608F" w:rsidR="001A343E" w:rsidRPr="00E2101A" w:rsidRDefault="00A63F04" w:rsidP="005442F2">
      <w:pPr>
        <w:jc w:val="both"/>
        <w:rPr>
          <w:rFonts w:ascii="Century Gothic" w:hAnsi="Century Gothic" w:cs="Arial"/>
          <w:bCs/>
          <w:sz w:val="24"/>
          <w:szCs w:val="24"/>
          <w:lang w:val="es-ES_tradnl"/>
        </w:rPr>
      </w:pPr>
      <w:r>
        <w:rPr>
          <w:rFonts w:ascii="Century Gothic" w:hAnsi="Century Gothic" w:cstheme="minorHAnsi"/>
          <w:sz w:val="24"/>
          <w:szCs w:val="24"/>
        </w:rPr>
        <w:t>El</w:t>
      </w:r>
      <w:r w:rsidR="002800B0">
        <w:rPr>
          <w:rFonts w:ascii="Century Gothic" w:hAnsi="Century Gothic" w:cstheme="minorHAnsi"/>
          <w:sz w:val="24"/>
          <w:szCs w:val="24"/>
        </w:rPr>
        <w:t xml:space="preserve"> </w:t>
      </w:r>
      <w:r w:rsidR="00B15B87">
        <w:rPr>
          <w:rFonts w:ascii="Century Gothic" w:hAnsi="Century Gothic" w:cstheme="minorHAnsi"/>
          <w:sz w:val="24"/>
          <w:szCs w:val="24"/>
        </w:rPr>
        <w:t>suscrito</w:t>
      </w:r>
      <w:r w:rsidR="00E2101A">
        <w:rPr>
          <w:rFonts w:ascii="Century Gothic" w:hAnsi="Century Gothic" w:cstheme="minorHAnsi"/>
          <w:sz w:val="24"/>
          <w:szCs w:val="24"/>
        </w:rPr>
        <w:t>,</w:t>
      </w:r>
      <w:r w:rsidR="00B15B87">
        <w:rPr>
          <w:rFonts w:ascii="Century Gothic" w:eastAsia="Times New Roman" w:hAnsi="Century Gothic" w:cstheme="minorHAnsi"/>
          <w:sz w:val="24"/>
          <w:szCs w:val="24"/>
        </w:rPr>
        <w:t xml:space="preserve"> </w:t>
      </w:r>
      <w:r w:rsidR="00317DA5" w:rsidRPr="00CD7505">
        <w:rPr>
          <w:rFonts w:ascii="Century Gothic" w:eastAsia="Times New Roman" w:hAnsi="Century Gothic" w:cstheme="minorHAnsi"/>
          <w:b/>
          <w:sz w:val="24"/>
          <w:szCs w:val="24"/>
        </w:rPr>
        <w:t>Miguel Ángel Colunga Martínez</w:t>
      </w:r>
      <w:r w:rsidR="00732FD9" w:rsidRPr="00732FD9">
        <w:rPr>
          <w:rFonts w:ascii="Century Gothic" w:eastAsia="Times New Roman" w:hAnsi="Century Gothic" w:cstheme="minorHAnsi"/>
          <w:b/>
          <w:sz w:val="24"/>
          <w:szCs w:val="24"/>
        </w:rPr>
        <w:t>,</w:t>
      </w:r>
      <w:r w:rsidRPr="00A63F04">
        <w:rPr>
          <w:rFonts w:ascii="Century Gothic" w:eastAsia="Times New Roman" w:hAnsi="Century Gothic" w:cstheme="minorHAnsi"/>
          <w:bCs/>
          <w:sz w:val="24"/>
          <w:szCs w:val="24"/>
        </w:rPr>
        <w:t xml:space="preserve"> en mi carácter de Diputado de la</w:t>
      </w:r>
      <w:r>
        <w:rPr>
          <w:rFonts w:ascii="Century Gothic" w:eastAsia="Times New Roman" w:hAnsi="Century Gothic" w:cstheme="minorHAnsi"/>
          <w:sz w:val="24"/>
          <w:szCs w:val="24"/>
        </w:rPr>
        <w:t xml:space="preserve"> </w:t>
      </w:r>
      <w:r w:rsidR="00317DA5" w:rsidRPr="00CD7505">
        <w:rPr>
          <w:rFonts w:ascii="Century Gothic" w:hAnsi="Century Gothic" w:cstheme="minorHAnsi"/>
          <w:sz w:val="24"/>
          <w:szCs w:val="24"/>
        </w:rPr>
        <w:t>Sexagésima Sexta Legislatura del Honorable Congreso del Estado</w:t>
      </w:r>
      <w:r w:rsidR="00861132">
        <w:rPr>
          <w:rFonts w:ascii="Century Gothic" w:hAnsi="Century Gothic" w:cstheme="minorHAnsi"/>
          <w:sz w:val="24"/>
          <w:szCs w:val="24"/>
        </w:rPr>
        <w:t xml:space="preserve">, </w:t>
      </w:r>
      <w:r>
        <w:rPr>
          <w:rFonts w:ascii="Century Gothic" w:hAnsi="Century Gothic" w:cstheme="minorHAnsi"/>
          <w:sz w:val="24"/>
          <w:szCs w:val="24"/>
        </w:rPr>
        <w:t>e</w:t>
      </w:r>
      <w:r w:rsidR="00317DA5" w:rsidRPr="00CD7505">
        <w:rPr>
          <w:rFonts w:ascii="Century Gothic" w:hAnsi="Century Gothic" w:cstheme="minorHAnsi"/>
          <w:sz w:val="24"/>
          <w:szCs w:val="24"/>
        </w:rPr>
        <w:t xml:space="preserve"> integrante del Grupo Parlamentario de Morena,</w:t>
      </w:r>
      <w:r w:rsidR="002800B0">
        <w:rPr>
          <w:rFonts w:ascii="Century Gothic" w:hAnsi="Century Gothic" w:cstheme="minorHAnsi"/>
          <w:sz w:val="24"/>
          <w:szCs w:val="24"/>
        </w:rPr>
        <w:t xml:space="preserve"> </w:t>
      </w:r>
      <w:r w:rsidR="00861132">
        <w:rPr>
          <w:rFonts w:ascii="Century Gothic" w:hAnsi="Century Gothic" w:cstheme="minorHAnsi"/>
          <w:sz w:val="24"/>
          <w:szCs w:val="24"/>
        </w:rPr>
        <w:t xml:space="preserve">con fundamento en lo dispuesto en los </w:t>
      </w:r>
      <w:r w:rsidR="00317DA5" w:rsidRPr="00CD7505">
        <w:rPr>
          <w:rFonts w:ascii="Century Gothic" w:hAnsi="Century Gothic" w:cstheme="minorHAnsi"/>
          <w:sz w:val="24"/>
          <w:szCs w:val="24"/>
        </w:rPr>
        <w:t>artículo</w:t>
      </w:r>
      <w:r w:rsidR="00861132">
        <w:rPr>
          <w:rFonts w:ascii="Century Gothic" w:hAnsi="Century Gothic" w:cstheme="minorHAnsi"/>
          <w:sz w:val="24"/>
          <w:szCs w:val="24"/>
        </w:rPr>
        <w:t>s</w:t>
      </w:r>
      <w:r w:rsidR="00317DA5" w:rsidRPr="00CD7505">
        <w:rPr>
          <w:rFonts w:ascii="Century Gothic" w:hAnsi="Century Gothic" w:cstheme="minorHAnsi"/>
          <w:sz w:val="24"/>
          <w:szCs w:val="24"/>
        </w:rPr>
        <w:t xml:space="preserve"> 68 fracción </w:t>
      </w:r>
      <w:r w:rsidR="003D0270">
        <w:rPr>
          <w:rFonts w:ascii="Century Gothic" w:hAnsi="Century Gothic" w:cstheme="minorHAnsi"/>
          <w:sz w:val="24"/>
          <w:szCs w:val="24"/>
        </w:rPr>
        <w:t>Primera</w:t>
      </w:r>
      <w:r w:rsidR="002E03E7">
        <w:rPr>
          <w:rFonts w:ascii="Century Gothic" w:hAnsi="Century Gothic" w:cstheme="minorHAnsi"/>
          <w:sz w:val="24"/>
          <w:szCs w:val="24"/>
        </w:rPr>
        <w:t>,</w:t>
      </w:r>
      <w:r w:rsidR="00317DA5" w:rsidRPr="00CD7505">
        <w:rPr>
          <w:rFonts w:ascii="Century Gothic" w:hAnsi="Century Gothic" w:cstheme="minorHAnsi"/>
          <w:sz w:val="24"/>
          <w:szCs w:val="24"/>
        </w:rPr>
        <w:t xml:space="preserve"> de la Constitución Política del Estado de Chihuahua</w:t>
      </w:r>
      <w:r w:rsidR="00861132">
        <w:rPr>
          <w:rFonts w:ascii="Century Gothic" w:hAnsi="Century Gothic" w:cstheme="minorHAnsi"/>
          <w:sz w:val="24"/>
          <w:szCs w:val="24"/>
        </w:rPr>
        <w:t>;</w:t>
      </w:r>
      <w:r w:rsidR="00317DA5" w:rsidRPr="00CD7505">
        <w:rPr>
          <w:rFonts w:ascii="Century Gothic" w:hAnsi="Century Gothic" w:cstheme="minorHAnsi"/>
          <w:sz w:val="24"/>
          <w:szCs w:val="24"/>
        </w:rPr>
        <w:t xml:space="preserve"> 167 fracción </w:t>
      </w:r>
      <w:r w:rsidR="00861132">
        <w:rPr>
          <w:rFonts w:ascii="Century Gothic" w:hAnsi="Century Gothic" w:cstheme="minorHAnsi"/>
          <w:sz w:val="24"/>
          <w:szCs w:val="24"/>
        </w:rPr>
        <w:t>Primera</w:t>
      </w:r>
      <w:r w:rsidR="00317DA5" w:rsidRPr="00CD7505">
        <w:rPr>
          <w:rFonts w:ascii="Century Gothic" w:hAnsi="Century Gothic" w:cstheme="minorHAnsi"/>
          <w:sz w:val="24"/>
          <w:szCs w:val="24"/>
        </w:rPr>
        <w:t>, 169 y 174</w:t>
      </w:r>
      <w:r w:rsidR="00861132">
        <w:rPr>
          <w:rFonts w:ascii="Century Gothic" w:hAnsi="Century Gothic" w:cstheme="minorHAnsi"/>
          <w:sz w:val="24"/>
          <w:szCs w:val="24"/>
        </w:rPr>
        <w:t xml:space="preserve">, todos </w:t>
      </w:r>
      <w:r w:rsidR="00317DA5" w:rsidRPr="00CD7505">
        <w:rPr>
          <w:rFonts w:ascii="Century Gothic" w:hAnsi="Century Gothic" w:cstheme="minorHAnsi"/>
          <w:sz w:val="24"/>
          <w:szCs w:val="24"/>
        </w:rPr>
        <w:t>de la Ley Orgánica del Poder Legislativo</w:t>
      </w:r>
      <w:r w:rsidR="00861132">
        <w:rPr>
          <w:rFonts w:ascii="Century Gothic" w:hAnsi="Century Gothic" w:cstheme="minorHAnsi"/>
          <w:sz w:val="24"/>
          <w:szCs w:val="24"/>
        </w:rPr>
        <w:t>;</w:t>
      </w:r>
      <w:r w:rsidR="00317DA5" w:rsidRPr="00CD7505">
        <w:rPr>
          <w:rFonts w:ascii="Century Gothic" w:hAnsi="Century Gothic" w:cstheme="minorHAnsi"/>
          <w:sz w:val="24"/>
          <w:szCs w:val="24"/>
        </w:rPr>
        <w:t xml:space="preserve"> así como los </w:t>
      </w:r>
      <w:r w:rsidR="00861132">
        <w:rPr>
          <w:rFonts w:ascii="Century Gothic" w:hAnsi="Century Gothic" w:cstheme="minorHAnsi"/>
          <w:sz w:val="24"/>
          <w:szCs w:val="24"/>
        </w:rPr>
        <w:t>numerales</w:t>
      </w:r>
      <w:r w:rsidR="00317DA5" w:rsidRPr="00CD7505">
        <w:rPr>
          <w:rFonts w:ascii="Century Gothic" w:hAnsi="Century Gothic" w:cstheme="minorHAnsi"/>
          <w:sz w:val="24"/>
          <w:szCs w:val="24"/>
        </w:rPr>
        <w:t xml:space="preserve"> 75 y 76 del Reglamento Interior de Prácticas Parlamentarias del Poder Legislativo, todos ordenamiento</w:t>
      </w:r>
      <w:r w:rsidR="002800B0">
        <w:rPr>
          <w:rFonts w:ascii="Century Gothic" w:hAnsi="Century Gothic" w:cstheme="minorHAnsi"/>
          <w:sz w:val="24"/>
          <w:szCs w:val="24"/>
        </w:rPr>
        <w:t xml:space="preserve">s del Estado de Chihuahua, </w:t>
      </w:r>
      <w:r w:rsidR="00861132">
        <w:rPr>
          <w:rFonts w:ascii="Century Gothic" w:hAnsi="Century Gothic" w:cstheme="minorHAnsi"/>
          <w:sz w:val="24"/>
          <w:szCs w:val="24"/>
        </w:rPr>
        <w:t>acudo</w:t>
      </w:r>
      <w:r w:rsidR="002E03E7">
        <w:rPr>
          <w:rFonts w:ascii="Century Gothic" w:hAnsi="Century Gothic" w:cstheme="minorHAnsi"/>
          <w:sz w:val="24"/>
          <w:szCs w:val="24"/>
        </w:rPr>
        <w:t xml:space="preserve"> ante</w:t>
      </w:r>
      <w:r w:rsidR="00317DA5" w:rsidRPr="00CD7505">
        <w:rPr>
          <w:rFonts w:ascii="Century Gothic" w:hAnsi="Century Gothic" w:cstheme="minorHAnsi"/>
          <w:sz w:val="24"/>
          <w:szCs w:val="24"/>
        </w:rPr>
        <w:t xml:space="preserve"> esta Honorable Asamblea Legislativa, a fin de presentar </w:t>
      </w:r>
      <w:bookmarkStart w:id="1" w:name="_Hlk40625585"/>
      <w:r w:rsidR="00317DA5" w:rsidRPr="00CD7505">
        <w:rPr>
          <w:rFonts w:ascii="Century Gothic" w:hAnsi="Century Gothic" w:cstheme="minorHAnsi"/>
          <w:b/>
          <w:sz w:val="24"/>
          <w:szCs w:val="24"/>
        </w:rPr>
        <w:t xml:space="preserve">iniciativa con carácter de Punto de </w:t>
      </w:r>
      <w:r w:rsidR="00CF4DCD" w:rsidRPr="00CD7505">
        <w:rPr>
          <w:rFonts w:ascii="Century Gothic" w:hAnsi="Century Gothic" w:cstheme="minorHAnsi"/>
          <w:b/>
          <w:sz w:val="24"/>
          <w:szCs w:val="24"/>
        </w:rPr>
        <w:t>A</w:t>
      </w:r>
      <w:r w:rsidR="00746A8F">
        <w:rPr>
          <w:rFonts w:ascii="Century Gothic" w:hAnsi="Century Gothic" w:cstheme="minorHAnsi"/>
          <w:b/>
          <w:sz w:val="24"/>
          <w:szCs w:val="24"/>
        </w:rPr>
        <w:t>cuerdo</w:t>
      </w:r>
      <w:r w:rsidR="00CF4DCD" w:rsidRPr="00CD7505">
        <w:rPr>
          <w:rFonts w:ascii="Century Gothic" w:hAnsi="Century Gothic" w:cstheme="minorHAnsi"/>
          <w:b/>
          <w:sz w:val="24"/>
          <w:szCs w:val="24"/>
        </w:rPr>
        <w:t xml:space="preserve"> </w:t>
      </w:r>
      <w:r w:rsidR="00317DA5" w:rsidRPr="00CD7505">
        <w:rPr>
          <w:rFonts w:ascii="Century Gothic" w:hAnsi="Century Gothic" w:cstheme="minorHAnsi"/>
          <w:b/>
          <w:sz w:val="24"/>
          <w:szCs w:val="24"/>
        </w:rPr>
        <w:t xml:space="preserve">de Urgente y Obvia Resolución, </w:t>
      </w:r>
      <w:r w:rsidR="00317DA5" w:rsidRPr="00746A8F">
        <w:rPr>
          <w:rFonts w:ascii="Century Gothic" w:hAnsi="Century Gothic" w:cstheme="minorHAnsi"/>
          <w:b/>
          <w:sz w:val="24"/>
          <w:szCs w:val="24"/>
        </w:rPr>
        <w:t>a efecto de exhortar</w:t>
      </w:r>
      <w:bookmarkEnd w:id="1"/>
      <w:r w:rsidR="00746A8F">
        <w:rPr>
          <w:rFonts w:ascii="Century Gothic" w:hAnsi="Century Gothic" w:cstheme="minorHAnsi"/>
          <w:bCs/>
          <w:sz w:val="24"/>
          <w:szCs w:val="24"/>
        </w:rPr>
        <w:t xml:space="preserve"> </w:t>
      </w:r>
      <w:r w:rsidR="00746A8F">
        <w:rPr>
          <w:rFonts w:ascii="Century Gothic" w:hAnsi="Century Gothic" w:cstheme="minorHAnsi"/>
          <w:b/>
          <w:color w:val="000000" w:themeColor="text1"/>
          <w:sz w:val="24"/>
          <w:szCs w:val="24"/>
        </w:rPr>
        <w:t>respetuosamente a la Secretaría de Desarrollo Rural de Gobierno del Estado de Chihuahua, para liberar los recursos convenidos en este año 2020, con los Comités Técnicos de Aguas Subterráneas para las funciones de vigilancia, medición, psiometría y administración; así como, a la Comisión Nacional del Agua a efecto de que considere una partida presupuestal para los COTAS en el ejercicio presupuestal 202</w:t>
      </w:r>
      <w:r w:rsidR="00364D41">
        <w:rPr>
          <w:rFonts w:ascii="Century Gothic" w:hAnsi="Century Gothic" w:cstheme="minorHAnsi"/>
          <w:b/>
          <w:color w:val="000000" w:themeColor="text1"/>
          <w:sz w:val="24"/>
          <w:szCs w:val="24"/>
        </w:rPr>
        <w:t>1</w:t>
      </w:r>
      <w:r w:rsidR="00383EBC" w:rsidRPr="00CD7505">
        <w:rPr>
          <w:rFonts w:ascii="Century Gothic" w:hAnsi="Century Gothic" w:cstheme="minorHAnsi"/>
          <w:b/>
          <w:sz w:val="24"/>
          <w:szCs w:val="24"/>
        </w:rPr>
        <w:t xml:space="preserve">, </w:t>
      </w:r>
      <w:r w:rsidR="00383EBC" w:rsidRPr="00182B49">
        <w:rPr>
          <w:rFonts w:ascii="Century Gothic" w:hAnsi="Century Gothic" w:cstheme="minorHAnsi"/>
          <w:b/>
          <w:sz w:val="24"/>
          <w:szCs w:val="24"/>
        </w:rPr>
        <w:t>l</w:t>
      </w:r>
      <w:r w:rsidR="00383EBC" w:rsidRPr="00746A8F">
        <w:rPr>
          <w:rFonts w:ascii="Century Gothic" w:hAnsi="Century Gothic" w:cstheme="minorHAnsi"/>
          <w:b/>
          <w:sz w:val="24"/>
          <w:szCs w:val="24"/>
        </w:rPr>
        <w:t xml:space="preserve">o anterior </w:t>
      </w:r>
      <w:r w:rsidR="00E2101A" w:rsidRPr="00746A8F">
        <w:rPr>
          <w:rFonts w:ascii="Century Gothic" w:hAnsi="Century Gothic" w:cstheme="minorHAnsi"/>
          <w:b/>
          <w:sz w:val="24"/>
          <w:szCs w:val="24"/>
        </w:rPr>
        <w:t xml:space="preserve">con sustento en </w:t>
      </w:r>
      <w:r w:rsidR="00383EBC" w:rsidRPr="00746A8F">
        <w:rPr>
          <w:rFonts w:ascii="Century Gothic" w:hAnsi="Century Gothic" w:cstheme="minorHAnsi"/>
          <w:b/>
          <w:sz w:val="24"/>
          <w:szCs w:val="24"/>
        </w:rPr>
        <w:t>la siguiente:</w:t>
      </w:r>
    </w:p>
    <w:p w14:paraId="5C46E7D6" w14:textId="499EF72E" w:rsidR="00383EBC" w:rsidRPr="00CD7505" w:rsidRDefault="00383EBC" w:rsidP="005442F2">
      <w:pPr>
        <w:jc w:val="both"/>
        <w:rPr>
          <w:rFonts w:ascii="Century Gothic" w:hAnsi="Century Gothic" w:cs="Arial"/>
          <w:sz w:val="24"/>
          <w:szCs w:val="24"/>
          <w:lang w:val="es-ES_tradnl"/>
        </w:rPr>
      </w:pPr>
    </w:p>
    <w:p w14:paraId="0F19C900" w14:textId="77777777" w:rsidR="005442F2" w:rsidRPr="00CD7505" w:rsidRDefault="005442F2" w:rsidP="005442F2">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308F885A" w14:textId="77777777" w:rsidR="00456054" w:rsidRPr="00CD7505" w:rsidRDefault="00456054" w:rsidP="00364D41">
      <w:pPr>
        <w:rPr>
          <w:rFonts w:ascii="Century Gothic" w:hAnsi="Century Gothic" w:cs="Arial"/>
          <w:b/>
          <w:sz w:val="24"/>
          <w:szCs w:val="24"/>
          <w:lang w:val="es-ES_tradnl"/>
        </w:rPr>
      </w:pPr>
    </w:p>
    <w:p w14:paraId="1BBEA068" w14:textId="656FE441"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Siguiendo con la misma tesitura, el tema del agua es prioridad en la agenda legislativa de las diputadas y los diputados de la Fracción Parlamentaria de Morena; es por ello que, atendemos el sentir de los integrantes de los </w:t>
      </w:r>
      <w:r w:rsidRPr="00364D41">
        <w:rPr>
          <w:rFonts w:ascii="Century Gothic" w:hAnsi="Century Gothic" w:cstheme="minorHAnsi"/>
          <w:b/>
          <w:bCs/>
          <w:color w:val="000000" w:themeColor="text1"/>
          <w:sz w:val="24"/>
          <w:szCs w:val="24"/>
        </w:rPr>
        <w:t>Comités Técnicos de Aguas Subterráneas (COTAS)</w:t>
      </w:r>
      <w:r>
        <w:rPr>
          <w:rFonts w:ascii="Century Gothic" w:hAnsi="Century Gothic" w:cstheme="minorHAnsi"/>
          <w:color w:val="000000" w:themeColor="text1"/>
          <w:sz w:val="24"/>
          <w:szCs w:val="24"/>
        </w:rPr>
        <w:t xml:space="preserve"> en el Estado. </w:t>
      </w:r>
    </w:p>
    <w:p w14:paraId="7B1C7039" w14:textId="77777777" w:rsidR="00746A8F" w:rsidRDefault="00746A8F" w:rsidP="00746A8F">
      <w:pPr>
        <w:shd w:val="clear" w:color="auto" w:fill="FFFFFF"/>
        <w:jc w:val="both"/>
        <w:rPr>
          <w:rFonts w:ascii="Century Gothic" w:hAnsi="Century Gothic" w:cstheme="minorHAnsi"/>
          <w:color w:val="000000" w:themeColor="text1"/>
          <w:sz w:val="24"/>
          <w:szCs w:val="24"/>
        </w:rPr>
      </w:pPr>
    </w:p>
    <w:p w14:paraId="0D0A2EA0" w14:textId="2B91744B"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El agua es un bien de dominio público federal, vital, vulnerable y finito, con valor social, económico y ambiental, cuya preservación en cantidad y calidad y sustentabilidad es tarea fundamental del Estado y la sociedad.</w:t>
      </w:r>
    </w:p>
    <w:p w14:paraId="5AAB6399" w14:textId="77777777" w:rsidR="00746A8F" w:rsidRDefault="00746A8F" w:rsidP="00746A8F">
      <w:pPr>
        <w:pStyle w:val="Cuerpo"/>
        <w:spacing w:line="240" w:lineRule="auto"/>
        <w:jc w:val="both"/>
        <w:rPr>
          <w:rFonts w:ascii="Century Gothic" w:hAnsi="Century Gothic" w:cstheme="minorHAnsi"/>
        </w:rPr>
      </w:pPr>
    </w:p>
    <w:p w14:paraId="7C18DC9D" w14:textId="77777777"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El Gobierno Federal y Estatal deben velar por la atención de las necesidades de agua provenientes de la sociedad para su bienestar, de la economía para su desarrollo y del ambiente para su equilibrio y conservación; particularmente, la atención especial de dichas necesidades para la población marginada y menos favorecida económicamente.</w:t>
      </w:r>
    </w:p>
    <w:p w14:paraId="51447DAF" w14:textId="27FBE4B8"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 xml:space="preserve">Con fundamento en lo dispuesto en el artículo 5 de la Ley de Aguas Nacionales, a fin de dar cumplimiento y aplicación de esta Ley, el Ejecutivo </w:t>
      </w:r>
      <w:r>
        <w:rPr>
          <w:rFonts w:ascii="Century Gothic" w:hAnsi="Century Gothic" w:cstheme="minorHAnsi"/>
        </w:rPr>
        <w:lastRenderedPageBreak/>
        <w:t xml:space="preserve">Federal, a través de la Comisión Nacional del Agua (CONAGUA) promoverá la coordinación de acciones con los gobiernos de los estados y de los municipios, sin afectar sus facultades en la materia y en el ámbito de sus correspondientes atribuciones. </w:t>
      </w:r>
    </w:p>
    <w:p w14:paraId="4B96754B" w14:textId="77777777" w:rsidR="00746A8F" w:rsidRDefault="00746A8F" w:rsidP="00746A8F">
      <w:pPr>
        <w:pStyle w:val="Cuerpo"/>
        <w:spacing w:line="240" w:lineRule="auto"/>
        <w:jc w:val="both"/>
        <w:rPr>
          <w:rFonts w:ascii="Century Gothic" w:hAnsi="Century Gothic" w:cstheme="minorHAnsi"/>
        </w:rPr>
      </w:pPr>
    </w:p>
    <w:p w14:paraId="661EAC77" w14:textId="77777777" w:rsidR="00746A8F" w:rsidRDefault="00746A8F" w:rsidP="00746A8F">
      <w:pPr>
        <w:pStyle w:val="Cuerpo"/>
        <w:spacing w:line="240" w:lineRule="auto"/>
        <w:jc w:val="both"/>
        <w:rPr>
          <w:rFonts w:ascii="Century Gothic" w:hAnsi="Century Gothic" w:cstheme="minorHAnsi"/>
        </w:rPr>
      </w:pPr>
      <w:r>
        <w:rPr>
          <w:rFonts w:ascii="Century Gothic" w:hAnsi="Century Gothic" w:cstheme="minorHAnsi"/>
        </w:rPr>
        <w:t xml:space="preserve">Así mismo fomentará la participación de los usuarios del agua a través de los </w:t>
      </w:r>
      <w:r>
        <w:rPr>
          <w:rFonts w:ascii="Century Gothic" w:hAnsi="Century Gothic" w:cstheme="minorHAnsi"/>
          <w:b/>
        </w:rPr>
        <w:t xml:space="preserve">Comités Técnicos de Aguas Subterráneas (COTAS); </w:t>
      </w:r>
      <w:r w:rsidRPr="00746A8F">
        <w:rPr>
          <w:rFonts w:ascii="Century Gothic" w:hAnsi="Century Gothic" w:cstheme="minorHAnsi"/>
          <w:bCs/>
        </w:rPr>
        <w:t>mismos que se</w:t>
      </w:r>
      <w:r>
        <w:rPr>
          <w:rFonts w:ascii="Century Gothic" w:hAnsi="Century Gothic" w:cstheme="minorHAnsi"/>
        </w:rPr>
        <w:t xml:space="preserve"> encuentran fundamentados en la Ley de Aguas Nacionales.</w:t>
      </w:r>
      <w:r>
        <w:rPr>
          <w:rFonts w:ascii="Century Gothic" w:eastAsiaTheme="minorHAnsi" w:hAnsi="Century Gothic" w:cstheme="minorHAnsi"/>
          <w:color w:val="000000" w:themeColor="text1"/>
          <w:vertAlign w:val="superscript"/>
        </w:rPr>
        <w:t xml:space="preserve"> </w:t>
      </w:r>
      <w:r>
        <w:rPr>
          <w:rFonts w:ascii="Century Gothic" w:eastAsiaTheme="minorHAnsi" w:hAnsi="Century Gothic" w:cstheme="minorHAnsi"/>
          <w:color w:val="000000" w:themeColor="text1"/>
          <w:vertAlign w:val="superscript"/>
        </w:rPr>
        <w:footnoteReference w:id="1"/>
      </w:r>
    </w:p>
    <w:p w14:paraId="41CB327D" w14:textId="77777777" w:rsidR="00746A8F" w:rsidRDefault="00746A8F" w:rsidP="00746A8F">
      <w:pPr>
        <w:pStyle w:val="Cuerpo"/>
        <w:spacing w:line="240" w:lineRule="auto"/>
        <w:jc w:val="both"/>
        <w:rPr>
          <w:rFonts w:ascii="Century Gothic" w:eastAsia="MS Mincho" w:hAnsi="Century Gothic" w:cstheme="minorHAnsi"/>
          <w:color w:val="000000" w:themeColor="text1"/>
          <w:bdr w:val="none" w:sz="0" w:space="0" w:color="auto" w:frame="1"/>
          <w:lang w:val="es-MX" w:eastAsia="es-ES"/>
          <w14:textOutline w14:w="0" w14:cap="rnd" w14:cmpd="sng" w14:algn="ctr">
            <w14:noFill/>
            <w14:prstDash w14:val="solid"/>
            <w14:bevel/>
          </w14:textOutline>
        </w:rPr>
      </w:pPr>
    </w:p>
    <w:p w14:paraId="2B5CB669" w14:textId="70CA4D50" w:rsidR="00746A8F" w:rsidRDefault="00746A8F" w:rsidP="00746A8F">
      <w:pPr>
        <w:pStyle w:val="Cuerpo"/>
        <w:spacing w:line="240" w:lineRule="auto"/>
        <w:jc w:val="both"/>
        <w:rPr>
          <w:rFonts w:ascii="Century Gothic" w:eastAsia="MS Mincho" w:hAnsi="Century Gothic" w:cstheme="minorHAnsi"/>
          <w:color w:val="000000" w:themeColor="text1"/>
          <w:bdr w:val="none" w:sz="0" w:space="0" w:color="auto" w:frame="1"/>
          <w:lang w:val="es-MX" w:eastAsia="es-ES"/>
          <w14:textOutline w14:w="0" w14:cap="rnd" w14:cmpd="sng" w14:algn="ctr">
            <w14:noFill/>
            <w14:prstDash w14:val="solid"/>
            <w14:bevel/>
          </w14:textOutline>
        </w:rPr>
      </w:pPr>
      <w:r>
        <w:rPr>
          <w:rFonts w:ascii="Century Gothic" w:eastAsia="MS Mincho" w:hAnsi="Century Gothic" w:cstheme="minorHAnsi"/>
          <w:color w:val="000000" w:themeColor="text1"/>
          <w:bdr w:val="none" w:sz="0" w:space="0" w:color="auto" w:frame="1"/>
          <w:lang w:val="es-MX" w:eastAsia="es-ES"/>
          <w14:textOutline w14:w="0" w14:cap="rnd" w14:cmpd="sng" w14:algn="ctr">
            <w14:noFill/>
            <w14:prstDash w14:val="solid"/>
            <w14:bevel/>
          </w14:textOutline>
        </w:rPr>
        <w:t>Siendo el medio de participación de los usuarios en el aprovechamiento, reglamentación y uso eficiente de las aguas subterráneas concesionadas. Teniendo perfil de órgano colegiado de integración mixta, no subordinado a la Comisión Nacional del Agua (CONAGUA).</w:t>
      </w:r>
    </w:p>
    <w:p w14:paraId="1ECE9B2F" w14:textId="77777777" w:rsidR="00746A8F" w:rsidRDefault="00746A8F" w:rsidP="00746A8F">
      <w:pPr>
        <w:pStyle w:val="Texto"/>
        <w:spacing w:after="0" w:line="240" w:lineRule="auto"/>
        <w:ind w:firstLine="0"/>
        <w:rPr>
          <w:rFonts w:ascii="Century Gothic" w:eastAsia="MS Mincho" w:hAnsi="Century Gothic" w:cstheme="minorHAnsi"/>
          <w:color w:val="000000" w:themeColor="text1"/>
          <w:sz w:val="24"/>
          <w:szCs w:val="24"/>
          <w:lang w:val="es-MX"/>
        </w:rPr>
      </w:pPr>
    </w:p>
    <w:p w14:paraId="77242706" w14:textId="273334B3" w:rsidR="00746A8F" w:rsidRDefault="00746A8F" w:rsidP="00746A8F">
      <w:pPr>
        <w:pStyle w:val="Texto"/>
        <w:spacing w:after="0" w:line="240" w:lineRule="auto"/>
        <w:ind w:firstLine="0"/>
        <w:rPr>
          <w:rFonts w:ascii="Century Gothic" w:eastAsia="MS Mincho" w:hAnsi="Century Gothic" w:cstheme="minorHAnsi"/>
          <w:color w:val="000000" w:themeColor="text1"/>
          <w:sz w:val="24"/>
          <w:szCs w:val="24"/>
          <w:lang w:val="es-MX"/>
        </w:rPr>
      </w:pPr>
      <w:r>
        <w:rPr>
          <w:rFonts w:ascii="Century Gothic" w:eastAsia="MS Mincho" w:hAnsi="Century Gothic" w:cstheme="minorHAnsi"/>
          <w:color w:val="000000" w:themeColor="text1"/>
          <w:sz w:val="24"/>
          <w:szCs w:val="24"/>
          <w:lang w:val="es-MX"/>
        </w:rPr>
        <w:t xml:space="preserve">El objetivo de la instalación de los </w:t>
      </w:r>
      <w:r w:rsidRPr="00AA0FF0">
        <w:rPr>
          <w:rFonts w:ascii="Century Gothic" w:eastAsia="MS Mincho" w:hAnsi="Century Gothic" w:cstheme="minorHAnsi"/>
          <w:b/>
          <w:bCs/>
          <w:color w:val="000000" w:themeColor="text1"/>
          <w:sz w:val="24"/>
          <w:szCs w:val="24"/>
          <w:lang w:val="es-MX"/>
        </w:rPr>
        <w:t>Comités Técnicos de Aguas Subterráneas (COTAS)</w:t>
      </w:r>
      <w:r w:rsidR="00AA0FF0" w:rsidRPr="00AA0FF0">
        <w:rPr>
          <w:rFonts w:ascii="Century Gothic" w:eastAsia="MS Mincho" w:hAnsi="Century Gothic" w:cstheme="minorHAnsi"/>
          <w:b/>
          <w:bCs/>
          <w:color w:val="000000" w:themeColor="text1"/>
          <w:sz w:val="24"/>
          <w:szCs w:val="24"/>
          <w:lang w:val="es-MX"/>
        </w:rPr>
        <w:t>,</w:t>
      </w:r>
      <w:r>
        <w:rPr>
          <w:rFonts w:ascii="Century Gothic" w:eastAsia="MS Mincho" w:hAnsi="Century Gothic" w:cstheme="minorHAnsi"/>
          <w:color w:val="000000" w:themeColor="text1"/>
          <w:sz w:val="24"/>
          <w:szCs w:val="24"/>
          <w:lang w:val="es-MX"/>
        </w:rPr>
        <w:t xml:space="preserve"> es convertirse en una organización de usuarios autorregulada en el aprovechamiento de las aguas subterráneas con fines concretos de lograr un uso sustentable del recurso y sean duraderas en el tiempo. La base fundamental para poder aplicar un sistema de gestión de aguas subterráneas en todos los aspectos radica principalmente en la necesidad de potenciar los recursos humanos responsables de esa gestión, tanto como usuarios del agua, como al personal técnico y de toma de decisiones. </w:t>
      </w:r>
    </w:p>
    <w:p w14:paraId="40F9FFED" w14:textId="77777777" w:rsidR="00746A8F" w:rsidRDefault="00746A8F" w:rsidP="00746A8F">
      <w:pPr>
        <w:pStyle w:val="Texto"/>
        <w:spacing w:after="0" w:line="240" w:lineRule="auto"/>
        <w:ind w:firstLine="0"/>
        <w:rPr>
          <w:rFonts w:ascii="Century Gothic" w:eastAsia="MS Mincho" w:hAnsi="Century Gothic" w:cstheme="minorHAnsi"/>
          <w:color w:val="000000" w:themeColor="text1"/>
          <w:sz w:val="24"/>
          <w:szCs w:val="24"/>
          <w:lang w:val="es-MX"/>
        </w:rPr>
      </w:pPr>
    </w:p>
    <w:p w14:paraId="51DBEC8E" w14:textId="7224028D"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En este sentido, los </w:t>
      </w:r>
      <w:r w:rsidR="00AA0FF0" w:rsidRPr="00AA0FF0">
        <w:rPr>
          <w:rFonts w:ascii="Century Gothic" w:hAnsi="Century Gothic" w:cstheme="minorHAnsi"/>
          <w:b/>
          <w:bCs/>
          <w:color w:val="000000" w:themeColor="text1"/>
          <w:sz w:val="24"/>
          <w:szCs w:val="24"/>
        </w:rPr>
        <w:t>Comités Técnicos de Aguas Subterráneas (COTAS),</w:t>
      </w:r>
      <w:r>
        <w:rPr>
          <w:rFonts w:ascii="Century Gothic" w:hAnsi="Century Gothic" w:cstheme="minorHAnsi"/>
          <w:color w:val="000000" w:themeColor="text1"/>
          <w:sz w:val="24"/>
          <w:szCs w:val="24"/>
        </w:rPr>
        <w:t xml:space="preserve"> son organizaciones auxiliares de los consejos de cuenca, formados esencialmente por los usuarios de las aguas subterráneas, por los representantes de la sociedad organizada y por los representantes gubernamentales, que tienen un papel de asistencia técnica y de consejo a nivel de acuífero; quienes pueden coadyuvar y proponer la planeación hidráulica local y estatal, implementar la vigilancia del cumplimiento de reglamentos, promover el uso eficiente del agua, revertir los problemas de contaminación y difundir la cultura del agua, entre otros. </w:t>
      </w:r>
    </w:p>
    <w:p w14:paraId="7D0EEC08" w14:textId="77777777" w:rsidR="00746A8F" w:rsidRDefault="00746A8F" w:rsidP="00746A8F">
      <w:pPr>
        <w:jc w:val="both"/>
        <w:rPr>
          <w:rFonts w:ascii="Century Gothic" w:hAnsi="Century Gothic" w:cstheme="minorHAnsi"/>
          <w:color w:val="000000" w:themeColor="text1"/>
          <w:sz w:val="24"/>
          <w:szCs w:val="24"/>
        </w:rPr>
      </w:pPr>
    </w:p>
    <w:p w14:paraId="4081F70D" w14:textId="0319143D"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Adicionalmente, es preciso comentar que en el Plan Estatal Hídrico 2040, el </w:t>
      </w:r>
      <w:r w:rsidR="00AA0FF0">
        <w:rPr>
          <w:rFonts w:ascii="Century Gothic" w:hAnsi="Century Gothic" w:cstheme="minorHAnsi"/>
          <w:color w:val="000000" w:themeColor="text1"/>
          <w:sz w:val="24"/>
          <w:szCs w:val="24"/>
        </w:rPr>
        <w:t>E</w:t>
      </w:r>
      <w:r>
        <w:rPr>
          <w:rFonts w:ascii="Century Gothic" w:hAnsi="Century Gothic" w:cstheme="minorHAnsi"/>
          <w:color w:val="000000" w:themeColor="text1"/>
          <w:sz w:val="24"/>
          <w:szCs w:val="24"/>
        </w:rPr>
        <w:t xml:space="preserve">jecutivo </w:t>
      </w:r>
      <w:r w:rsidR="00AA0FF0">
        <w:rPr>
          <w:rFonts w:ascii="Century Gothic" w:hAnsi="Century Gothic" w:cstheme="minorHAnsi"/>
          <w:color w:val="000000" w:themeColor="text1"/>
          <w:sz w:val="24"/>
          <w:szCs w:val="24"/>
        </w:rPr>
        <w:t>E</w:t>
      </w:r>
      <w:r>
        <w:rPr>
          <w:rFonts w:ascii="Century Gothic" w:hAnsi="Century Gothic" w:cstheme="minorHAnsi"/>
          <w:color w:val="000000" w:themeColor="text1"/>
          <w:sz w:val="24"/>
          <w:szCs w:val="24"/>
        </w:rPr>
        <w:t>statal refiere que es prioridad para el Estado fortalecer a los COTAS.</w:t>
      </w:r>
      <w:r>
        <w:rPr>
          <w:rFonts w:ascii="Century Gothic" w:eastAsiaTheme="minorHAnsi" w:hAnsi="Century Gothic" w:cstheme="minorHAnsi"/>
          <w:color w:val="000000" w:themeColor="text1"/>
          <w:sz w:val="24"/>
          <w:szCs w:val="24"/>
          <w:vertAlign w:val="superscript"/>
        </w:rPr>
        <w:footnoteReference w:id="2"/>
      </w:r>
    </w:p>
    <w:p w14:paraId="046FAE25" w14:textId="7DBF548D" w:rsidR="00746A8F" w:rsidRDefault="00746A8F" w:rsidP="00746A8F">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 xml:space="preserve">En este sentido, será importante que las instancias gubernamentales competentes en la materia, a través de la Secretaría de Desarrollo Rural y la </w:t>
      </w:r>
      <w:r>
        <w:rPr>
          <w:rFonts w:ascii="Century Gothic" w:hAnsi="Century Gothic" w:cstheme="minorHAnsi"/>
          <w:color w:val="000000" w:themeColor="text1"/>
          <w:sz w:val="24"/>
          <w:szCs w:val="24"/>
        </w:rPr>
        <w:lastRenderedPageBreak/>
        <w:t xml:space="preserve">Comisión Nacional del Agua consideren las aportaciones económicas necesarias a fin de que los recursos que se asignen contribuyan a que dichos Comités cumplan con el objetivo por el cual se han </w:t>
      </w:r>
      <w:r w:rsidR="00AA0FF0">
        <w:rPr>
          <w:rFonts w:ascii="Century Gothic" w:hAnsi="Century Gothic" w:cstheme="minorHAnsi"/>
          <w:color w:val="000000" w:themeColor="text1"/>
          <w:sz w:val="24"/>
          <w:szCs w:val="24"/>
        </w:rPr>
        <w:t xml:space="preserve">sido </w:t>
      </w:r>
      <w:r>
        <w:rPr>
          <w:rFonts w:ascii="Century Gothic" w:hAnsi="Century Gothic" w:cstheme="minorHAnsi"/>
          <w:color w:val="000000" w:themeColor="text1"/>
          <w:sz w:val="24"/>
          <w:szCs w:val="24"/>
        </w:rPr>
        <w:t>conformado.</w:t>
      </w:r>
    </w:p>
    <w:p w14:paraId="2FF6F1CE" w14:textId="77777777" w:rsidR="00746A8F" w:rsidRDefault="00746A8F" w:rsidP="00317DA5">
      <w:pPr>
        <w:jc w:val="both"/>
        <w:rPr>
          <w:rFonts w:ascii="Century Gothic" w:hAnsi="Century Gothic" w:cstheme="minorHAnsi"/>
          <w:sz w:val="24"/>
          <w:szCs w:val="24"/>
        </w:rPr>
      </w:pPr>
    </w:p>
    <w:p w14:paraId="4497C92A" w14:textId="77777777" w:rsidR="00AA0FF0" w:rsidRDefault="00AA0FF0" w:rsidP="00AA0FF0">
      <w:pPr>
        <w:jc w:val="both"/>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t>Por lo anteriormente expuesto y con fundamento en lo dispuesto en los artículos invocados en el proemio, sometemos a su consideración el siguiente punto de acuerdo de Urgente y obvia resolución con carácter de:</w:t>
      </w:r>
    </w:p>
    <w:p w14:paraId="7F8CF601" w14:textId="77777777" w:rsidR="004C56DE" w:rsidRPr="00CD7505" w:rsidRDefault="004C56DE" w:rsidP="00C251A4">
      <w:pPr>
        <w:jc w:val="both"/>
        <w:rPr>
          <w:rFonts w:ascii="Century Gothic" w:hAnsi="Century Gothic" w:cs="Arial"/>
          <w:sz w:val="24"/>
          <w:szCs w:val="24"/>
          <w:lang w:val="es-ES_tradnl"/>
        </w:rPr>
      </w:pPr>
    </w:p>
    <w:p w14:paraId="565F1C83" w14:textId="46F13291" w:rsidR="001A343E" w:rsidRPr="00CD7505" w:rsidRDefault="00317DA5" w:rsidP="001A343E">
      <w:pPr>
        <w:spacing w:line="276" w:lineRule="auto"/>
        <w:jc w:val="center"/>
        <w:rPr>
          <w:rFonts w:ascii="Century Gothic" w:hAnsi="Century Gothic" w:cs="Arial"/>
          <w:b/>
          <w:sz w:val="28"/>
          <w:szCs w:val="28"/>
          <w:shd w:val="clear" w:color="auto" w:fill="FFFFFF"/>
        </w:rPr>
      </w:pPr>
      <w:r w:rsidRPr="00CD7505">
        <w:rPr>
          <w:rFonts w:ascii="Century Gothic" w:hAnsi="Century Gothic" w:cs="Arial"/>
          <w:b/>
          <w:sz w:val="28"/>
          <w:szCs w:val="28"/>
          <w:shd w:val="clear" w:color="auto" w:fill="FFFFFF"/>
        </w:rPr>
        <w:t>A C U E R D O</w:t>
      </w:r>
      <w:r w:rsidR="005442F2" w:rsidRPr="00CD7505">
        <w:rPr>
          <w:rFonts w:ascii="Century Gothic" w:hAnsi="Century Gothic" w:cs="Arial"/>
          <w:b/>
          <w:sz w:val="28"/>
          <w:szCs w:val="28"/>
          <w:shd w:val="clear" w:color="auto" w:fill="FFFFFF"/>
        </w:rPr>
        <w:t>:</w:t>
      </w:r>
    </w:p>
    <w:p w14:paraId="6BB12B05" w14:textId="77777777" w:rsidR="00317DA5" w:rsidRPr="00CD7505" w:rsidRDefault="00317DA5" w:rsidP="0064202A">
      <w:pPr>
        <w:spacing w:line="276" w:lineRule="auto"/>
        <w:rPr>
          <w:rFonts w:ascii="Century Gothic" w:hAnsi="Century Gothic" w:cs="Arial"/>
          <w:b/>
          <w:sz w:val="24"/>
          <w:szCs w:val="24"/>
          <w:shd w:val="clear" w:color="auto" w:fill="FFFFFF"/>
        </w:rPr>
      </w:pPr>
    </w:p>
    <w:p w14:paraId="48E6A29D" w14:textId="38586EF7" w:rsidR="00746A8F" w:rsidRDefault="00746A8F" w:rsidP="00746A8F">
      <w:pPr>
        <w:jc w:val="both"/>
        <w:rPr>
          <w:rFonts w:ascii="Century Gothic" w:hAnsi="Century Gothic" w:cs="Arial"/>
          <w:color w:val="000000" w:themeColor="text1"/>
          <w:sz w:val="24"/>
          <w:szCs w:val="24"/>
          <w:lang w:val="es-ES_tradnl"/>
        </w:rPr>
      </w:pPr>
      <w:r>
        <w:rPr>
          <w:rFonts w:ascii="Century Gothic" w:hAnsi="Century Gothic" w:cs="Arial"/>
          <w:b/>
          <w:sz w:val="28"/>
          <w:szCs w:val="28"/>
          <w:shd w:val="clear" w:color="auto" w:fill="FFFFFF"/>
        </w:rPr>
        <w:t>PRIMERO</w:t>
      </w:r>
      <w:r w:rsidR="00D93609">
        <w:rPr>
          <w:rFonts w:ascii="Century Gothic" w:hAnsi="Century Gothic" w:cs="Arial"/>
          <w:b/>
          <w:sz w:val="28"/>
          <w:szCs w:val="28"/>
          <w:shd w:val="clear" w:color="auto" w:fill="FFFFFF"/>
        </w:rPr>
        <w:t>.-</w:t>
      </w:r>
      <w:r w:rsidR="00317DA5" w:rsidRPr="00CD7505">
        <w:rPr>
          <w:rFonts w:ascii="Century Gothic" w:hAnsi="Century Gothic" w:cstheme="minorHAnsi"/>
          <w:sz w:val="24"/>
          <w:szCs w:val="24"/>
        </w:rPr>
        <w:t xml:space="preserve"> La Sexagésima Sexta Legislatura del H</w:t>
      </w:r>
      <w:r w:rsidR="00364D41">
        <w:rPr>
          <w:rFonts w:ascii="Century Gothic" w:hAnsi="Century Gothic" w:cstheme="minorHAnsi"/>
          <w:sz w:val="24"/>
          <w:szCs w:val="24"/>
        </w:rPr>
        <w:t>onorable</w:t>
      </w:r>
      <w:r w:rsidR="00317DA5" w:rsidRPr="00CD7505">
        <w:rPr>
          <w:rFonts w:ascii="Century Gothic" w:hAnsi="Century Gothic" w:cstheme="minorHAnsi"/>
          <w:sz w:val="24"/>
          <w:szCs w:val="24"/>
        </w:rPr>
        <w:t xml:space="preserve"> Congreso del Estado de Chihuahua, exhorta </w:t>
      </w:r>
      <w:r w:rsidR="00364D41">
        <w:rPr>
          <w:rFonts w:ascii="Century Gothic" w:hAnsi="Century Gothic" w:cstheme="minorHAnsi"/>
          <w:color w:val="000000" w:themeColor="text1"/>
          <w:sz w:val="24"/>
          <w:szCs w:val="24"/>
        </w:rPr>
        <w:t>de manera atenta,</w:t>
      </w:r>
      <w:r>
        <w:rPr>
          <w:rFonts w:ascii="Century Gothic" w:hAnsi="Century Gothic" w:cstheme="minorHAnsi"/>
          <w:color w:val="000000" w:themeColor="text1"/>
          <w:sz w:val="24"/>
          <w:szCs w:val="24"/>
        </w:rPr>
        <w:t xml:space="preserve"> a la Secretaría de Desarrollo Rural de Gobierno del Estado de Chihuahua</w:t>
      </w:r>
      <w:r w:rsidR="00AA0FF0">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a efecto de liberar los recursos económicos convenidos en este año 2020</w:t>
      </w:r>
      <w:r w:rsidR="00AA0FF0">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entre dicha Secretaría y los Comités Técnicos de Aguas Subterráneas</w:t>
      </w:r>
      <w:r w:rsidR="00AA0FF0">
        <w:rPr>
          <w:rFonts w:ascii="Century Gothic" w:hAnsi="Century Gothic" w:cstheme="minorHAnsi"/>
          <w:color w:val="000000" w:themeColor="text1"/>
          <w:sz w:val="24"/>
          <w:szCs w:val="24"/>
        </w:rPr>
        <w:t xml:space="preserve"> (COTAS),</w:t>
      </w:r>
      <w:r>
        <w:rPr>
          <w:rFonts w:ascii="Century Gothic" w:hAnsi="Century Gothic" w:cstheme="minorHAnsi"/>
          <w:color w:val="000000" w:themeColor="text1"/>
          <w:sz w:val="24"/>
          <w:szCs w:val="24"/>
        </w:rPr>
        <w:t xml:space="preserve"> para las funciones de vigilancia, medición, psiometría y administración.</w:t>
      </w:r>
    </w:p>
    <w:p w14:paraId="78227B75" w14:textId="52F92FB6" w:rsidR="00317DA5" w:rsidRPr="00CD7505" w:rsidRDefault="00317DA5" w:rsidP="00317DA5">
      <w:pPr>
        <w:jc w:val="both"/>
        <w:rPr>
          <w:rFonts w:ascii="Century Gothic" w:hAnsi="Century Gothic" w:cstheme="minorHAnsi"/>
          <w:sz w:val="24"/>
          <w:szCs w:val="24"/>
        </w:rPr>
      </w:pPr>
    </w:p>
    <w:p w14:paraId="5DE73DB3" w14:textId="09C3FE7D" w:rsidR="00317DA5" w:rsidRDefault="00746A8F" w:rsidP="00317DA5">
      <w:pPr>
        <w:jc w:val="both"/>
        <w:rPr>
          <w:rFonts w:ascii="Century Gothic" w:hAnsi="Century Gothic" w:cstheme="minorHAnsi"/>
          <w:sz w:val="24"/>
          <w:szCs w:val="24"/>
        </w:rPr>
      </w:pPr>
      <w:r w:rsidRPr="00746A8F">
        <w:rPr>
          <w:rFonts w:ascii="Century Gothic" w:hAnsi="Century Gothic" w:cs="Arial"/>
          <w:b/>
          <w:sz w:val="28"/>
          <w:szCs w:val="28"/>
          <w:shd w:val="clear" w:color="auto" w:fill="FFFFFF"/>
        </w:rPr>
        <w:t>SEGUNDO.-</w:t>
      </w:r>
      <w:r>
        <w:rPr>
          <w:rFonts w:ascii="Century Gothic" w:hAnsi="Century Gothic" w:cstheme="minorHAnsi"/>
          <w:sz w:val="24"/>
          <w:szCs w:val="24"/>
        </w:rPr>
        <w:t xml:space="preserve"> </w:t>
      </w:r>
      <w:r>
        <w:rPr>
          <w:rFonts w:ascii="Century Gothic" w:hAnsi="Century Gothic" w:cstheme="minorHAnsi"/>
          <w:color w:val="000000" w:themeColor="text1"/>
          <w:sz w:val="24"/>
          <w:szCs w:val="24"/>
        </w:rPr>
        <w:t xml:space="preserve">La Sexagésima Sexta Legislatura del H. Congreso del Estado de Chihuahua, exhorta </w:t>
      </w:r>
      <w:r w:rsidR="00364D41">
        <w:rPr>
          <w:rFonts w:ascii="Century Gothic" w:hAnsi="Century Gothic" w:cstheme="minorHAnsi"/>
          <w:color w:val="000000" w:themeColor="text1"/>
          <w:sz w:val="24"/>
          <w:szCs w:val="24"/>
        </w:rPr>
        <w:t>de manera respetuosa</w:t>
      </w:r>
      <w:r>
        <w:rPr>
          <w:rFonts w:ascii="Century Gothic" w:hAnsi="Century Gothic" w:cstheme="minorHAnsi"/>
          <w:color w:val="000000" w:themeColor="text1"/>
          <w:sz w:val="24"/>
          <w:szCs w:val="24"/>
        </w:rPr>
        <w:t xml:space="preserve"> a la Comisión Nacional del Agua</w:t>
      </w:r>
      <w:r w:rsidR="00364D41">
        <w:rPr>
          <w:rFonts w:ascii="Century Gothic" w:hAnsi="Century Gothic" w:cstheme="minorHAnsi"/>
          <w:color w:val="000000" w:themeColor="text1"/>
          <w:sz w:val="24"/>
          <w:szCs w:val="24"/>
        </w:rPr>
        <w:t>,</w:t>
      </w:r>
      <w:r>
        <w:rPr>
          <w:rFonts w:ascii="Century Gothic" w:hAnsi="Century Gothic" w:cstheme="minorHAnsi"/>
          <w:color w:val="000000" w:themeColor="text1"/>
          <w:sz w:val="24"/>
          <w:szCs w:val="24"/>
        </w:rPr>
        <w:t xml:space="preserve"> a efecto de que considere una partida presupuestal para los </w:t>
      </w:r>
      <w:r w:rsidR="00AA0FF0" w:rsidRPr="00AA0FF0">
        <w:rPr>
          <w:rFonts w:ascii="Century Gothic" w:hAnsi="Century Gothic" w:cstheme="minorHAnsi"/>
          <w:color w:val="000000" w:themeColor="text1"/>
          <w:sz w:val="24"/>
          <w:szCs w:val="24"/>
        </w:rPr>
        <w:t>Comités Técnicos de Aguas Subterráneas (COTAS)</w:t>
      </w:r>
      <w:r w:rsidR="00AA0FF0">
        <w:rPr>
          <w:rFonts w:ascii="Century Gothic" w:hAnsi="Century Gothic" w:cstheme="minorHAnsi"/>
          <w:b/>
          <w:bCs/>
          <w:color w:val="000000" w:themeColor="text1"/>
          <w:sz w:val="24"/>
          <w:szCs w:val="24"/>
        </w:rPr>
        <w:t>,</w:t>
      </w:r>
      <w:r>
        <w:rPr>
          <w:rFonts w:ascii="Century Gothic" w:hAnsi="Century Gothic" w:cstheme="minorHAnsi"/>
          <w:color w:val="000000" w:themeColor="text1"/>
          <w:sz w:val="24"/>
          <w:szCs w:val="24"/>
        </w:rPr>
        <w:t xml:space="preserve"> en el ejercicio presupuestal 2021.</w:t>
      </w:r>
    </w:p>
    <w:p w14:paraId="3D900155" w14:textId="77777777" w:rsidR="00F10E0F" w:rsidRDefault="00F10E0F" w:rsidP="004B1EF6">
      <w:pPr>
        <w:pStyle w:val="Prrafodelista"/>
        <w:spacing w:after="0" w:line="276" w:lineRule="auto"/>
        <w:ind w:left="0"/>
        <w:jc w:val="both"/>
        <w:rPr>
          <w:rFonts w:ascii="Century Gothic" w:hAnsi="Century Gothic" w:cs="Arial"/>
          <w:b/>
          <w:sz w:val="28"/>
          <w:szCs w:val="28"/>
          <w:shd w:val="clear" w:color="auto" w:fill="FFFFFF"/>
        </w:rPr>
      </w:pPr>
    </w:p>
    <w:p w14:paraId="5F8E15A8" w14:textId="49BA3E6A" w:rsidR="001A343E" w:rsidRPr="004B1EF6" w:rsidRDefault="00364D41" w:rsidP="004B1EF6">
      <w:pPr>
        <w:pStyle w:val="Prrafodelista"/>
        <w:spacing w:after="0" w:line="276" w:lineRule="auto"/>
        <w:ind w:left="0"/>
        <w:jc w:val="both"/>
        <w:rPr>
          <w:rFonts w:ascii="Century Gothic" w:hAnsi="Century Gothic" w:cs="Arial"/>
          <w:sz w:val="24"/>
          <w:szCs w:val="24"/>
          <w:shd w:val="clear" w:color="auto" w:fill="FFFFFF"/>
        </w:rPr>
      </w:pPr>
      <w:r>
        <w:rPr>
          <w:rFonts w:ascii="Century Gothic" w:hAnsi="Century Gothic" w:cs="Arial"/>
          <w:b/>
          <w:sz w:val="28"/>
          <w:szCs w:val="28"/>
          <w:shd w:val="clear" w:color="auto" w:fill="FFFFFF"/>
        </w:rPr>
        <w:t>TERCERO</w:t>
      </w:r>
      <w:r w:rsidR="005442F2" w:rsidRPr="004B1EF6">
        <w:rPr>
          <w:rFonts w:ascii="Century Gothic" w:hAnsi="Century Gothic" w:cs="Arial"/>
          <w:b/>
          <w:sz w:val="28"/>
          <w:szCs w:val="28"/>
          <w:shd w:val="clear" w:color="auto" w:fill="FFFFFF"/>
        </w:rPr>
        <w:t>.</w:t>
      </w:r>
      <w:r w:rsidR="00D93609">
        <w:rPr>
          <w:rFonts w:ascii="Century Gothic" w:hAnsi="Century Gothic" w:cs="Arial"/>
          <w:b/>
          <w:sz w:val="28"/>
          <w:szCs w:val="28"/>
          <w:shd w:val="clear" w:color="auto" w:fill="FFFFFF"/>
        </w:rPr>
        <w:t>-</w:t>
      </w:r>
      <w:r w:rsidR="001A343E" w:rsidRPr="004B1EF6">
        <w:rPr>
          <w:rFonts w:ascii="Century Gothic" w:hAnsi="Century Gothic" w:cs="Arial"/>
          <w:sz w:val="24"/>
          <w:szCs w:val="24"/>
          <w:shd w:val="clear" w:color="auto" w:fill="FFFFFF"/>
        </w:rPr>
        <w:t xml:space="preserve"> </w:t>
      </w:r>
      <w:r w:rsidR="00AA0FF0">
        <w:rPr>
          <w:rFonts w:ascii="Century Gothic" w:hAnsi="Century Gothic" w:cs="Arial"/>
          <w:sz w:val="24"/>
          <w:szCs w:val="24"/>
          <w:shd w:val="clear" w:color="auto" w:fill="FFFFFF"/>
        </w:rPr>
        <w:t>Remítase copia del presente Acuerdo, a las autoridades citadas, para su conocimiento y efectos a que haya lugar</w:t>
      </w:r>
      <w:r>
        <w:rPr>
          <w:rFonts w:ascii="Century Gothic" w:hAnsi="Century Gothic" w:cs="Arial"/>
          <w:sz w:val="24"/>
          <w:szCs w:val="24"/>
          <w:shd w:val="clear" w:color="auto" w:fill="FFFFFF"/>
        </w:rPr>
        <w:t>.</w:t>
      </w:r>
    </w:p>
    <w:p w14:paraId="1DCD25E9" w14:textId="77777777" w:rsidR="007F63D5" w:rsidRDefault="007F63D5" w:rsidP="00383EBC">
      <w:pPr>
        <w:pStyle w:val="Prrafodelista"/>
        <w:spacing w:after="0" w:line="276" w:lineRule="auto"/>
        <w:ind w:left="0"/>
        <w:jc w:val="both"/>
        <w:rPr>
          <w:rFonts w:ascii="Century Gothic" w:eastAsia="Arial Unicode MS" w:hAnsi="Century Gothic" w:cs="Arial"/>
          <w:b/>
          <w:sz w:val="28"/>
          <w:szCs w:val="28"/>
        </w:rPr>
      </w:pPr>
    </w:p>
    <w:p w14:paraId="39024D5C" w14:textId="3A8A029C" w:rsidR="001A343E" w:rsidRPr="00CD7505" w:rsidRDefault="001A343E" w:rsidP="00383EBC">
      <w:pPr>
        <w:pStyle w:val="Prrafodelista"/>
        <w:spacing w:after="0" w:line="276" w:lineRule="auto"/>
        <w:ind w:left="0"/>
        <w:jc w:val="both"/>
        <w:rPr>
          <w:rFonts w:ascii="Century Gothic" w:hAnsi="Century Gothic" w:cs="Arial"/>
          <w:sz w:val="24"/>
          <w:szCs w:val="24"/>
          <w:shd w:val="clear" w:color="auto" w:fill="FFFFFF"/>
        </w:rPr>
      </w:pPr>
      <w:r w:rsidRPr="00CD7505">
        <w:rPr>
          <w:rFonts w:ascii="Century Gothic" w:eastAsia="Arial Unicode MS" w:hAnsi="Century Gothic" w:cs="Arial"/>
          <w:b/>
          <w:sz w:val="28"/>
          <w:szCs w:val="28"/>
        </w:rPr>
        <w:t>D A D O</w:t>
      </w:r>
      <w:r w:rsidRPr="00CD7505">
        <w:rPr>
          <w:rFonts w:ascii="Century Gothic" w:eastAsia="Arial Unicode MS" w:hAnsi="Century Gothic" w:cs="Arial"/>
          <w:sz w:val="24"/>
          <w:szCs w:val="24"/>
        </w:rPr>
        <w:t xml:space="preserve"> en el salón de sesiones del Poder Legislat</w:t>
      </w:r>
      <w:r w:rsidR="005442F2" w:rsidRPr="00CD7505">
        <w:rPr>
          <w:rFonts w:ascii="Century Gothic" w:eastAsia="Arial Unicode MS" w:hAnsi="Century Gothic" w:cs="Arial"/>
          <w:sz w:val="24"/>
          <w:szCs w:val="24"/>
        </w:rPr>
        <w:t>ivo</w:t>
      </w:r>
      <w:r w:rsidR="00364D41">
        <w:rPr>
          <w:rFonts w:ascii="Century Gothic" w:eastAsia="Arial Unicode MS" w:hAnsi="Century Gothic" w:cs="Arial"/>
          <w:sz w:val="24"/>
          <w:szCs w:val="24"/>
        </w:rPr>
        <w:t>,</w:t>
      </w:r>
      <w:r w:rsidR="005442F2" w:rsidRPr="00CD7505">
        <w:rPr>
          <w:rFonts w:ascii="Century Gothic" w:eastAsia="Arial Unicode MS" w:hAnsi="Century Gothic" w:cs="Arial"/>
          <w:sz w:val="24"/>
          <w:szCs w:val="24"/>
        </w:rPr>
        <w:t xml:space="preserve"> en la Ciudad de Chihuahua,</w:t>
      </w:r>
      <w:r w:rsidR="00E24A6E" w:rsidRPr="00CD7505">
        <w:rPr>
          <w:rFonts w:ascii="Century Gothic" w:eastAsia="Arial Unicode MS" w:hAnsi="Century Gothic" w:cs="Arial"/>
          <w:sz w:val="24"/>
          <w:szCs w:val="24"/>
        </w:rPr>
        <w:t xml:space="preserve"> Chih.,</w:t>
      </w:r>
      <w:r w:rsidR="005442F2" w:rsidRPr="00CD7505">
        <w:rPr>
          <w:rFonts w:ascii="Century Gothic" w:eastAsia="Arial Unicode MS" w:hAnsi="Century Gothic" w:cs="Arial"/>
          <w:sz w:val="24"/>
          <w:szCs w:val="24"/>
        </w:rPr>
        <w:t xml:space="preserve"> </w:t>
      </w:r>
      <w:r w:rsidRPr="00CD7505">
        <w:rPr>
          <w:rFonts w:ascii="Century Gothic" w:eastAsia="Arial Unicode MS" w:hAnsi="Century Gothic" w:cs="Arial"/>
          <w:sz w:val="24"/>
          <w:szCs w:val="24"/>
        </w:rPr>
        <w:t xml:space="preserve">a los </w:t>
      </w:r>
      <w:r w:rsidR="00746A8F" w:rsidRPr="00746A8F">
        <w:rPr>
          <w:rFonts w:ascii="Century Gothic" w:eastAsia="Arial Unicode MS" w:hAnsi="Century Gothic" w:cs="Arial"/>
          <w:sz w:val="24"/>
          <w:szCs w:val="24"/>
        </w:rPr>
        <w:t>veinte</w:t>
      </w:r>
      <w:r w:rsidR="00E22408" w:rsidRPr="00746A8F">
        <w:rPr>
          <w:rFonts w:ascii="Century Gothic" w:eastAsia="Arial Unicode MS" w:hAnsi="Century Gothic" w:cs="Arial"/>
          <w:sz w:val="24"/>
          <w:szCs w:val="24"/>
        </w:rPr>
        <w:t xml:space="preserve"> </w:t>
      </w:r>
      <w:r w:rsidR="00E22408" w:rsidRPr="00CD7505">
        <w:rPr>
          <w:rFonts w:ascii="Century Gothic" w:eastAsia="Arial Unicode MS" w:hAnsi="Century Gothic" w:cs="Arial"/>
          <w:sz w:val="24"/>
          <w:szCs w:val="24"/>
        </w:rPr>
        <w:t xml:space="preserve">días del mes de </w:t>
      </w:r>
      <w:r w:rsidR="00746A8F">
        <w:rPr>
          <w:rFonts w:ascii="Century Gothic" w:eastAsia="Arial Unicode MS" w:hAnsi="Century Gothic" w:cs="Arial"/>
          <w:sz w:val="24"/>
          <w:szCs w:val="24"/>
        </w:rPr>
        <w:t>octubre</w:t>
      </w:r>
      <w:r w:rsidRPr="00CD7505">
        <w:rPr>
          <w:rFonts w:ascii="Century Gothic" w:eastAsia="Arial Unicode MS" w:hAnsi="Century Gothic" w:cs="Arial"/>
          <w:sz w:val="24"/>
          <w:szCs w:val="24"/>
        </w:rPr>
        <w:t xml:space="preserve"> </w:t>
      </w:r>
      <w:r w:rsidR="00E22408" w:rsidRPr="00CD7505">
        <w:rPr>
          <w:rFonts w:ascii="Century Gothic" w:eastAsia="Arial Unicode MS" w:hAnsi="Century Gothic" w:cs="Arial"/>
          <w:sz w:val="24"/>
          <w:szCs w:val="24"/>
        </w:rPr>
        <w:t xml:space="preserve">de </w:t>
      </w:r>
      <w:r w:rsidR="00364D41">
        <w:rPr>
          <w:rFonts w:ascii="Century Gothic" w:eastAsia="Arial Unicode MS" w:hAnsi="Century Gothic" w:cs="Arial"/>
          <w:sz w:val="24"/>
          <w:szCs w:val="24"/>
        </w:rPr>
        <w:t>año dos mil veinte</w:t>
      </w:r>
      <w:r w:rsidR="00D35546" w:rsidRPr="00CD7505">
        <w:rPr>
          <w:rFonts w:ascii="Century Gothic" w:eastAsia="Arial Unicode MS" w:hAnsi="Century Gothic" w:cs="Arial"/>
          <w:sz w:val="24"/>
          <w:szCs w:val="24"/>
        </w:rPr>
        <w:t>.</w:t>
      </w:r>
    </w:p>
    <w:p w14:paraId="58E51D5A" w14:textId="77777777" w:rsidR="002800B0" w:rsidRDefault="002800B0" w:rsidP="007F63D5">
      <w:pPr>
        <w:rPr>
          <w:rFonts w:ascii="Century Gothic" w:hAnsi="Century Gothic" w:cstheme="minorHAnsi"/>
          <w:b/>
          <w:sz w:val="28"/>
          <w:szCs w:val="28"/>
        </w:rPr>
      </w:pPr>
    </w:p>
    <w:p w14:paraId="2F567BCA" w14:textId="77777777" w:rsidR="00364D41" w:rsidRDefault="00364D41" w:rsidP="007F63D5">
      <w:pPr>
        <w:rPr>
          <w:rFonts w:ascii="Century Gothic" w:hAnsi="Century Gothic" w:cstheme="minorHAnsi"/>
          <w:b/>
          <w:sz w:val="28"/>
          <w:szCs w:val="28"/>
        </w:rPr>
      </w:pPr>
    </w:p>
    <w:p w14:paraId="4DFA0667" w14:textId="77777777" w:rsidR="00D35546" w:rsidRPr="00CD7505" w:rsidRDefault="00D35546" w:rsidP="00D35546">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72460142" w14:textId="7A61568D" w:rsidR="001A343E" w:rsidRPr="00CD7505" w:rsidRDefault="001A343E" w:rsidP="0064202A">
      <w:pPr>
        <w:pStyle w:val="Prrafodelista"/>
        <w:spacing w:line="276" w:lineRule="auto"/>
        <w:ind w:left="0"/>
        <w:rPr>
          <w:rFonts w:ascii="Century Gothic" w:hAnsi="Century Gothic" w:cs="Arial"/>
          <w:b/>
          <w:sz w:val="28"/>
          <w:szCs w:val="28"/>
          <w:shd w:val="clear" w:color="auto" w:fill="FFFFFF"/>
        </w:rPr>
      </w:pPr>
    </w:p>
    <w:p w14:paraId="155DC9BD" w14:textId="77777777" w:rsidR="00317DA5" w:rsidRPr="00CD7505" w:rsidRDefault="00317DA5" w:rsidP="0064202A">
      <w:pPr>
        <w:pStyle w:val="Prrafodelista"/>
        <w:spacing w:line="276" w:lineRule="auto"/>
        <w:ind w:left="0"/>
        <w:rPr>
          <w:rFonts w:ascii="Century Gothic" w:hAnsi="Century Gothic" w:cs="Arial"/>
          <w:b/>
          <w:sz w:val="28"/>
          <w:szCs w:val="28"/>
          <w:shd w:val="clear" w:color="auto" w:fill="FFFFFF"/>
        </w:rPr>
      </w:pPr>
    </w:p>
    <w:p w14:paraId="02AB22B0" w14:textId="77777777" w:rsidR="006D61F9" w:rsidRDefault="001A343E" w:rsidP="00C251A4">
      <w:pPr>
        <w:spacing w:line="276" w:lineRule="auto"/>
        <w:jc w:val="center"/>
        <w:rPr>
          <w:rFonts w:ascii="Century Gothic" w:eastAsia="Arial Unicode MS" w:hAnsi="Century Gothic" w:cs="Arial"/>
          <w:b/>
          <w:sz w:val="28"/>
          <w:szCs w:val="28"/>
        </w:rPr>
      </w:pPr>
      <w:r w:rsidRPr="00CD7505">
        <w:rPr>
          <w:rFonts w:ascii="Century Gothic" w:hAnsi="Century Gothic" w:cs="Arial"/>
          <w:b/>
          <w:sz w:val="28"/>
          <w:szCs w:val="28"/>
        </w:rPr>
        <w:t xml:space="preserve">DIP. </w:t>
      </w:r>
      <w:r w:rsidRPr="00CD7505">
        <w:rPr>
          <w:rFonts w:ascii="Century Gothic" w:eastAsia="Arial Unicode MS" w:hAnsi="Century Gothic" w:cs="Arial"/>
          <w:b/>
          <w:sz w:val="28"/>
          <w:szCs w:val="28"/>
        </w:rPr>
        <w:t>MIGUEL ÁNGEL COLUNGA MARTÍNEZ</w:t>
      </w:r>
    </w:p>
    <w:p w14:paraId="668712A6" w14:textId="77777777" w:rsidR="002800B0" w:rsidRDefault="002800B0" w:rsidP="004C56DE">
      <w:pPr>
        <w:spacing w:line="276" w:lineRule="auto"/>
        <w:rPr>
          <w:rFonts w:ascii="Century Gothic" w:eastAsia="Arial Unicode MS" w:hAnsi="Century Gothic" w:cs="Arial"/>
          <w:b/>
          <w:sz w:val="28"/>
          <w:szCs w:val="28"/>
        </w:rPr>
      </w:pPr>
    </w:p>
    <w:p w14:paraId="3A6BF213" w14:textId="4A315DEC" w:rsidR="002800B0" w:rsidRPr="00C251A4" w:rsidRDefault="002800B0" w:rsidP="00C70FC2">
      <w:pPr>
        <w:spacing w:line="276" w:lineRule="auto"/>
        <w:jc w:val="center"/>
        <w:rPr>
          <w:rFonts w:ascii="Century Gothic" w:hAnsi="Century Gothic" w:cs="Arial"/>
          <w:sz w:val="28"/>
          <w:szCs w:val="28"/>
        </w:rPr>
      </w:pPr>
    </w:p>
    <w:sectPr w:rsidR="002800B0" w:rsidRPr="00C251A4" w:rsidSect="004D4BF3">
      <w:headerReference w:type="default" r:id="rId7"/>
      <w:footerReference w:type="default" r:id="rId8"/>
      <w:pgSz w:w="12240" w:h="15840"/>
      <w:pgMar w:top="2552" w:right="1701" w:bottom="141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A8D0" w14:textId="77777777" w:rsidR="00FF0225" w:rsidRDefault="00FF0225" w:rsidP="00C251A4">
      <w:r>
        <w:separator/>
      </w:r>
    </w:p>
  </w:endnote>
  <w:endnote w:type="continuationSeparator" w:id="0">
    <w:p w14:paraId="023F028F" w14:textId="77777777" w:rsidR="00FF0225" w:rsidRDefault="00FF0225"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050635"/>
      <w:docPartObj>
        <w:docPartGallery w:val="Page Numbers (Bottom of Page)"/>
        <w:docPartUnique/>
      </w:docPartObj>
    </w:sdtPr>
    <w:sdtEndPr/>
    <w:sdtContent>
      <w:sdt>
        <w:sdtPr>
          <w:id w:val="-574202342"/>
          <w:docPartObj>
            <w:docPartGallery w:val="Page Numbers (Top of Page)"/>
            <w:docPartUnique/>
          </w:docPartObj>
        </w:sdtPr>
        <w:sdtEndPr/>
        <w:sdtContent>
          <w:p w14:paraId="065C6A41" w14:textId="77777777" w:rsidR="00C251A4" w:rsidRDefault="00C251A4">
            <w:pPr>
              <w:pStyle w:val="Piedepgina"/>
              <w:jc w:val="right"/>
            </w:pPr>
            <w:r w:rsidRPr="00C251A4">
              <w:rPr>
                <w:rFonts w:ascii="Century Gothic" w:hAnsi="Century Gothic"/>
                <w:sz w:val="16"/>
                <w:szCs w:val="16"/>
                <w:lang w:val="es-ES"/>
              </w:rPr>
              <w:t xml:space="preserve">Página </w:t>
            </w:r>
            <w:r w:rsidRPr="00C251A4">
              <w:rPr>
                <w:rFonts w:ascii="Century Gothic" w:hAnsi="Century Gothic"/>
                <w:b/>
                <w:bCs/>
                <w:sz w:val="16"/>
                <w:szCs w:val="16"/>
              </w:rPr>
              <w:fldChar w:fldCharType="begin"/>
            </w:r>
            <w:r w:rsidRPr="00C251A4">
              <w:rPr>
                <w:rFonts w:ascii="Century Gothic" w:hAnsi="Century Gothic"/>
                <w:b/>
                <w:bCs/>
                <w:sz w:val="16"/>
                <w:szCs w:val="16"/>
              </w:rPr>
              <w:instrText>PAGE</w:instrText>
            </w:r>
            <w:r w:rsidRPr="00C251A4">
              <w:rPr>
                <w:rFonts w:ascii="Century Gothic" w:hAnsi="Century Gothic"/>
                <w:b/>
                <w:bCs/>
                <w:sz w:val="16"/>
                <w:szCs w:val="16"/>
              </w:rPr>
              <w:fldChar w:fldCharType="separate"/>
            </w:r>
            <w:r w:rsidR="00044200">
              <w:rPr>
                <w:rFonts w:ascii="Century Gothic" w:hAnsi="Century Gothic"/>
                <w:b/>
                <w:bCs/>
                <w:noProof/>
                <w:sz w:val="16"/>
                <w:szCs w:val="16"/>
              </w:rPr>
              <w:t>1</w:t>
            </w:r>
            <w:r w:rsidRPr="00C251A4">
              <w:rPr>
                <w:rFonts w:ascii="Century Gothic" w:hAnsi="Century Gothic"/>
                <w:b/>
                <w:bCs/>
                <w:sz w:val="16"/>
                <w:szCs w:val="16"/>
              </w:rPr>
              <w:fldChar w:fldCharType="end"/>
            </w:r>
            <w:r w:rsidRPr="00C251A4">
              <w:rPr>
                <w:rFonts w:ascii="Century Gothic" w:hAnsi="Century Gothic"/>
                <w:sz w:val="16"/>
                <w:szCs w:val="16"/>
                <w:lang w:val="es-ES"/>
              </w:rPr>
              <w:t xml:space="preserve"> de </w:t>
            </w:r>
            <w:r w:rsidRPr="00C251A4">
              <w:rPr>
                <w:rFonts w:ascii="Century Gothic" w:hAnsi="Century Gothic"/>
                <w:b/>
                <w:bCs/>
                <w:sz w:val="16"/>
                <w:szCs w:val="16"/>
              </w:rPr>
              <w:fldChar w:fldCharType="begin"/>
            </w:r>
            <w:r w:rsidRPr="00C251A4">
              <w:rPr>
                <w:rFonts w:ascii="Century Gothic" w:hAnsi="Century Gothic"/>
                <w:b/>
                <w:bCs/>
                <w:sz w:val="16"/>
                <w:szCs w:val="16"/>
              </w:rPr>
              <w:instrText>NUMPAGES</w:instrText>
            </w:r>
            <w:r w:rsidRPr="00C251A4">
              <w:rPr>
                <w:rFonts w:ascii="Century Gothic" w:hAnsi="Century Gothic"/>
                <w:b/>
                <w:bCs/>
                <w:sz w:val="16"/>
                <w:szCs w:val="16"/>
              </w:rPr>
              <w:fldChar w:fldCharType="separate"/>
            </w:r>
            <w:r w:rsidR="00044200">
              <w:rPr>
                <w:rFonts w:ascii="Century Gothic" w:hAnsi="Century Gothic"/>
                <w:b/>
                <w:bCs/>
                <w:noProof/>
                <w:sz w:val="16"/>
                <w:szCs w:val="16"/>
              </w:rPr>
              <w:t>3</w:t>
            </w:r>
            <w:r w:rsidRPr="00C251A4">
              <w:rPr>
                <w:rFonts w:ascii="Century Gothic" w:hAnsi="Century Gothic"/>
                <w:b/>
                <w:bCs/>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7853" w14:textId="77777777" w:rsidR="00FF0225" w:rsidRDefault="00FF0225" w:rsidP="00C251A4">
      <w:r>
        <w:separator/>
      </w:r>
    </w:p>
  </w:footnote>
  <w:footnote w:type="continuationSeparator" w:id="0">
    <w:p w14:paraId="206C2A2A" w14:textId="77777777" w:rsidR="00FF0225" w:rsidRDefault="00FF0225" w:rsidP="00C251A4">
      <w:r>
        <w:continuationSeparator/>
      </w:r>
    </w:p>
  </w:footnote>
  <w:footnote w:id="1">
    <w:p w14:paraId="4B786688" w14:textId="77777777" w:rsidR="00746A8F" w:rsidRDefault="00746A8F" w:rsidP="00746A8F">
      <w:pPr>
        <w:shd w:val="clear" w:color="auto" w:fill="FFFFFF"/>
        <w:rPr>
          <w:rFonts w:ascii="Century Gothic" w:eastAsia="Times New Roman" w:hAnsi="Century Gothic"/>
          <w:sz w:val="16"/>
          <w:szCs w:val="16"/>
          <w:lang w:eastAsia="es-MX"/>
        </w:rPr>
      </w:pPr>
      <w:r>
        <w:rPr>
          <w:rStyle w:val="Refdenotaalpie"/>
          <w:rFonts w:ascii="Century Gothic" w:hAnsi="Century Gothic"/>
          <w:sz w:val="16"/>
          <w:szCs w:val="16"/>
        </w:rPr>
        <w:footnoteRef/>
      </w:r>
      <w:r>
        <w:rPr>
          <w:rFonts w:ascii="Century Gothic" w:eastAsia="Times New Roman" w:hAnsi="Century Gothic"/>
          <w:sz w:val="16"/>
          <w:szCs w:val="16"/>
          <w:lang w:eastAsia="es-MX"/>
        </w:rPr>
        <w:t xml:space="preserve"> Ley de Aguas Nacionales</w:t>
      </w:r>
    </w:p>
  </w:footnote>
  <w:footnote w:id="2">
    <w:p w14:paraId="650245DF" w14:textId="77777777" w:rsidR="00746A8F" w:rsidRDefault="00746A8F" w:rsidP="00746A8F">
      <w:pPr>
        <w:shd w:val="clear" w:color="auto" w:fill="FFFFFF"/>
        <w:rPr>
          <w:rFonts w:ascii="Century Gothic" w:eastAsia="Times New Roman" w:hAnsi="Century Gothic"/>
          <w:sz w:val="16"/>
          <w:szCs w:val="16"/>
          <w:lang w:eastAsia="es-MX"/>
        </w:rPr>
      </w:pPr>
      <w:r>
        <w:rPr>
          <w:rStyle w:val="Refdenotaalpie"/>
          <w:rFonts w:ascii="Century Gothic" w:hAnsi="Century Gothic"/>
          <w:sz w:val="16"/>
          <w:szCs w:val="16"/>
        </w:rPr>
        <w:footnoteRef/>
      </w:r>
      <w:r>
        <w:rPr>
          <w:rFonts w:ascii="Century Gothic" w:eastAsia="Times New Roman" w:hAnsi="Century Gothic"/>
          <w:sz w:val="16"/>
          <w:szCs w:val="16"/>
          <w:lang w:eastAsia="es-MX"/>
        </w:rPr>
        <w:t xml:space="preserve"> Plan Estatal Hídrico 2040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9238" w14:textId="77777777" w:rsidR="00C251A4" w:rsidRPr="009157BA" w:rsidRDefault="00C251A4" w:rsidP="00C251A4">
    <w:pPr>
      <w:pStyle w:val="Encabezado"/>
      <w:jc w:val="right"/>
      <w:rPr>
        <w:rFonts w:ascii="Century Gothic" w:hAnsi="Century Gothic"/>
        <w:b/>
        <w:bCs/>
        <w:i/>
        <w:iCs/>
      </w:rPr>
    </w:pPr>
    <w:r w:rsidRPr="009157BA">
      <w:rPr>
        <w:rFonts w:ascii="Century Gothic" w:hAnsi="Century Gothic"/>
        <w:b/>
        <w:bCs/>
        <w:i/>
        <w:iCs/>
      </w:rPr>
      <w:t xml:space="preserve">“2020, Por un Nuevo Federalismo Fiscal, Justo y Equitativo”, </w:t>
    </w:r>
  </w:p>
  <w:p w14:paraId="15493B86" w14:textId="77777777" w:rsidR="00C251A4" w:rsidRPr="009157BA" w:rsidRDefault="00C251A4" w:rsidP="00C251A4">
    <w:pPr>
      <w:pStyle w:val="Encabezado"/>
      <w:jc w:val="right"/>
      <w:rPr>
        <w:rFonts w:ascii="Century Gothic" w:hAnsi="Century Gothic"/>
        <w:b/>
        <w:bCs/>
        <w:i/>
        <w:iCs/>
      </w:rPr>
    </w:pPr>
    <w:r w:rsidRPr="009157BA">
      <w:rPr>
        <w:rFonts w:ascii="Century Gothic" w:hAnsi="Century Gothic"/>
        <w:b/>
        <w:bCs/>
        <w:i/>
        <w:iCs/>
      </w:rPr>
      <w:t>“2020, Año de la Sanidad Vegetal”</w:t>
    </w:r>
  </w:p>
  <w:p w14:paraId="357D3A9A" w14:textId="77777777" w:rsidR="00C251A4" w:rsidRDefault="00C251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44200"/>
    <w:rsid w:val="00063458"/>
    <w:rsid w:val="00071B8E"/>
    <w:rsid w:val="000B531A"/>
    <w:rsid w:val="000B7160"/>
    <w:rsid w:val="000D381F"/>
    <w:rsid w:val="000F04E4"/>
    <w:rsid w:val="001001A2"/>
    <w:rsid w:val="00101F49"/>
    <w:rsid w:val="00107C68"/>
    <w:rsid w:val="00161D4E"/>
    <w:rsid w:val="001624F4"/>
    <w:rsid w:val="00181A62"/>
    <w:rsid w:val="00182B49"/>
    <w:rsid w:val="00196423"/>
    <w:rsid w:val="001A343E"/>
    <w:rsid w:val="001F1AF8"/>
    <w:rsid w:val="00210DE7"/>
    <w:rsid w:val="00216799"/>
    <w:rsid w:val="002800B0"/>
    <w:rsid w:val="002938F7"/>
    <w:rsid w:val="0029637A"/>
    <w:rsid w:val="002B4140"/>
    <w:rsid w:val="002C5FC1"/>
    <w:rsid w:val="002E03E7"/>
    <w:rsid w:val="002E7E41"/>
    <w:rsid w:val="003145D1"/>
    <w:rsid w:val="00317DA5"/>
    <w:rsid w:val="0033154D"/>
    <w:rsid w:val="00364D41"/>
    <w:rsid w:val="00383EBC"/>
    <w:rsid w:val="003A3F09"/>
    <w:rsid w:val="003A56C3"/>
    <w:rsid w:val="003B7AE5"/>
    <w:rsid w:val="003C2DCF"/>
    <w:rsid w:val="003D0270"/>
    <w:rsid w:val="0043743D"/>
    <w:rsid w:val="00451D22"/>
    <w:rsid w:val="00456054"/>
    <w:rsid w:val="0046016B"/>
    <w:rsid w:val="00461A2D"/>
    <w:rsid w:val="004B1EF6"/>
    <w:rsid w:val="004C56DE"/>
    <w:rsid w:val="004D4BF3"/>
    <w:rsid w:val="0051604B"/>
    <w:rsid w:val="005437FF"/>
    <w:rsid w:val="005442F2"/>
    <w:rsid w:val="00571C7B"/>
    <w:rsid w:val="005A7B2A"/>
    <w:rsid w:val="00612297"/>
    <w:rsid w:val="0064202A"/>
    <w:rsid w:val="0068020C"/>
    <w:rsid w:val="0068082E"/>
    <w:rsid w:val="006C048E"/>
    <w:rsid w:val="006D3F29"/>
    <w:rsid w:val="006D61F9"/>
    <w:rsid w:val="006F10E1"/>
    <w:rsid w:val="00732FD9"/>
    <w:rsid w:val="00746A8F"/>
    <w:rsid w:val="0076786B"/>
    <w:rsid w:val="00773A87"/>
    <w:rsid w:val="007A0C8B"/>
    <w:rsid w:val="007B5454"/>
    <w:rsid w:val="007B76D7"/>
    <w:rsid w:val="007C7D36"/>
    <w:rsid w:val="007E43D4"/>
    <w:rsid w:val="007F63D5"/>
    <w:rsid w:val="00861132"/>
    <w:rsid w:val="0088734F"/>
    <w:rsid w:val="0089334D"/>
    <w:rsid w:val="008B7D60"/>
    <w:rsid w:val="00951789"/>
    <w:rsid w:val="00980D13"/>
    <w:rsid w:val="00984520"/>
    <w:rsid w:val="009C1186"/>
    <w:rsid w:val="00A256ED"/>
    <w:rsid w:val="00A30919"/>
    <w:rsid w:val="00A63F04"/>
    <w:rsid w:val="00A82471"/>
    <w:rsid w:val="00A8584E"/>
    <w:rsid w:val="00A92493"/>
    <w:rsid w:val="00AA0FF0"/>
    <w:rsid w:val="00B15B87"/>
    <w:rsid w:val="00B259D8"/>
    <w:rsid w:val="00B2782E"/>
    <w:rsid w:val="00C131BA"/>
    <w:rsid w:val="00C15C13"/>
    <w:rsid w:val="00C251A4"/>
    <w:rsid w:val="00C4775F"/>
    <w:rsid w:val="00C550AE"/>
    <w:rsid w:val="00C70FC2"/>
    <w:rsid w:val="00CA7AE8"/>
    <w:rsid w:val="00CD7505"/>
    <w:rsid w:val="00CF4DCD"/>
    <w:rsid w:val="00D35546"/>
    <w:rsid w:val="00D918F9"/>
    <w:rsid w:val="00D93609"/>
    <w:rsid w:val="00DC0089"/>
    <w:rsid w:val="00DF4725"/>
    <w:rsid w:val="00E05E7C"/>
    <w:rsid w:val="00E161AF"/>
    <w:rsid w:val="00E2101A"/>
    <w:rsid w:val="00E22408"/>
    <w:rsid w:val="00E24A6E"/>
    <w:rsid w:val="00E673B1"/>
    <w:rsid w:val="00E9133B"/>
    <w:rsid w:val="00E960C5"/>
    <w:rsid w:val="00EB4EB1"/>
    <w:rsid w:val="00ED335F"/>
    <w:rsid w:val="00EE3564"/>
    <w:rsid w:val="00F108D5"/>
    <w:rsid w:val="00F10E0F"/>
    <w:rsid w:val="00F2541F"/>
    <w:rsid w:val="00F33054"/>
    <w:rsid w:val="00F52E33"/>
    <w:rsid w:val="00F53B2E"/>
    <w:rsid w:val="00F623CB"/>
    <w:rsid w:val="00FD03DB"/>
    <w:rsid w:val="00FE6B74"/>
    <w:rsid w:val="00FF0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746A8F"/>
    <w:rPr>
      <w:rFonts w:ascii="Arial" w:eastAsia="Times New Roman" w:hAnsi="Arial" w:cs="Arial"/>
      <w:sz w:val="18"/>
      <w:szCs w:val="20"/>
      <w:lang w:val="es-ES" w:eastAsia="es-ES"/>
    </w:rPr>
  </w:style>
  <w:style w:type="paragraph" w:customStyle="1" w:styleId="Texto">
    <w:name w:val="Texto"/>
    <w:basedOn w:val="Normal"/>
    <w:link w:val="TextoCar"/>
    <w:rsid w:val="00746A8F"/>
    <w:pPr>
      <w:spacing w:after="101" w:line="216" w:lineRule="exact"/>
      <w:ind w:firstLine="288"/>
      <w:jc w:val="both"/>
    </w:pPr>
    <w:rPr>
      <w:rFonts w:ascii="Arial" w:eastAsia="Times New Roman" w:hAnsi="Arial" w:cs="Arial"/>
      <w:sz w:val="18"/>
      <w:lang w:val="es-ES"/>
    </w:rPr>
  </w:style>
  <w:style w:type="paragraph" w:customStyle="1" w:styleId="Cuerpo">
    <w:name w:val="Cuerpo"/>
    <w:rsid w:val="00746A8F"/>
    <w:pPr>
      <w:spacing w:after="0" w:line="480" w:lineRule="auto"/>
    </w:pPr>
    <w:rPr>
      <w:rFonts w:ascii="Helvetica Neue" w:eastAsia="Arial Unicode MS" w:hAnsi="Helvetica Neue" w:cs="Arial Unicode MS"/>
      <w:color w:val="000000"/>
      <w:sz w:val="24"/>
      <w:szCs w:val="24"/>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709962704">
      <w:bodyDiv w:val="1"/>
      <w:marLeft w:val="0"/>
      <w:marRight w:val="0"/>
      <w:marTop w:val="0"/>
      <w:marBottom w:val="0"/>
      <w:divBdr>
        <w:top w:val="none" w:sz="0" w:space="0" w:color="auto"/>
        <w:left w:val="none" w:sz="0" w:space="0" w:color="auto"/>
        <w:bottom w:val="none" w:sz="0" w:space="0" w:color="auto"/>
        <w:right w:val="none" w:sz="0" w:space="0" w:color="auto"/>
      </w:divBdr>
    </w:div>
    <w:div w:id="936182460">
      <w:bodyDiv w:val="1"/>
      <w:marLeft w:val="0"/>
      <w:marRight w:val="0"/>
      <w:marTop w:val="0"/>
      <w:marBottom w:val="0"/>
      <w:divBdr>
        <w:top w:val="none" w:sz="0" w:space="0" w:color="auto"/>
        <w:left w:val="none" w:sz="0" w:space="0" w:color="auto"/>
        <w:bottom w:val="none" w:sz="0" w:space="0" w:color="auto"/>
        <w:right w:val="none" w:sz="0" w:space="0" w:color="auto"/>
      </w:divBdr>
    </w:div>
    <w:div w:id="1283535200">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Usuario de Windows</cp:lastModifiedBy>
  <cp:revision>2</cp:revision>
  <cp:lastPrinted>2020-09-24T16:44:00Z</cp:lastPrinted>
  <dcterms:created xsi:type="dcterms:W3CDTF">2020-10-19T22:19:00Z</dcterms:created>
  <dcterms:modified xsi:type="dcterms:W3CDTF">2020-10-19T22:19:00Z</dcterms:modified>
</cp:coreProperties>
</file>