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96" w:rsidRDefault="00F15E96" w:rsidP="00B30295">
      <w:pPr>
        <w:tabs>
          <w:tab w:val="left" w:pos="5325"/>
        </w:tabs>
        <w:jc w:val="both"/>
        <w:rPr>
          <w:rFonts w:ascii="Arial" w:hAnsi="Arial" w:cs="Arial"/>
          <w:noProof/>
          <w:sz w:val="24"/>
          <w:szCs w:val="24"/>
          <w:lang w:val="es-MX" w:eastAsia="es-MX"/>
        </w:rPr>
      </w:pPr>
    </w:p>
    <w:p w:rsidR="00F15E96" w:rsidRDefault="00D92001" w:rsidP="00B30295">
      <w:pPr>
        <w:tabs>
          <w:tab w:val="left" w:pos="5325"/>
        </w:tabs>
        <w:jc w:val="both"/>
        <w:rPr>
          <w:rFonts w:ascii="Arial" w:hAnsi="Arial" w:cs="Arial"/>
          <w:noProof/>
          <w:sz w:val="24"/>
          <w:szCs w:val="24"/>
          <w:lang w:val="es-MX" w:eastAsia="es-MX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7.3pt;margin-top:14.95pt;width:259.3pt;height:57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" stroked="f">
            <v:textbox style="mso-fit-shape-to-text:t">
              <w:txbxContent>
                <w:p w:rsidR="00B30295" w:rsidRPr="00602BEB" w:rsidRDefault="00B30295" w:rsidP="00B30295">
                  <w:pPr>
                    <w:jc w:val="both"/>
                    <w:rPr>
                      <w:rFonts w:ascii="Century Gothic" w:hAnsi="Century Gothic"/>
                      <w:color w:val="000000" w:themeColor="text1"/>
                      <w:sz w:val="16"/>
                      <w:lang w:val="es-ES"/>
                    </w:rPr>
                  </w:pPr>
                  <w:r w:rsidRPr="00602BEB">
                    <w:rPr>
                      <w:rFonts w:ascii="Century Gothic" w:hAnsi="Century Gothic"/>
                      <w:color w:val="000000" w:themeColor="text1"/>
                      <w:sz w:val="16"/>
                      <w:lang w:val="es-ES"/>
                    </w:rPr>
                    <w:t xml:space="preserve">Iniciativa </w:t>
                  </w:r>
                  <w:r w:rsidR="00601464" w:rsidRPr="00602BEB">
                    <w:rPr>
                      <w:rFonts w:ascii="Century Gothic" w:hAnsi="Century Gothic"/>
                      <w:color w:val="000000" w:themeColor="text1"/>
                      <w:sz w:val="16"/>
                      <w:lang w:val="es-ES"/>
                    </w:rPr>
                    <w:t xml:space="preserve">con Carácter de Decreto a fin de reformar y </w:t>
                  </w:r>
                  <w:r w:rsidR="00B66B2E" w:rsidRPr="00602BEB">
                    <w:rPr>
                      <w:rFonts w:ascii="Century Gothic" w:hAnsi="Century Gothic"/>
                      <w:color w:val="000000" w:themeColor="text1"/>
                      <w:sz w:val="16"/>
                      <w:lang w:val="es-ES"/>
                    </w:rPr>
                    <w:t>adicionar los Artículos 123 fracción XXIV y X</w:t>
                  </w:r>
                  <w:r w:rsidR="005248A3">
                    <w:rPr>
                      <w:rFonts w:ascii="Century Gothic" w:hAnsi="Century Gothic"/>
                      <w:color w:val="000000" w:themeColor="text1"/>
                      <w:sz w:val="16"/>
                      <w:lang w:val="es-ES"/>
                    </w:rPr>
                    <w:t>XVI, Artículo 126 fracción IX</w:t>
                  </w:r>
                  <w:r w:rsidR="00602BEB">
                    <w:rPr>
                      <w:rFonts w:ascii="Century Gothic" w:hAnsi="Century Gothic"/>
                      <w:color w:val="000000" w:themeColor="text1"/>
                      <w:sz w:val="16"/>
                      <w:lang w:val="es-ES"/>
                    </w:rPr>
                    <w:t xml:space="preserve"> de </w:t>
                  </w:r>
                  <w:r w:rsidR="00B66B2E" w:rsidRPr="00602BEB">
                    <w:rPr>
                      <w:rFonts w:ascii="Century Gothic" w:hAnsi="Century Gothic"/>
                      <w:color w:val="000000" w:themeColor="text1"/>
                      <w:sz w:val="16"/>
                      <w:lang w:val="es-ES"/>
                    </w:rPr>
                    <w:t>la Ley de los Derechos de Niñas, Niños y Adolescentes del Estado de Chihuahua.</w:t>
                  </w:r>
                </w:p>
              </w:txbxContent>
            </v:textbox>
          </v:shape>
        </w:pict>
      </w:r>
    </w:p>
    <w:p w:rsidR="00B30295" w:rsidRPr="00BC580E" w:rsidRDefault="00B30295" w:rsidP="00B30295">
      <w:pPr>
        <w:tabs>
          <w:tab w:val="left" w:pos="532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BC580E">
        <w:rPr>
          <w:rFonts w:ascii="Arial" w:hAnsi="Arial" w:cs="Arial"/>
          <w:sz w:val="24"/>
          <w:szCs w:val="24"/>
          <w:lang w:val="es-ES"/>
        </w:rPr>
        <w:tab/>
      </w:r>
    </w:p>
    <w:p w:rsidR="00B30295" w:rsidRPr="00BC580E" w:rsidRDefault="00B30295" w:rsidP="00B30295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B34991" w:rsidRDefault="00B34991" w:rsidP="00FF729A">
      <w:pPr>
        <w:spacing w:after="0"/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</w:pPr>
    </w:p>
    <w:p w:rsidR="00B66B2E" w:rsidRPr="00602BEB" w:rsidRDefault="00FF729A" w:rsidP="00FF729A">
      <w:pPr>
        <w:spacing w:after="0"/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H.</w:t>
      </w:r>
      <w:r w:rsidR="00B66B2E"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 xml:space="preserve"> CONGRESO DEL ESTADO DE CHIHUAHUA</w:t>
      </w:r>
      <w:r w:rsidR="00B66B2E"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br/>
        <w:t>P R E S E N T E.-</w:t>
      </w:r>
    </w:p>
    <w:p w:rsidR="00FF729A" w:rsidRPr="00602BEB" w:rsidRDefault="00FF729A" w:rsidP="00FF729A">
      <w:pPr>
        <w:spacing w:after="0"/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</w:pPr>
    </w:p>
    <w:p w:rsidR="00B66B2E" w:rsidRPr="00602BEB" w:rsidRDefault="00FF729A" w:rsidP="00B66B2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 w:rsidRPr="00602BEB">
        <w:rPr>
          <w:rFonts w:ascii="Century Gothic" w:eastAsia="Century Gothic,Arial" w:hAnsi="Century Gothic" w:cs="Arial"/>
          <w:bCs/>
          <w:color w:val="000000" w:themeColor="text1"/>
          <w:sz w:val="24"/>
          <w:szCs w:val="24"/>
          <w:lang w:val="es-ES"/>
        </w:rPr>
        <w:t>Los suscritos Misael Máynez Cano, Martha Josefina Lemus Gurrola, y Obed Lara Chávez, en nuestro carácter de Diputados a la Sexagésima Sexta</w:t>
      </w:r>
      <w:r w:rsidR="00602BEB">
        <w:rPr>
          <w:rFonts w:ascii="Century Gothic" w:eastAsia="Century Gothic,Arial" w:hAnsi="Century Gothic" w:cs="Arial"/>
          <w:bCs/>
          <w:color w:val="000000" w:themeColor="text1"/>
          <w:sz w:val="24"/>
          <w:szCs w:val="24"/>
          <w:lang w:val="es-ES"/>
        </w:rPr>
        <w:t xml:space="preserve"> Legislatura, </w:t>
      </w:r>
      <w:bookmarkStart w:id="0" w:name="_GoBack"/>
      <w:bookmarkEnd w:id="0"/>
      <w:r w:rsidR="00602BEB">
        <w:rPr>
          <w:rFonts w:ascii="Century Gothic" w:eastAsia="Century Gothic,Arial" w:hAnsi="Century Gothic" w:cs="Arial"/>
          <w:bCs/>
          <w:color w:val="000000" w:themeColor="text1"/>
          <w:sz w:val="24"/>
          <w:szCs w:val="24"/>
          <w:lang w:val="es-ES"/>
        </w:rPr>
        <w:t xml:space="preserve">e integrantes de la Fracción Parlamentaria de </w:t>
      </w:r>
      <w:r w:rsidRPr="00602BEB">
        <w:rPr>
          <w:rFonts w:ascii="Century Gothic" w:eastAsia="Century Gothic,Arial" w:hAnsi="Century Gothic" w:cs="Arial"/>
          <w:bCs/>
          <w:color w:val="000000" w:themeColor="text1"/>
          <w:sz w:val="24"/>
          <w:szCs w:val="24"/>
          <w:lang w:val="es-ES"/>
        </w:rPr>
        <w:t xml:space="preserve">Encuentro Social, </w:t>
      </w:r>
      <w:r w:rsidR="003E3542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en uso de las facultades conferidas por </w:t>
      </w:r>
      <w:r w:rsidR="003E3542" w:rsidRPr="00602BEB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el artículo 68, fracción I de la Constitución Política del</w:t>
      </w:r>
      <w:r w:rsidR="00BA3F47" w:rsidRPr="00602BEB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 xml:space="preserve"> Estado de Chihuahua, así como </w:t>
      </w:r>
      <w:r w:rsidR="003E3542" w:rsidRPr="00602BEB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los artículos 167 fracción I,</w:t>
      </w:r>
      <w:r w:rsidR="00BA3F47" w:rsidRPr="00602BEB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 xml:space="preserve"> 168 </w:t>
      </w:r>
      <w:r w:rsidR="003E3542" w:rsidRPr="00602BEB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de la Ley Orgánica del Poder Legis</w:t>
      </w:r>
      <w:r w:rsidR="00BA3F47" w:rsidRPr="00602BEB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lativo del Estado de Chihuahua, 75, 76 y 77 del Reglamento Interior y de Prácticas Parlamentarias del Poder Legislativo</w:t>
      </w:r>
      <w:r w:rsidR="007D52DA" w:rsidRPr="00602BEB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,</w:t>
      </w:r>
      <w:r w:rsidR="003E3542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es qu</w:t>
      </w:r>
      <w:r w:rsidR="003E3542" w:rsidRPr="00602BE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 </w:t>
      </w:r>
      <w:r w:rsidRPr="00602BEB">
        <w:rPr>
          <w:rFonts w:ascii="Century Gothic" w:eastAsia="Century Gothic,Arial" w:hAnsi="Century Gothic" w:cs="Arial"/>
          <w:bCs/>
          <w:color w:val="000000" w:themeColor="text1"/>
          <w:sz w:val="24"/>
          <w:szCs w:val="24"/>
          <w:lang w:val="es-ES"/>
        </w:rPr>
        <w:t xml:space="preserve">acudimos ante esta Honorable Representación Popular a presentar Iniciativa con carácter de Decreto a fin de reformar y adicionar 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diversas disposiciones de la Ley de los Derechos de Niñas, Niños y Adolescentes del Estado de Chihuahua, en aras de implementar la operación de un Fondo Municipal de Apoyo para niñas, niños y adolescentes</w:t>
      </w:r>
      <w:r w:rsidRPr="00602BEB">
        <w:rPr>
          <w:rFonts w:ascii="Century Gothic" w:eastAsia="Century Gothic,Arial" w:hAnsi="Century Gothic" w:cs="Arial"/>
          <w:bCs/>
          <w:color w:val="000000" w:themeColor="text1"/>
          <w:sz w:val="24"/>
          <w:szCs w:val="24"/>
          <w:lang w:val="es-ES"/>
        </w:rPr>
        <w:t xml:space="preserve">, en los diversos ayuntamientos de la entidad. Lo anterior </w:t>
      </w:r>
      <w:r w:rsidR="00BA3F47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al tenor de la siguiente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:</w:t>
      </w:r>
    </w:p>
    <w:p w:rsidR="00B66B2E" w:rsidRPr="00602BEB" w:rsidRDefault="00BA3F47" w:rsidP="00BA3F47">
      <w:pPr>
        <w:spacing w:line="36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EXPOSICIÓN DE MOTIVOS:</w:t>
      </w:r>
    </w:p>
    <w:p w:rsidR="00B66B2E" w:rsidRPr="00602BEB" w:rsidRDefault="00B66B2E" w:rsidP="00B66B2E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 xml:space="preserve">I.- 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De acuerdo al Artículo 19 de la Convención Sobre los Derechos del Niño de 1989</w:t>
      </w:r>
      <w:r w:rsidR="00AF5CDC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del Fondo de las Naciones Unidas para la Infancia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, sugiere la adopción de medidas legislativas, administrativas, sociales y educativas para proteger a los niños y niñas contra toda forma de violencia y abuso. Por ello, y en concordancia con lo establecido por UNICEF, debemos como gobierno, “tener capacidad y compromiso” para proteger a niños y niñas, mediante la creación de políticas públicas, la aplicación de leyes y la </w:t>
      </w:r>
      <w:r w:rsidR="00F941B1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asignación efectiva de </w:t>
      </w:r>
      <w:r w:rsidR="00F941B1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lastRenderedPageBreak/>
        <w:t>recursos;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en ese sentido, </w:t>
      </w:r>
      <w:r w:rsidR="00BA3F47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la presente 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Iniciativa </w:t>
      </w:r>
      <w:r w:rsidR="00BA3F47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plantea la 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creación de un fondo de apoyo municipal para la niñez</w:t>
      </w:r>
      <w:r w:rsidR="007D52DA" w:rsidRPr="00602BEB">
        <w:rPr>
          <w:rFonts w:ascii="Century Gothic" w:hAnsi="Century Gothic"/>
          <w:color w:val="000000" w:themeColor="text1"/>
          <w:lang w:val="es-MX"/>
        </w:rPr>
        <w:t>cuyos recursos se destinen a otorgar mayores apoyos educativos, médicos y asistenciales a sus beneficiarios y contribuyan a mejorar su calidad de vida en el entorno familiar y social.</w:t>
      </w:r>
    </w:p>
    <w:p w:rsidR="00B66B2E" w:rsidRPr="00602BEB" w:rsidRDefault="00B66B2E" w:rsidP="00B66B2E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</w:pPr>
      <w:r w:rsidRPr="00602BEB">
        <w:rPr>
          <w:rFonts w:ascii="Century Gothic" w:hAnsi="Century Gothic"/>
          <w:b/>
          <w:color w:val="000000" w:themeColor="text1"/>
          <w:sz w:val="24"/>
          <w:szCs w:val="24"/>
          <w:shd w:val="clear" w:color="auto" w:fill="FFFFFF"/>
          <w:lang w:val="es-ES"/>
        </w:rPr>
        <w:t>II.-</w:t>
      </w:r>
      <w:r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 xml:space="preserve"> Miles de niñas, niños y adolescentes en México, crecen en un contexto de violencia cotidiana que deja secuelas profundas e incluso termina cada año con la vida de centenares de ellos. De acuerdo al Estudio del Secretariado General de las Naciones Unidas</w:t>
      </w:r>
      <w:r w:rsidR="00E9560C"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 xml:space="preserve"> sobre la Violencia Contra los  N</w:t>
      </w:r>
      <w:r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>iños y el Informe Nacional de Violencia y Salud, en México, 2 niños con menos de 14 años de edad mueren cada día a causa de la violencia.</w:t>
      </w:r>
      <w:r w:rsidR="00F941B1"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 xml:space="preserve"> En Chihuahua 80% de la niñez </w:t>
      </w:r>
      <w:r w:rsidR="006A5BA3"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>sufre o está expuesta a violencia familiar,a</w:t>
      </w:r>
      <w:r w:rsidR="007D52DA"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 xml:space="preserve">nte este escenario, debemos </w:t>
      </w:r>
      <w:r w:rsidR="006A5BA3"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>trabajar a marcha forzada</w:t>
      </w:r>
      <w:r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 xml:space="preserve"> para plantear soluciones concretas, tangibles y de alto impacto para la protección de los niños y adolescentes de nuestro Estado.</w:t>
      </w:r>
    </w:p>
    <w:p w:rsidR="00B66B2E" w:rsidRPr="00602BEB" w:rsidRDefault="00B66B2E" w:rsidP="00B66B2E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/>
          <w:b/>
          <w:color w:val="000000" w:themeColor="text1"/>
          <w:sz w:val="24"/>
          <w:szCs w:val="24"/>
          <w:shd w:val="clear" w:color="auto" w:fill="FFFFFF"/>
          <w:lang w:val="es-ES"/>
        </w:rPr>
        <w:t>III.-</w:t>
      </w:r>
      <w:r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 xml:space="preserve"> En Chihuahua contamos con herramientas e instituciones, las cuales precisamente sirven para generar y garantizar las óptimas condiciones de vida para los Chihuahuenses. Como legisladoras y legisladores estamos plenamente conscientes de ello, y también </w:t>
      </w:r>
      <w:r w:rsidR="00230E3A"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 xml:space="preserve">sabemos </w:t>
      </w:r>
      <w:r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>que es nuestra responsabilidad ajustar el marco jurídico regulatorio, las normas y diversas disposiciones legislativas para maximizar el principio, del derecho a la protección y acceso a una vida plena, digna y feliz</w:t>
      </w:r>
      <w:r w:rsidR="007D52DA" w:rsidRPr="00602BEB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  <w:lang w:val="es-ES"/>
        </w:rPr>
        <w:t>, promoviendo además, como es el caso, la participación y concurrencia de las autoridades estatales y municipales en su aplicación.</w:t>
      </w:r>
    </w:p>
    <w:p w:rsidR="001B3D3D" w:rsidRPr="00602BEB" w:rsidRDefault="00B66B2E" w:rsidP="00B66B2E">
      <w:pPr>
        <w:spacing w:line="360" w:lineRule="auto"/>
        <w:jc w:val="both"/>
        <w:rPr>
          <w:rFonts w:ascii="Century Gothic" w:hAnsi="Century Gothic" w:cs="Arial"/>
          <w:strike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IV.</w:t>
      </w:r>
      <w:r w:rsidR="00B34991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También,</w:t>
      </w:r>
      <w:r w:rsidR="00B34991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es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de imperativa consideración que se reconozca en la Ley de los Derechos de las N</w:t>
      </w:r>
      <w:r w:rsidR="006A5BA3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iñas, Niños y Adolescentes del </w:t>
      </w:r>
      <w:r w:rsidR="00AF5CDC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Estado</w:t>
      </w:r>
      <w:r w:rsidR="006A5BA3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de Chihuahua, </w:t>
      </w:r>
      <w:r w:rsidR="001B3D3D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el “F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ondo de Atención a Niñas y Niños hijos de las víctimas de la lucha contra el crimen (</w:t>
      </w:r>
      <w:r w:rsidRPr="00602BEB">
        <w:rPr>
          <w:rFonts w:ascii="Century Gothic" w:hAnsi="Century Gothic" w:cs="Arial"/>
          <w:i/>
          <w:color w:val="000000" w:themeColor="text1"/>
          <w:sz w:val="24"/>
          <w:szCs w:val="24"/>
          <w:lang w:val="es-ES"/>
        </w:rPr>
        <w:t>FANVI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)</w:t>
      </w:r>
      <w:r w:rsidR="001B3D3D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”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,</w:t>
      </w:r>
      <w:r w:rsidR="001B3D3D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creado mediante el Decreto No. 30/2010 I P.O.,</w:t>
      </w:r>
      <w:r w:rsidR="001B3D3D" w:rsidRPr="00602BEB">
        <w:rPr>
          <w:rStyle w:val="Refdenotaalpie"/>
          <w:rFonts w:ascii="Century Gothic" w:hAnsi="Century Gothic" w:cs="Arial"/>
          <w:color w:val="000000" w:themeColor="text1"/>
          <w:sz w:val="24"/>
          <w:szCs w:val="24"/>
          <w:lang w:val="es-ES"/>
        </w:rPr>
        <w:footnoteReference w:id="2"/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que opera y administra la Fiscalía General del Estado</w:t>
      </w:r>
      <w:r w:rsidR="00F15E96" w:rsidRPr="00602BEB">
        <w:rPr>
          <w:rStyle w:val="Refdenotaalpie"/>
          <w:rFonts w:ascii="Century Gothic" w:hAnsi="Century Gothic" w:cs="Arial"/>
          <w:color w:val="000000" w:themeColor="text1"/>
          <w:sz w:val="24"/>
          <w:szCs w:val="24"/>
          <w:lang w:val="es-ES"/>
        </w:rPr>
        <w:footnoteReference w:id="3"/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, el cual va encaminado a: </w:t>
      </w:r>
      <w:r w:rsidR="00D215AD"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>p</w:t>
      </w:r>
      <w:r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 xml:space="preserve">roteger a </w:t>
      </w:r>
      <w:r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lastRenderedPageBreak/>
        <w:t>las niñas, niños y adolescentes en situación de vulnerabilidad, dependientes directos económicamente de las víctimas</w:t>
      </w:r>
      <w:r w:rsidR="007D52DA"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 xml:space="preserve"> de la lucha contra el crimen; g</w:t>
      </w:r>
      <w:r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>arantizar la equidad y la igualdad de oportunidades de cada uno de estos niños, niñas y adolescentes en situación de vulnerabilidad.Apoyar para un mejor desempeño académico e incrementar el acceso de estudiantes a escuelas públicas del nivel básico y media superior y sup</w:t>
      </w:r>
      <w:r w:rsidR="007D52DA"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>erior en el Estado de Chihuahua; b</w:t>
      </w:r>
      <w:r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>rindar apoyo académico a niñas, niños y adolescentes de nivel básico, media superior y superior para reducir la deserción escolar, evitar el rezago educativo generando apoyo para aprobar las asignaturas y fomentar la continuidad de los estudiantes en el nivel educativo y</w:t>
      </w:r>
      <w:r w:rsidR="007D52DA"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>;</w:t>
      </w:r>
      <w:r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 xml:space="preserve"> a fortalecer los procesos de atención integral a las víctimas indirectas en el Estado de Chihuahua, favoreciendo el desarrollo de herramientas y habilidades para propiciar la estabilidad mental, psicológica, social y educativa a las niñas, niños y adolescentes, a sus familias y a su comunidad para reconstruir su tejido social y familiar.</w:t>
      </w:r>
    </w:p>
    <w:p w:rsidR="00B66B2E" w:rsidRPr="00602BEB" w:rsidRDefault="00BF77A1" w:rsidP="00B66B2E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MX"/>
        </w:rPr>
      </w:pPr>
      <w:r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>Al contemplar el reconocimiento, implementación y ejecución de este fideicomiso</w:t>
      </w:r>
      <w:r w:rsidR="001B3D3D"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>,</w:t>
      </w:r>
      <w:r w:rsidRPr="00602BEB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/>
        </w:rPr>
        <w:t xml:space="preserve"> como parte de las atribuciones que </w:t>
      </w:r>
      <w:r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>corresponden de manera concurrentea las autoridades estatales y municipales en e</w:t>
      </w:r>
      <w:r w:rsidR="001B3D3D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ste ordenamiento, </w:t>
      </w:r>
      <w:r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existirán mayores </w:t>
      </w:r>
      <w:r w:rsidR="001B3D3D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herramientas </w:t>
      </w:r>
      <w:r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para </w:t>
      </w:r>
      <w:r w:rsidR="001B3D3D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la creación de condiciones favorables que permitan abonar a mejorar la calidad de </w:t>
      </w:r>
      <w:r w:rsidR="006A5BA3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vida personal, familiar y social </w:t>
      </w:r>
      <w:r w:rsidR="001B3D3D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>atendiendo al interés superior del menor.</w:t>
      </w:r>
    </w:p>
    <w:p w:rsidR="00B66B2E" w:rsidRPr="00602BEB" w:rsidRDefault="00B66B2E" w:rsidP="00B66B2E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 xml:space="preserve">V.- 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La presente Iniciativapretende armonizar los objetivos expuestos en</w:t>
      </w:r>
      <w:r w:rsidR="007D52DA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referida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Ley, en materia de derechos de la niñez</w:t>
      </w:r>
      <w:r w:rsidR="007D52DA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y adolescencia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, mediante la ejecución de un fondo económico, asignado a los 67 municipios del Estado de Chihuahua</w:t>
      </w:r>
      <w:r w:rsidR="001B3D3D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que deseen contar con mayores ele</w:t>
      </w:r>
      <w:r w:rsidR="00F15E96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mentos y herramientas para abonar a este sector poblacional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. Con ello, como legisladores nos daremos a la tarea, de revisar detenidamente cada una de las necesidades municipales en materia de apoyo a</w:t>
      </w:r>
      <w:r w:rsidR="00F15E96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niñas, niños y adolescentes</w:t>
      </w:r>
      <w:r w:rsidR="006A5BA3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. 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Es por ello que </w:t>
      </w:r>
      <w:r w:rsidR="007D52DA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convocamos </w:t>
      </w:r>
      <w:r w:rsidR="006A5BA3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lastRenderedPageBreak/>
        <w:t>firme y respetuosamente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a las demás fuerzas políticas que conforman esta soberanía, a sumarse a esta I</w:t>
      </w:r>
      <w:r w:rsidR="006A5BA3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niciativa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para lograr una pronta aprobación, y que </w:t>
      </w:r>
      <w:r w:rsidR="006A5BA3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atendamos </w:t>
      </w:r>
      <w:r w:rsidR="00F15E96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durante el año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las diversas necesidades que nuestros municipios enfrentan, de tal manera que contemos con elementos suficientes para cuando tengamos que tomar decisiones presupuestales. ¡Nuestra niñez</w:t>
      </w:r>
      <w:r w:rsidR="00F15E96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y juventud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no puede esperar! </w:t>
      </w:r>
    </w:p>
    <w:p w:rsidR="00B66B2E" w:rsidRPr="00602BEB" w:rsidRDefault="006A5BA3" w:rsidP="00B66B2E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Por lo anteriormente expuesto, </w:t>
      </w:r>
      <w:r w:rsidR="00B66637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sometemos a consideración de ésta 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Asamblea </w:t>
      </w:r>
      <w:r w:rsidR="00B66637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el siguiente proyecto de:</w:t>
      </w:r>
    </w:p>
    <w:p w:rsidR="00B66B2E" w:rsidRPr="00602BEB" w:rsidRDefault="00B66B2E" w:rsidP="00B66B2E">
      <w:pPr>
        <w:spacing w:line="36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DECRETO</w:t>
      </w:r>
    </w:p>
    <w:p w:rsidR="00E96B69" w:rsidRPr="00602BEB" w:rsidRDefault="00416BC8" w:rsidP="00B66B2E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ARTÍCULO ÚNICO.-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Se</w:t>
      </w:r>
      <w:r w:rsidR="00B34991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adicionan </w:t>
      </w:r>
      <w:r w:rsidR="00B34991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las fracciones XXVI y XXVII al artículo 123,</w:t>
      </w:r>
      <w:r w:rsidR="00EC2154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y se reformala fracción IX</w:t>
      </w:r>
      <w:r w:rsidR="00B34991"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del artículo 126</w:t>
      </w:r>
      <w:r w:rsidR="00B34991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, 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de la Ley de Derechos de Niñas, Niños y Adolescentes del Estado de Chihuahua para quedar como sigue: </w:t>
      </w:r>
    </w:p>
    <w:p w:rsidR="00B66B2E" w:rsidRPr="00B34991" w:rsidRDefault="008F14B0" w:rsidP="00B66B2E">
      <w:pPr>
        <w:spacing w:line="360" w:lineRule="auto"/>
        <w:jc w:val="both"/>
        <w:rPr>
          <w:rFonts w:ascii="Century Gothic" w:hAnsi="Century Gothic" w:cs="Arial"/>
          <w:b/>
          <w:color w:val="000000" w:themeColor="text1"/>
          <w:sz w:val="24"/>
          <w:szCs w:val="24"/>
          <w:lang w:val="es-MX"/>
        </w:rPr>
      </w:pPr>
      <w:r w:rsidRPr="00B34991">
        <w:rPr>
          <w:rFonts w:ascii="Century Gothic" w:hAnsi="Century Gothic"/>
          <w:color w:val="000000" w:themeColor="text1"/>
          <w:sz w:val="24"/>
          <w:szCs w:val="24"/>
          <w:lang w:val="es-MX"/>
        </w:rPr>
        <w:t>Artículo 123. Corresponden a las autoridades estatales y municipales de manera concurrente, las atribuciones siguientes:</w:t>
      </w:r>
    </w:p>
    <w:p w:rsidR="00B66B2E" w:rsidRPr="00602BEB" w:rsidRDefault="00A8251B" w:rsidP="00B66B2E">
      <w:pPr>
        <w:spacing w:line="360" w:lineRule="auto"/>
        <w:jc w:val="both"/>
        <w:rPr>
          <w:rFonts w:ascii="Century Gothic" w:hAnsi="Century Gothic" w:cs="Arial"/>
          <w:b/>
          <w:color w:val="000000" w:themeColor="text1"/>
          <w:sz w:val="24"/>
          <w:szCs w:val="24"/>
          <w:lang w:val="es-MX"/>
        </w:rPr>
      </w:pPr>
      <w:r>
        <w:rPr>
          <w:rFonts w:ascii="Century Gothic" w:hAnsi="Century Gothic" w:cs="Arial"/>
          <w:b/>
          <w:color w:val="000000" w:themeColor="text1"/>
          <w:sz w:val="24"/>
          <w:szCs w:val="24"/>
          <w:lang w:val="es-MX"/>
        </w:rPr>
        <w:t>I a XXV</w:t>
      </w:r>
      <w:r w:rsidR="006A5BA3"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MX"/>
        </w:rPr>
        <w:t>…</w:t>
      </w:r>
    </w:p>
    <w:p w:rsidR="00035E1F" w:rsidRPr="00B34991" w:rsidRDefault="0063067C" w:rsidP="00B66B2E">
      <w:pPr>
        <w:spacing w:line="360" w:lineRule="auto"/>
        <w:jc w:val="both"/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</w:pPr>
      <w:r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 xml:space="preserve">XXVI. </w:t>
      </w:r>
      <w:r w:rsidR="0048308B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 xml:space="preserve">Implementar dentro del ámbito de sus competencias la creación, diseño y operatividad de un Fondo municipal </w:t>
      </w:r>
      <w:r w:rsidR="001A5310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 xml:space="preserve">de apoyo para </w:t>
      </w:r>
      <w:r w:rsidR="00A8251B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>la niñez</w:t>
      </w:r>
      <w:r w:rsidR="00CF50DC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>, el cual deberá ser incluido en los proyectos de Presupuesto de Egresos de cada ejercicio fiscal</w:t>
      </w:r>
      <w:r w:rsidR="001A5310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 xml:space="preserve">cuyos recursos habrán de destinarse </w:t>
      </w:r>
      <w:r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 xml:space="preserve">para </w:t>
      </w:r>
      <w:r w:rsidR="001A5310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>otorga</w:t>
      </w:r>
      <w:r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>r mayores apoyos educativos, médicos y</w:t>
      </w:r>
      <w:r w:rsidR="001A5310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 xml:space="preserve"> asistenciales </w:t>
      </w:r>
      <w:r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>a sus beneficiarios a fin de</w:t>
      </w:r>
      <w:r w:rsidR="001A5310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 xml:space="preserve"> contribuir a q</w:t>
      </w:r>
      <w:r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>ue mejoren la calidad de vida en su</w:t>
      </w:r>
      <w:r w:rsidR="001A5310" w:rsidRPr="00B34991">
        <w:rPr>
          <w:rFonts w:ascii="Century Gothic" w:hAnsi="Century Gothic"/>
          <w:b/>
          <w:i/>
          <w:color w:val="000000" w:themeColor="text1"/>
          <w:sz w:val="24"/>
          <w:szCs w:val="24"/>
          <w:lang w:val="es-MX"/>
        </w:rPr>
        <w:t xml:space="preserve"> entorno familiar y social.</w:t>
      </w:r>
    </w:p>
    <w:p w:rsidR="00B66B2E" w:rsidRPr="00B34991" w:rsidRDefault="0063067C" w:rsidP="00B66B2E">
      <w:pPr>
        <w:spacing w:line="360" w:lineRule="auto"/>
        <w:jc w:val="both"/>
        <w:rPr>
          <w:rFonts w:ascii="Century Gothic" w:hAnsi="Century Gothic" w:cs="Arial"/>
          <w:i/>
          <w:color w:val="000000" w:themeColor="text1"/>
          <w:sz w:val="24"/>
          <w:szCs w:val="24"/>
          <w:lang w:val="es-ES"/>
        </w:rPr>
      </w:pPr>
      <w:r w:rsidRPr="00B34991">
        <w:rPr>
          <w:rFonts w:ascii="Century Gothic" w:hAnsi="Century Gothic" w:cs="Arial"/>
          <w:b/>
          <w:i/>
          <w:color w:val="000000" w:themeColor="text1"/>
          <w:sz w:val="24"/>
          <w:szCs w:val="24"/>
          <w:lang w:val="es-ES"/>
        </w:rPr>
        <w:t>XXVII.</w:t>
      </w:r>
      <w:r w:rsidR="00B66B2E" w:rsidRPr="00B34991">
        <w:rPr>
          <w:rFonts w:ascii="Century Gothic" w:hAnsi="Century Gothic" w:cs="Arial"/>
          <w:b/>
          <w:i/>
          <w:color w:val="000000" w:themeColor="text1"/>
          <w:sz w:val="24"/>
          <w:szCs w:val="24"/>
          <w:lang w:val="es-ES"/>
        </w:rPr>
        <w:t>Reconocer, implementar y ejecutar los mecani</w:t>
      </w:r>
      <w:r w:rsidR="008F14B0" w:rsidRPr="00B34991">
        <w:rPr>
          <w:rFonts w:ascii="Century Gothic" w:hAnsi="Century Gothic" w:cs="Arial"/>
          <w:b/>
          <w:i/>
          <w:color w:val="000000" w:themeColor="text1"/>
          <w:sz w:val="24"/>
          <w:szCs w:val="24"/>
          <w:lang w:val="es-ES"/>
        </w:rPr>
        <w:t>smos de función del Fideicomiso denominado“</w:t>
      </w:r>
      <w:r w:rsidR="00B66B2E" w:rsidRPr="00B34991">
        <w:rPr>
          <w:rFonts w:ascii="Century Gothic" w:hAnsi="Century Gothic" w:cs="Arial"/>
          <w:b/>
          <w:i/>
          <w:color w:val="000000" w:themeColor="text1"/>
          <w:sz w:val="24"/>
          <w:szCs w:val="24"/>
          <w:lang w:val="es-ES"/>
        </w:rPr>
        <w:t>Fondo de Atención a Niñas y Niños hijos de las víctimas de la lucha contra el crimen</w:t>
      </w:r>
      <w:r w:rsidR="008F14B0" w:rsidRPr="00B34991">
        <w:rPr>
          <w:rFonts w:ascii="Century Gothic" w:hAnsi="Century Gothic" w:cs="Arial"/>
          <w:b/>
          <w:i/>
          <w:color w:val="000000" w:themeColor="text1"/>
          <w:sz w:val="24"/>
          <w:szCs w:val="24"/>
          <w:lang w:val="es-ES"/>
        </w:rPr>
        <w:t>”</w:t>
      </w:r>
      <w:r w:rsidR="00B66B2E" w:rsidRPr="00B34991">
        <w:rPr>
          <w:rFonts w:ascii="Century Gothic" w:hAnsi="Century Gothic" w:cs="Arial"/>
          <w:b/>
          <w:i/>
          <w:color w:val="000000" w:themeColor="text1"/>
          <w:sz w:val="24"/>
          <w:szCs w:val="24"/>
          <w:lang w:val="es-ES"/>
        </w:rPr>
        <w:t>, de la Fiscalía General del Estado de Chihuahua</w:t>
      </w:r>
      <w:r w:rsidR="00B66B2E" w:rsidRPr="00B34991">
        <w:rPr>
          <w:rFonts w:ascii="Century Gothic" w:hAnsi="Century Gothic" w:cs="Arial"/>
          <w:i/>
          <w:color w:val="000000" w:themeColor="text1"/>
          <w:sz w:val="24"/>
          <w:szCs w:val="24"/>
          <w:lang w:val="es-ES"/>
        </w:rPr>
        <w:t>.</w:t>
      </w:r>
    </w:p>
    <w:p w:rsidR="008F14B0" w:rsidRPr="00B34991" w:rsidRDefault="008F14B0" w:rsidP="00B66B2E">
      <w:pPr>
        <w:spacing w:line="360" w:lineRule="auto"/>
        <w:jc w:val="both"/>
        <w:rPr>
          <w:rFonts w:ascii="Century Gothic" w:hAnsi="Century Gothic" w:cs="Arial"/>
          <w:b/>
          <w:color w:val="000000" w:themeColor="text1"/>
          <w:sz w:val="24"/>
          <w:szCs w:val="24"/>
          <w:lang w:val="es-MX"/>
        </w:rPr>
      </w:pPr>
      <w:r w:rsidRPr="00B34991">
        <w:rPr>
          <w:rFonts w:ascii="Century Gothic" w:hAnsi="Century Gothic"/>
          <w:color w:val="000000" w:themeColor="text1"/>
          <w:sz w:val="24"/>
          <w:szCs w:val="24"/>
          <w:lang w:val="es-MX"/>
        </w:rPr>
        <w:lastRenderedPageBreak/>
        <w:t>Artículo 126. Corresponde a los municipios, de conformidad con esta Ley y las leyes estatales en la materia, las atribuciones siguientes:</w:t>
      </w:r>
    </w:p>
    <w:p w:rsidR="00B66B2E" w:rsidRPr="00602BEB" w:rsidRDefault="007965BC" w:rsidP="00B66B2E">
      <w:pPr>
        <w:spacing w:line="360" w:lineRule="auto"/>
        <w:jc w:val="both"/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</w:pPr>
      <w:r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I a VIII</w:t>
      </w:r>
      <w:r w:rsidR="00602BEB"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…</w:t>
      </w:r>
    </w:p>
    <w:p w:rsidR="00035E1F" w:rsidRPr="00602BEB" w:rsidRDefault="005A2387" w:rsidP="00B66B2E">
      <w:pPr>
        <w:spacing w:line="360" w:lineRule="auto"/>
        <w:jc w:val="both"/>
        <w:rPr>
          <w:rFonts w:ascii="Century Gothic" w:hAnsi="Century Gothic"/>
          <w:i/>
          <w:color w:val="000000" w:themeColor="text1"/>
          <w:sz w:val="24"/>
          <w:szCs w:val="24"/>
          <w:lang w:val="es-ES"/>
        </w:rPr>
      </w:pPr>
      <w:r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I</w:t>
      </w:r>
      <w:r>
        <w:rPr>
          <w:rFonts w:ascii="Century Gothic" w:hAnsi="Century Gothic" w:cs="Arial"/>
          <w:b/>
          <w:i/>
          <w:color w:val="000000" w:themeColor="text1"/>
          <w:sz w:val="24"/>
          <w:szCs w:val="24"/>
          <w:lang w:val="es-ES"/>
        </w:rPr>
        <w:t>X</w:t>
      </w:r>
      <w:r w:rsidR="00035E1F" w:rsidRPr="00602BEB">
        <w:rPr>
          <w:rFonts w:ascii="Century Gothic" w:hAnsi="Century Gothic" w:cs="Arial"/>
          <w:b/>
          <w:i/>
          <w:color w:val="000000" w:themeColor="text1"/>
          <w:sz w:val="24"/>
          <w:szCs w:val="24"/>
          <w:lang w:val="es-ES"/>
        </w:rPr>
        <w:t>.</w:t>
      </w:r>
      <w:r w:rsidR="00035E1F" w:rsidRPr="00602BEB">
        <w:rPr>
          <w:rFonts w:ascii="Century Gothic" w:hAnsi="Century Gothic"/>
          <w:i/>
          <w:color w:val="000000" w:themeColor="text1"/>
          <w:sz w:val="24"/>
          <w:szCs w:val="24"/>
          <w:lang w:val="es-ES"/>
        </w:rPr>
        <w:t xml:space="preserve">Coordinar con las autoridades de los órdenes de gobierno la implementación, y ejecución de las acciones y políticas públicas que deriven de la presente ley, </w:t>
      </w:r>
      <w:r w:rsidR="00035E1F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>así como la</w:t>
      </w:r>
      <w:r w:rsidR="0063067C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 xml:space="preserve"> operación</w:t>
      </w:r>
      <w:r w:rsidR="00035E1F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 xml:space="preserve"> de fondos y fideicomisos de apoyo para </w:t>
      </w:r>
      <w:r w:rsidR="0063067C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 xml:space="preserve">niñas, niños y adolescentes </w:t>
      </w:r>
      <w:r w:rsidR="00035E1F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 xml:space="preserve">que resulten </w:t>
      </w:r>
      <w:r w:rsidR="0063067C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 xml:space="preserve">aplicables </w:t>
      </w:r>
      <w:r w:rsidR="008F14B0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 xml:space="preserve">en la </w:t>
      </w:r>
      <w:r w:rsidR="00B66637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>entidad y su</w:t>
      </w:r>
      <w:r w:rsidR="008F14B0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>s diversos municipios</w:t>
      </w:r>
      <w:r w:rsidR="00B66637" w:rsidRPr="00602BEB">
        <w:rPr>
          <w:rFonts w:ascii="Century Gothic" w:hAnsi="Century Gothic"/>
          <w:b/>
          <w:i/>
          <w:color w:val="000000" w:themeColor="text1"/>
          <w:sz w:val="24"/>
          <w:szCs w:val="24"/>
          <w:lang w:val="es-ES"/>
        </w:rPr>
        <w:t>.</w:t>
      </w:r>
    </w:p>
    <w:p w:rsidR="00B66B2E" w:rsidRPr="00602BEB" w:rsidRDefault="00B66B2E" w:rsidP="00B66B2E">
      <w:pPr>
        <w:spacing w:line="36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t>TRANSITORIOS</w:t>
      </w:r>
    </w:p>
    <w:p w:rsidR="007F6929" w:rsidRPr="00602BEB" w:rsidRDefault="007F6929" w:rsidP="007F6929">
      <w:pPr>
        <w:spacing w:line="360" w:lineRule="auto"/>
        <w:jc w:val="both"/>
        <w:rPr>
          <w:rFonts w:ascii="Century Gothic" w:hAnsi="Century Gothic"/>
          <w:b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/>
          <w:b/>
          <w:color w:val="000000" w:themeColor="text1"/>
          <w:sz w:val="24"/>
          <w:szCs w:val="24"/>
          <w:lang w:val="es-ES"/>
        </w:rPr>
        <w:t xml:space="preserve">PRIMERO. </w:t>
      </w:r>
      <w:r w:rsidRPr="00BD3ACC">
        <w:rPr>
          <w:rFonts w:ascii="Century Gothic" w:hAnsi="Century Gothic"/>
          <w:color w:val="000000" w:themeColor="text1"/>
          <w:sz w:val="24"/>
          <w:szCs w:val="24"/>
          <w:lang w:val="es-ES"/>
        </w:rPr>
        <w:t>EI presente Decreto entrará en vigor al día siguiente de su publicación en el Periódico Oficial del Estado.</w:t>
      </w:r>
    </w:p>
    <w:p w:rsidR="007F6929" w:rsidRPr="00602BEB" w:rsidRDefault="007F6929" w:rsidP="00B66B2E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/>
          <w:b/>
          <w:color w:val="000000" w:themeColor="text1"/>
          <w:sz w:val="24"/>
          <w:szCs w:val="24"/>
          <w:lang w:val="es-ES"/>
        </w:rPr>
        <w:t>SEGUNDO.</w:t>
      </w:r>
      <w:r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 xml:space="preserve"> El Poder Ejecutivo del Estado de Chihuahua, a través de las instancias competentes deberá promover entre los sesenta y siete Municipios de la entidad la creación del fondo municipal de apoyo para niñas, niños y adolescentes, y en su caso emitir las reglas de operación correspondientes conforme a lo establecido en el Artí</w:t>
      </w:r>
      <w:r w:rsidR="008F14B0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>culo 123 fracción XXVI</w:t>
      </w:r>
      <w:r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 xml:space="preserve"> de la Ley de los Derechos de Niñas, Niños y Adolescentes del Estado de Chihuahua y demás leyes en la materia</w:t>
      </w:r>
      <w:r w:rsidR="006918FF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>.</w:t>
      </w:r>
    </w:p>
    <w:p w:rsidR="00B66B2E" w:rsidRPr="00602BEB" w:rsidRDefault="00B66B2E" w:rsidP="00B66B2E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/>
          <w:b/>
          <w:color w:val="000000" w:themeColor="text1"/>
          <w:sz w:val="24"/>
          <w:szCs w:val="24"/>
          <w:lang w:val="es-ES"/>
        </w:rPr>
        <w:t>TERCERO.</w:t>
      </w:r>
      <w:r w:rsidR="006918FF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>Para la operatividad del “Fondo Municipal de Apoyo a niñas</w:t>
      </w:r>
      <w:r w:rsidR="007F6929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>, niños y adolescentes</w:t>
      </w:r>
      <w:r w:rsidR="006918FF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>”</w:t>
      </w:r>
      <w:r w:rsidR="007F6929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>, el Poder Ejecutivo del Estado y los</w:t>
      </w:r>
      <w:r w:rsidR="006918FF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 xml:space="preserve"> Municipios</w:t>
      </w:r>
      <w:r w:rsidR="007F6929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 xml:space="preserve"> que deseen coordinar e</w:t>
      </w:r>
      <w:r w:rsidR="006918FF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 xml:space="preserve"> implementar dicho</w:t>
      </w:r>
      <w:r w:rsidR="007F6929" w:rsidRPr="00602BEB">
        <w:rPr>
          <w:rFonts w:ascii="Century Gothic" w:hAnsi="Century Gothic"/>
          <w:color w:val="000000" w:themeColor="text1"/>
          <w:sz w:val="24"/>
          <w:szCs w:val="24"/>
          <w:lang w:val="es-ES"/>
        </w:rPr>
        <w:t xml:space="preserve"> Fondo, deberán prever </w:t>
      </w:r>
      <w:r w:rsidR="007F6929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los montos </w:t>
      </w:r>
      <w:r w:rsidR="006918FF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a asignar en </w:t>
      </w:r>
      <w:r w:rsidR="007F6929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el </w:t>
      </w:r>
      <w:r w:rsidR="006918FF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Proyecto de </w:t>
      </w:r>
      <w:r w:rsidR="007F6929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 xml:space="preserve">Presupuesto de Egresos del Estado y Municipio correspondiente </w:t>
      </w:r>
      <w:r w:rsidR="006918FF" w:rsidRPr="00602BEB">
        <w:rPr>
          <w:rFonts w:ascii="Century Gothic" w:hAnsi="Century Gothic"/>
          <w:color w:val="000000" w:themeColor="text1"/>
          <w:sz w:val="24"/>
          <w:szCs w:val="24"/>
          <w:lang w:val="es-MX"/>
        </w:rPr>
        <w:t>para el siguiente ejercicio fiscal y años subsecuentes, a fin de que una vez autorizada la partida específica puedan comenzar su operación a partir del día 1 de enero del año 2020.</w:t>
      </w:r>
    </w:p>
    <w:p w:rsidR="00B66B2E" w:rsidRPr="00602BEB" w:rsidRDefault="00B66B2E" w:rsidP="00B66B2E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ES"/>
        </w:rPr>
      </w:pPr>
      <w:r w:rsidRPr="00602BEB">
        <w:rPr>
          <w:rFonts w:ascii="Century Gothic" w:hAnsi="Century Gothic" w:cs="Arial"/>
          <w:b/>
          <w:color w:val="000000" w:themeColor="text1"/>
          <w:sz w:val="24"/>
          <w:szCs w:val="24"/>
          <w:lang w:val="es-ES"/>
        </w:rPr>
        <w:lastRenderedPageBreak/>
        <w:t>D A D O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en el Salón de Sesiones </w:t>
      </w:r>
      <w:r w:rsid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del Poder Legislativo a los </w:t>
      </w:r>
      <w:r w:rsidR="00AF5CDC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nueve</w:t>
      </w:r>
      <w:r w:rsid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>días del mes de mayo</w:t>
      </w:r>
      <w:r w:rsidRPr="00602BEB">
        <w:rPr>
          <w:rFonts w:ascii="Century Gothic" w:hAnsi="Century Gothic" w:cs="Arial"/>
          <w:color w:val="000000" w:themeColor="text1"/>
          <w:sz w:val="24"/>
          <w:szCs w:val="24"/>
          <w:lang w:val="es-ES"/>
        </w:rPr>
        <w:t xml:space="preserve"> del año 2019.</w:t>
      </w:r>
    </w:p>
    <w:p w:rsidR="006918FF" w:rsidRPr="00110862" w:rsidRDefault="006918FF" w:rsidP="00B66B2E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:rsidR="00B66B2E" w:rsidRPr="00110862" w:rsidRDefault="00B66B2E" w:rsidP="00B66B2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  <w:r w:rsidRPr="00110862">
        <w:rPr>
          <w:rFonts w:ascii="Century Gothic" w:hAnsi="Century Gothic" w:cs="Arial"/>
          <w:b/>
          <w:sz w:val="24"/>
          <w:szCs w:val="24"/>
          <w:lang w:val="es-ES"/>
        </w:rPr>
        <w:t xml:space="preserve">ATENTAMENTE </w:t>
      </w:r>
    </w:p>
    <w:p w:rsidR="00B66B2E" w:rsidRDefault="00B66B2E" w:rsidP="00B66B2E">
      <w:pPr>
        <w:spacing w:line="360" w:lineRule="auto"/>
        <w:rPr>
          <w:rFonts w:ascii="Century Gothic" w:hAnsi="Century Gothic" w:cs="Arial"/>
          <w:b/>
          <w:sz w:val="24"/>
          <w:szCs w:val="24"/>
          <w:lang w:val="es-ES"/>
        </w:rPr>
      </w:pPr>
    </w:p>
    <w:p w:rsidR="00B66B2E" w:rsidRDefault="00B66B2E" w:rsidP="00B66B2E">
      <w:pPr>
        <w:spacing w:line="360" w:lineRule="auto"/>
        <w:rPr>
          <w:rFonts w:ascii="Century Gothic" w:hAnsi="Century Gothic" w:cs="Arial"/>
          <w:b/>
          <w:sz w:val="24"/>
          <w:szCs w:val="24"/>
          <w:lang w:val="es-ES"/>
        </w:rPr>
      </w:pPr>
    </w:p>
    <w:p w:rsidR="00B66B2E" w:rsidRDefault="00B66B2E" w:rsidP="00B66B2E">
      <w:pPr>
        <w:spacing w:line="360" w:lineRule="auto"/>
        <w:rPr>
          <w:rFonts w:ascii="Century Gothic" w:hAnsi="Century Gothic" w:cs="Arial"/>
          <w:b/>
          <w:sz w:val="24"/>
          <w:szCs w:val="24"/>
          <w:lang w:val="es-ES"/>
        </w:rPr>
      </w:pPr>
    </w:p>
    <w:p w:rsidR="00B66B2E" w:rsidRDefault="00B66B2E" w:rsidP="00B66B2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  <w:r>
        <w:rPr>
          <w:rFonts w:ascii="Century Gothic" w:hAnsi="Century Gothic" w:cs="Arial"/>
          <w:b/>
          <w:sz w:val="24"/>
          <w:szCs w:val="24"/>
          <w:lang w:val="es-ES"/>
        </w:rPr>
        <w:t xml:space="preserve"> DIP. OBED LARA CHÁVEZ                           DIP. MARTHA JOSEFINA LEMUS GURROLA</w:t>
      </w:r>
    </w:p>
    <w:p w:rsidR="00B66B2E" w:rsidRDefault="00B66B2E" w:rsidP="00B66B2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</w:p>
    <w:p w:rsidR="00B66B2E" w:rsidRDefault="00B66B2E" w:rsidP="00B66B2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</w:p>
    <w:p w:rsidR="00B34991" w:rsidRDefault="00B34991" w:rsidP="00B66B2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</w:p>
    <w:p w:rsidR="00B34991" w:rsidRDefault="00B34991" w:rsidP="00B66B2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</w:p>
    <w:p w:rsidR="00B66B2E" w:rsidRDefault="00B66B2E" w:rsidP="00B66B2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</w:p>
    <w:p w:rsidR="00B66B2E" w:rsidRPr="00110862" w:rsidRDefault="00B66B2E" w:rsidP="00B66B2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  <w:r>
        <w:rPr>
          <w:rFonts w:ascii="Century Gothic" w:hAnsi="Century Gothic" w:cs="Arial"/>
          <w:b/>
          <w:sz w:val="24"/>
          <w:szCs w:val="24"/>
          <w:lang w:val="es-ES"/>
        </w:rPr>
        <w:t>DIP. MISAEL MÁYNEZ CANO</w:t>
      </w:r>
      <w:r>
        <w:rPr>
          <w:rFonts w:ascii="Century Gothic" w:hAnsi="Century Gothic" w:cs="Arial"/>
          <w:b/>
          <w:sz w:val="24"/>
          <w:szCs w:val="24"/>
          <w:lang w:val="es-ES"/>
        </w:rPr>
        <w:br/>
      </w:r>
    </w:p>
    <w:p w:rsidR="00BC580E" w:rsidRPr="00BC580E" w:rsidRDefault="00BC580E">
      <w:pPr>
        <w:tabs>
          <w:tab w:val="left" w:pos="1825"/>
        </w:tabs>
        <w:spacing w:after="0" w:line="360" w:lineRule="auto"/>
        <w:jc w:val="center"/>
        <w:rPr>
          <w:rFonts w:ascii="Century Gothic" w:hAnsi="Century Gothic" w:cs="Arial"/>
          <w:sz w:val="24"/>
          <w:szCs w:val="24"/>
          <w:lang w:val="es-ES"/>
        </w:rPr>
      </w:pPr>
    </w:p>
    <w:sectPr w:rsidR="00BC580E" w:rsidRPr="00BC580E" w:rsidSect="006E6B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473" w:rsidRDefault="00B42473" w:rsidP="001B3D3D">
      <w:pPr>
        <w:spacing w:after="0" w:line="240" w:lineRule="auto"/>
      </w:pPr>
      <w:r>
        <w:separator/>
      </w:r>
    </w:p>
  </w:endnote>
  <w:endnote w:type="continuationSeparator" w:id="1">
    <w:p w:rsidR="00B42473" w:rsidRDefault="00B42473" w:rsidP="001B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Arial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473" w:rsidRDefault="00B42473" w:rsidP="001B3D3D">
      <w:pPr>
        <w:spacing w:after="0" w:line="240" w:lineRule="auto"/>
      </w:pPr>
      <w:r>
        <w:separator/>
      </w:r>
    </w:p>
  </w:footnote>
  <w:footnote w:type="continuationSeparator" w:id="1">
    <w:p w:rsidR="00B42473" w:rsidRDefault="00B42473" w:rsidP="001B3D3D">
      <w:pPr>
        <w:spacing w:after="0" w:line="240" w:lineRule="auto"/>
      </w:pPr>
      <w:r>
        <w:continuationSeparator/>
      </w:r>
    </w:p>
  </w:footnote>
  <w:footnote w:id="2">
    <w:p w:rsidR="001B3D3D" w:rsidRPr="00F15E96" w:rsidRDefault="001B3D3D">
      <w:pPr>
        <w:pStyle w:val="Textonotapie"/>
        <w:rPr>
          <w:rFonts w:ascii="Century Gothic" w:hAnsi="Century Gothic"/>
          <w:lang w:val="es-MX"/>
        </w:rPr>
      </w:pPr>
      <w:r w:rsidRPr="00F15E96">
        <w:rPr>
          <w:rStyle w:val="Refdenotaalpie"/>
          <w:rFonts w:ascii="Century Gothic" w:hAnsi="Century Gothic"/>
          <w:sz w:val="16"/>
        </w:rPr>
        <w:footnoteRef/>
      </w:r>
      <w:r w:rsidRPr="00F15E96">
        <w:rPr>
          <w:rFonts w:ascii="Century Gothic" w:hAnsi="Century Gothic"/>
          <w:sz w:val="16"/>
        </w:rPr>
        <w:t xml:space="preserve">Decreto No.30/2010 I P.O., </w:t>
      </w:r>
      <w:hyperlink r:id="rId1" w:history="1">
        <w:r w:rsidRPr="00F15E96">
          <w:rPr>
            <w:rStyle w:val="Hipervnculo"/>
            <w:rFonts w:ascii="Century Gothic" w:hAnsi="Century Gothic"/>
            <w:color w:val="auto"/>
            <w:sz w:val="16"/>
          </w:rPr>
          <w:t>http://www.congresochihuahua.gob.mx/biblioteca/decretos/archivosDecretos/2731.pdf</w:t>
        </w:r>
      </w:hyperlink>
    </w:p>
  </w:footnote>
  <w:footnote w:id="3">
    <w:p w:rsidR="00F15E96" w:rsidRPr="00F15E96" w:rsidRDefault="00F15E96">
      <w:pPr>
        <w:pStyle w:val="Textonotapie"/>
        <w:rPr>
          <w:rFonts w:ascii="Century Gothic" w:hAnsi="Century Gothic"/>
          <w:sz w:val="16"/>
          <w:szCs w:val="16"/>
          <w:lang w:val="es-MX"/>
        </w:rPr>
      </w:pPr>
      <w:r w:rsidRPr="00F15E96">
        <w:rPr>
          <w:rStyle w:val="Refdenotaalpie"/>
        </w:rPr>
        <w:footnoteRef/>
      </w:r>
      <w:hyperlink r:id="rId2" w:history="1">
        <w:r w:rsidRPr="00F15E96">
          <w:rPr>
            <w:rStyle w:val="Hipervnculo"/>
            <w:rFonts w:ascii="Century Gothic" w:hAnsi="Century Gothic"/>
            <w:color w:val="auto"/>
            <w:sz w:val="16"/>
            <w:szCs w:val="16"/>
            <w:lang w:val="es-MX"/>
          </w:rPr>
          <w:t>http://fiscalia.chihuahua.gob.mx/inicio/?page_id=22120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E96" w:rsidRDefault="00F15E96" w:rsidP="00F15E96">
    <w:pPr>
      <w:pStyle w:val="Encabezado"/>
      <w:jc w:val="right"/>
      <w:rPr>
        <w:rFonts w:ascii="Edwardian Script ITC" w:hAnsi="Edwardian Script ITC"/>
        <w:sz w:val="32"/>
        <w:lang w:val="es-MX"/>
      </w:rPr>
    </w:pPr>
    <w:r w:rsidRPr="00F15E96">
      <w:rPr>
        <w:rFonts w:ascii="Edwardian Script ITC" w:hAnsi="Edwardian Script ITC"/>
        <w:sz w:val="32"/>
        <w:lang w:val="es-MX"/>
      </w:rPr>
      <w:t>“2019 Año Internacional de las Lenguas Indígenas”</w:t>
    </w:r>
  </w:p>
  <w:p w:rsidR="00B57B47" w:rsidRPr="00B57B47" w:rsidRDefault="00B57B47" w:rsidP="00F15E96">
    <w:pPr>
      <w:pStyle w:val="Encabezado"/>
      <w:jc w:val="right"/>
      <w:rPr>
        <w:rFonts w:ascii="Edwardian Script ITC" w:hAnsi="Edwardian Script ITC"/>
        <w:sz w:val="36"/>
        <w:lang w:val="es-MX"/>
      </w:rPr>
    </w:pPr>
    <w:r w:rsidRPr="00B57B47">
      <w:rPr>
        <w:rFonts w:ascii="Edwardian Script ITC" w:hAnsi="Edwardian Script ITC"/>
        <w:sz w:val="36"/>
        <w:lang w:val="es-MX"/>
      </w:rPr>
      <w:t>“Grupo Parlamentario del Partido Encuentro Social”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0506"/>
    <w:multiLevelType w:val="multilevel"/>
    <w:tmpl w:val="C758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84067D"/>
    <w:multiLevelType w:val="multilevel"/>
    <w:tmpl w:val="183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D4163"/>
    <w:multiLevelType w:val="hybridMultilevel"/>
    <w:tmpl w:val="D8827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12FFA"/>
    <w:multiLevelType w:val="hybridMultilevel"/>
    <w:tmpl w:val="3FB67404"/>
    <w:lvl w:ilvl="0" w:tplc="337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C19"/>
    <w:rsid w:val="00000870"/>
    <w:rsid w:val="000130E4"/>
    <w:rsid w:val="00022F5B"/>
    <w:rsid w:val="00030603"/>
    <w:rsid w:val="00035C94"/>
    <w:rsid w:val="00035E1F"/>
    <w:rsid w:val="000513CD"/>
    <w:rsid w:val="000527F5"/>
    <w:rsid w:val="00090EDB"/>
    <w:rsid w:val="00096BE9"/>
    <w:rsid w:val="000A5FEE"/>
    <w:rsid w:val="000B0845"/>
    <w:rsid w:val="000E4370"/>
    <w:rsid w:val="000F4D55"/>
    <w:rsid w:val="001214D6"/>
    <w:rsid w:val="0012222B"/>
    <w:rsid w:val="00142B62"/>
    <w:rsid w:val="00163832"/>
    <w:rsid w:val="001A2575"/>
    <w:rsid w:val="001A5310"/>
    <w:rsid w:val="001A5C34"/>
    <w:rsid w:val="001B3D3D"/>
    <w:rsid w:val="001D4B88"/>
    <w:rsid w:val="001E5299"/>
    <w:rsid w:val="001E600E"/>
    <w:rsid w:val="001F091F"/>
    <w:rsid w:val="001F1A10"/>
    <w:rsid w:val="00230E3A"/>
    <w:rsid w:val="00247963"/>
    <w:rsid w:val="002834A1"/>
    <w:rsid w:val="002E3E41"/>
    <w:rsid w:val="00317AF1"/>
    <w:rsid w:val="003254DC"/>
    <w:rsid w:val="00354BB4"/>
    <w:rsid w:val="003557FD"/>
    <w:rsid w:val="00360122"/>
    <w:rsid w:val="0038487D"/>
    <w:rsid w:val="003B4C9F"/>
    <w:rsid w:val="003B6407"/>
    <w:rsid w:val="003E3542"/>
    <w:rsid w:val="00402626"/>
    <w:rsid w:val="00403A45"/>
    <w:rsid w:val="00416BC8"/>
    <w:rsid w:val="004317FF"/>
    <w:rsid w:val="00432BF9"/>
    <w:rsid w:val="004365A1"/>
    <w:rsid w:val="00462D2E"/>
    <w:rsid w:val="0048254A"/>
    <w:rsid w:val="0048308B"/>
    <w:rsid w:val="00490B7E"/>
    <w:rsid w:val="004B749D"/>
    <w:rsid w:val="004C5C01"/>
    <w:rsid w:val="004E4E3A"/>
    <w:rsid w:val="00500583"/>
    <w:rsid w:val="005158C4"/>
    <w:rsid w:val="005248A3"/>
    <w:rsid w:val="00581DC5"/>
    <w:rsid w:val="0059050F"/>
    <w:rsid w:val="005A2387"/>
    <w:rsid w:val="00601464"/>
    <w:rsid w:val="00601AF5"/>
    <w:rsid w:val="00602BEB"/>
    <w:rsid w:val="006065BE"/>
    <w:rsid w:val="00621DAD"/>
    <w:rsid w:val="0063067C"/>
    <w:rsid w:val="006516C3"/>
    <w:rsid w:val="00660520"/>
    <w:rsid w:val="006918FF"/>
    <w:rsid w:val="006A5BA3"/>
    <w:rsid w:val="006B5822"/>
    <w:rsid w:val="006E6BF6"/>
    <w:rsid w:val="007571FA"/>
    <w:rsid w:val="0075773E"/>
    <w:rsid w:val="00783C10"/>
    <w:rsid w:val="007965BC"/>
    <w:rsid w:val="007B4889"/>
    <w:rsid w:val="007D52DA"/>
    <w:rsid w:val="007E2183"/>
    <w:rsid w:val="007F6929"/>
    <w:rsid w:val="00801DB0"/>
    <w:rsid w:val="00811C0F"/>
    <w:rsid w:val="008163B9"/>
    <w:rsid w:val="008167F8"/>
    <w:rsid w:val="008576D0"/>
    <w:rsid w:val="00885D07"/>
    <w:rsid w:val="008B005E"/>
    <w:rsid w:val="008B438C"/>
    <w:rsid w:val="008C1018"/>
    <w:rsid w:val="008C7C4F"/>
    <w:rsid w:val="008E5D47"/>
    <w:rsid w:val="008F03DC"/>
    <w:rsid w:val="008F0E31"/>
    <w:rsid w:val="008F14B0"/>
    <w:rsid w:val="008F17BA"/>
    <w:rsid w:val="008F6021"/>
    <w:rsid w:val="00902380"/>
    <w:rsid w:val="0090563A"/>
    <w:rsid w:val="009216FA"/>
    <w:rsid w:val="00931B4C"/>
    <w:rsid w:val="009428A3"/>
    <w:rsid w:val="00950063"/>
    <w:rsid w:val="00960B37"/>
    <w:rsid w:val="00985EFB"/>
    <w:rsid w:val="009B5DED"/>
    <w:rsid w:val="009B5F0A"/>
    <w:rsid w:val="009E66B7"/>
    <w:rsid w:val="00A01C3C"/>
    <w:rsid w:val="00A62D9F"/>
    <w:rsid w:val="00A72783"/>
    <w:rsid w:val="00A8251B"/>
    <w:rsid w:val="00AA37A2"/>
    <w:rsid w:val="00AC74BE"/>
    <w:rsid w:val="00AF5CDC"/>
    <w:rsid w:val="00B0539A"/>
    <w:rsid w:val="00B137DF"/>
    <w:rsid w:val="00B30295"/>
    <w:rsid w:val="00B312F5"/>
    <w:rsid w:val="00B34991"/>
    <w:rsid w:val="00B42473"/>
    <w:rsid w:val="00B57B47"/>
    <w:rsid w:val="00B643EE"/>
    <w:rsid w:val="00B66637"/>
    <w:rsid w:val="00B66B2E"/>
    <w:rsid w:val="00B8547C"/>
    <w:rsid w:val="00B961AD"/>
    <w:rsid w:val="00B97C0C"/>
    <w:rsid w:val="00BA3F47"/>
    <w:rsid w:val="00BA5BB8"/>
    <w:rsid w:val="00BA6008"/>
    <w:rsid w:val="00BA7D03"/>
    <w:rsid w:val="00BC580E"/>
    <w:rsid w:val="00BD09B6"/>
    <w:rsid w:val="00BD3ACC"/>
    <w:rsid w:val="00BF77A1"/>
    <w:rsid w:val="00C00C19"/>
    <w:rsid w:val="00C028FA"/>
    <w:rsid w:val="00C3088A"/>
    <w:rsid w:val="00C61AE8"/>
    <w:rsid w:val="00C66C46"/>
    <w:rsid w:val="00CA0AA8"/>
    <w:rsid w:val="00CE2619"/>
    <w:rsid w:val="00CF50DC"/>
    <w:rsid w:val="00D17F64"/>
    <w:rsid w:val="00D215AD"/>
    <w:rsid w:val="00D250D2"/>
    <w:rsid w:val="00D26C2E"/>
    <w:rsid w:val="00D3072B"/>
    <w:rsid w:val="00D427D3"/>
    <w:rsid w:val="00D5474E"/>
    <w:rsid w:val="00D61F13"/>
    <w:rsid w:val="00D71C16"/>
    <w:rsid w:val="00D751E4"/>
    <w:rsid w:val="00D92001"/>
    <w:rsid w:val="00DA61F1"/>
    <w:rsid w:val="00DB09E6"/>
    <w:rsid w:val="00DD5893"/>
    <w:rsid w:val="00DD69AF"/>
    <w:rsid w:val="00DF7331"/>
    <w:rsid w:val="00E027B5"/>
    <w:rsid w:val="00E36F45"/>
    <w:rsid w:val="00E41AC2"/>
    <w:rsid w:val="00E7099E"/>
    <w:rsid w:val="00E7790C"/>
    <w:rsid w:val="00E9560C"/>
    <w:rsid w:val="00E96B69"/>
    <w:rsid w:val="00EC2154"/>
    <w:rsid w:val="00EF0B1F"/>
    <w:rsid w:val="00EF5F07"/>
    <w:rsid w:val="00F000BE"/>
    <w:rsid w:val="00F15E96"/>
    <w:rsid w:val="00F22A44"/>
    <w:rsid w:val="00F50D8C"/>
    <w:rsid w:val="00F941B1"/>
    <w:rsid w:val="00F9591A"/>
    <w:rsid w:val="00FB552A"/>
    <w:rsid w:val="00FC6CB9"/>
    <w:rsid w:val="00FE7374"/>
    <w:rsid w:val="00FF729A"/>
    <w:rsid w:val="00FF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0C1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36F45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950063"/>
    <w:rPr>
      <w:i/>
      <w:iCs/>
    </w:rPr>
  </w:style>
  <w:style w:type="paragraph" w:styleId="Sinespaciado">
    <w:name w:val="No Spacing"/>
    <w:basedOn w:val="Normal"/>
    <w:uiPriority w:val="1"/>
    <w:qFormat/>
    <w:rsid w:val="001F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B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MX"/>
    </w:rPr>
  </w:style>
  <w:style w:type="paragraph" w:customStyle="1" w:styleId="paragraph">
    <w:name w:val="paragraph"/>
    <w:basedOn w:val="Normal"/>
    <w:rsid w:val="004B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rsid w:val="004B749D"/>
  </w:style>
  <w:style w:type="character" w:customStyle="1" w:styleId="eop">
    <w:name w:val="eop"/>
    <w:rsid w:val="004B749D"/>
  </w:style>
  <w:style w:type="paragraph" w:styleId="Textodeglobo">
    <w:name w:val="Balloon Text"/>
    <w:basedOn w:val="Normal"/>
    <w:link w:val="TextodegloboCar"/>
    <w:uiPriority w:val="99"/>
    <w:semiHidden/>
    <w:unhideWhenUsed/>
    <w:rsid w:val="0035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BB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3D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3D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1B3D3D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F15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5E96"/>
  </w:style>
  <w:style w:type="paragraph" w:styleId="Piedepgina">
    <w:name w:val="footer"/>
    <w:basedOn w:val="Normal"/>
    <w:link w:val="PiedepginaCar"/>
    <w:uiPriority w:val="99"/>
    <w:semiHidden/>
    <w:unhideWhenUsed/>
    <w:rsid w:val="00F15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5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iscalia.chihuahua.gob.mx/inicio/?page_id=22120" TargetMode="External"/><Relationship Id="rId1" Type="http://schemas.openxmlformats.org/officeDocument/2006/relationships/hyperlink" Target="http://www.congresochihuahua.gob.mx/biblioteca/decretos/archivosDecretos/273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AAC29-537E-4413-81CB-92EF3B95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Roberto Fierro</dc:creator>
  <cp:lastModifiedBy>sperez</cp:lastModifiedBy>
  <cp:revision>2</cp:revision>
  <cp:lastPrinted>2019-05-08T22:19:00Z</cp:lastPrinted>
  <dcterms:created xsi:type="dcterms:W3CDTF">2019-05-08T22:21:00Z</dcterms:created>
  <dcterms:modified xsi:type="dcterms:W3CDTF">2019-05-08T22:21:00Z</dcterms:modified>
</cp:coreProperties>
</file>