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2C82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C7450F7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El H. Congreso del Estado de Chihuahua, por conducto de la Junta de Coordinación Política, con fundamento en los artículos 4 y 64, fracción XXVII de la Constitución Política; 9, 10 y 11 de la Ley de la Comisión Estatal de los Derechos Humanos y 66 de la Ley Orgánica del Poder Legislativo, todos los ordenamientos jurídicos del Estado de Chihuahua, expide la siguiente:</w:t>
      </w:r>
    </w:p>
    <w:p w14:paraId="40AE39C7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0FC9C215" w14:textId="77777777" w:rsidR="00123970" w:rsidRPr="00EF3892" w:rsidRDefault="00123970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76EB59F0" w14:textId="67505495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C O N V O C A T O R I A</w:t>
      </w:r>
    </w:p>
    <w:p w14:paraId="3DE63370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43503537" w14:textId="72ACDCE4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Dirigida a quienes se interesen en participar en el proceso de elección </w:t>
      </w:r>
      <w:r w:rsidR="00123970" w:rsidRPr="00EF3892">
        <w:rPr>
          <w:rFonts w:ascii="Century Gothic" w:eastAsia="Times New Roman" w:hAnsi="Century Gothic" w:cs="Arial"/>
          <w:sz w:val="24"/>
          <w:szCs w:val="24"/>
        </w:rPr>
        <w:t xml:space="preserve">de la persona titular a la </w:t>
      </w:r>
      <w:r w:rsidRPr="00EF3892">
        <w:rPr>
          <w:rFonts w:ascii="Century Gothic" w:eastAsia="Times New Roman" w:hAnsi="Century Gothic" w:cs="Arial"/>
          <w:sz w:val="24"/>
          <w:szCs w:val="24"/>
        </w:rPr>
        <w:t>presidencia de la Comisión Estatal de</w:t>
      </w:r>
      <w:r w:rsidR="001F6664">
        <w:rPr>
          <w:rFonts w:ascii="Century Gothic" w:eastAsia="Times New Roman" w:hAnsi="Century Gothic" w:cs="Arial"/>
          <w:sz w:val="24"/>
          <w:szCs w:val="24"/>
        </w:rPr>
        <w:t xml:space="preserve"> los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Derechos Humanos conforme a las siguientes:</w:t>
      </w:r>
    </w:p>
    <w:p w14:paraId="77165D89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300F59D1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B A S E S</w:t>
      </w:r>
    </w:p>
    <w:p w14:paraId="57F562F1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sz w:val="24"/>
          <w:szCs w:val="24"/>
        </w:rPr>
      </w:pPr>
    </w:p>
    <w:p w14:paraId="7BE1A458" w14:textId="77777777" w:rsidR="006917C1" w:rsidRPr="00EF3892" w:rsidRDefault="006917C1" w:rsidP="00EF3892">
      <w:pPr>
        <w:spacing w:after="0" w:line="36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CARGO A DESIGNAR:</w:t>
      </w:r>
    </w:p>
    <w:p w14:paraId="1A6ABA48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0B792ECE" w14:textId="150DC58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Cs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PRIMERA. </w:t>
      </w:r>
      <w:r w:rsidR="000F3742" w:rsidRPr="00EF3892">
        <w:rPr>
          <w:rFonts w:ascii="Century Gothic" w:eastAsia="Times New Roman" w:hAnsi="Century Gothic" w:cs="Arial"/>
          <w:bCs/>
          <w:sz w:val="24"/>
          <w:szCs w:val="24"/>
        </w:rPr>
        <w:t>La presidencia de la Comisión Estatal de</w:t>
      </w:r>
      <w:r w:rsidR="007E717D">
        <w:rPr>
          <w:rFonts w:ascii="Century Gothic" w:eastAsia="Times New Roman" w:hAnsi="Century Gothic" w:cs="Arial"/>
          <w:bCs/>
          <w:sz w:val="24"/>
          <w:szCs w:val="24"/>
        </w:rPr>
        <w:t xml:space="preserve"> los</w:t>
      </w:r>
      <w:r w:rsidR="000F3742"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Derechos Humanos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, por un periodo de </w:t>
      </w:r>
      <w:r w:rsidR="000F3742" w:rsidRPr="00EF3892">
        <w:rPr>
          <w:rFonts w:ascii="Century Gothic" w:eastAsia="Times New Roman" w:hAnsi="Century Gothic" w:cs="Arial"/>
          <w:bCs/>
          <w:sz w:val="24"/>
          <w:szCs w:val="24"/>
        </w:rPr>
        <w:t>cinco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años a </w:t>
      </w:r>
      <w:r w:rsidRPr="00F87AFC">
        <w:rPr>
          <w:rFonts w:ascii="Century Gothic" w:eastAsia="Times New Roman" w:hAnsi="Century Gothic" w:cs="Arial"/>
          <w:bCs/>
          <w:sz w:val="24"/>
          <w:szCs w:val="24"/>
        </w:rPr>
        <w:t xml:space="preserve">partir del </w:t>
      </w:r>
      <w:r w:rsidR="000F3742" w:rsidRPr="00F87AFC">
        <w:rPr>
          <w:rFonts w:ascii="Century Gothic" w:eastAsia="Times New Roman" w:hAnsi="Century Gothic" w:cs="Arial"/>
          <w:bCs/>
          <w:sz w:val="24"/>
          <w:szCs w:val="24"/>
        </w:rPr>
        <w:t>1</w:t>
      </w:r>
      <w:r w:rsidR="00123970" w:rsidRPr="00F87AFC">
        <w:rPr>
          <w:rFonts w:ascii="Century Gothic" w:eastAsia="Times New Roman" w:hAnsi="Century Gothic" w:cs="Arial"/>
          <w:bCs/>
          <w:sz w:val="24"/>
          <w:szCs w:val="24"/>
        </w:rPr>
        <w:t>5</w:t>
      </w:r>
      <w:r w:rsidRPr="00F87AFC">
        <w:rPr>
          <w:rFonts w:ascii="Century Gothic" w:eastAsia="Times New Roman" w:hAnsi="Century Gothic" w:cs="Arial"/>
          <w:bCs/>
          <w:sz w:val="24"/>
          <w:szCs w:val="24"/>
        </w:rPr>
        <w:t xml:space="preserve"> de </w:t>
      </w:r>
      <w:r w:rsidR="000F3742" w:rsidRPr="00F87AFC">
        <w:rPr>
          <w:rFonts w:ascii="Century Gothic" w:eastAsia="Times New Roman" w:hAnsi="Century Gothic" w:cs="Arial"/>
          <w:bCs/>
          <w:sz w:val="24"/>
          <w:szCs w:val="24"/>
        </w:rPr>
        <w:t>abril</w:t>
      </w:r>
      <w:r w:rsidRPr="00F87AFC">
        <w:rPr>
          <w:rFonts w:ascii="Century Gothic" w:eastAsia="Times New Roman" w:hAnsi="Century Gothic" w:cs="Arial"/>
          <w:bCs/>
          <w:sz w:val="24"/>
          <w:szCs w:val="24"/>
        </w:rPr>
        <w:t xml:space="preserve"> de 2024.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 </w:t>
      </w:r>
    </w:p>
    <w:p w14:paraId="430555B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3EB67F96" w14:textId="77777777" w:rsidR="006917C1" w:rsidRPr="00EF3892" w:rsidRDefault="006917C1" w:rsidP="00EF3892">
      <w:pPr>
        <w:spacing w:after="0" w:line="360" w:lineRule="auto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LOS REQUISITOS:</w:t>
      </w:r>
    </w:p>
    <w:p w14:paraId="7A496E1D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E123975" w14:textId="00ED2364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SEGUNDA. 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De conformidad con 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el artículo 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>9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de la Ley de 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>la Comisión Estatal de</w:t>
      </w:r>
      <w:r w:rsidR="007E717D">
        <w:rPr>
          <w:rFonts w:ascii="Century Gothic" w:eastAsia="Times New Roman" w:hAnsi="Century Gothic" w:cs="Arial"/>
          <w:sz w:val="24"/>
          <w:szCs w:val="24"/>
        </w:rPr>
        <w:t xml:space="preserve"> los</w:t>
      </w:r>
      <w:r w:rsidR="00CB76C3" w:rsidRPr="00EF3892">
        <w:rPr>
          <w:rFonts w:ascii="Century Gothic" w:eastAsia="Times New Roman" w:hAnsi="Century Gothic" w:cs="Arial"/>
          <w:sz w:val="24"/>
          <w:szCs w:val="24"/>
        </w:rPr>
        <w:t xml:space="preserve"> Derechos Humanos</w:t>
      </w:r>
      <w:r w:rsidRPr="00EF3892">
        <w:rPr>
          <w:rFonts w:ascii="Century Gothic" w:eastAsia="Times New Roman" w:hAnsi="Century Gothic" w:cs="Arial"/>
          <w:sz w:val="24"/>
          <w:szCs w:val="24"/>
        </w:rPr>
        <w:t>,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 xml:space="preserve"> </w:t>
      </w:r>
      <w:r w:rsidRPr="00EF3892">
        <w:rPr>
          <w:rFonts w:ascii="Century Gothic" w:eastAsia="Times New Roman" w:hAnsi="Century Gothic" w:cs="Arial"/>
          <w:sz w:val="24"/>
          <w:szCs w:val="24"/>
        </w:rPr>
        <w:t>podrán participar quienes reúnan los requisitos siguientes:</w:t>
      </w:r>
    </w:p>
    <w:p w14:paraId="4C331F23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5C3A3FE3" w14:textId="017A82C1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lastRenderedPageBreak/>
        <w:t>I. Ciudadanía mexicana, en pleno ejercicio de los derechos civiles y políticos</w:t>
      </w:r>
      <w:r w:rsidR="00F87AFC">
        <w:rPr>
          <w:rFonts w:ascii="Century Gothic" w:hAnsi="Century Gothic" w:cs="Arial"/>
          <w:sz w:val="24"/>
          <w:szCs w:val="24"/>
        </w:rPr>
        <w:t>.</w:t>
      </w:r>
    </w:p>
    <w:p w14:paraId="5E84DA26" w14:textId="53F6DC96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II. No haber ocupado</w:t>
      </w:r>
      <w:r w:rsidR="00F87AFC">
        <w:rPr>
          <w:rFonts w:ascii="Century Gothic" w:hAnsi="Century Gothic" w:cs="Arial"/>
          <w:sz w:val="24"/>
          <w:szCs w:val="24"/>
        </w:rPr>
        <w:t>,</w:t>
      </w:r>
      <w:r w:rsidRPr="00EF3892">
        <w:rPr>
          <w:rFonts w:ascii="Century Gothic" w:hAnsi="Century Gothic" w:cs="Arial"/>
          <w:sz w:val="24"/>
          <w:szCs w:val="24"/>
        </w:rPr>
        <w:t xml:space="preserve"> ni ocupar puestos de dirección de partidos u organismos políticos en los últimos 5 años. </w:t>
      </w:r>
    </w:p>
    <w:p w14:paraId="29B1CBF5" w14:textId="45AC52D4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III. Gozar de buena reputación y no haber sido condenado por delito doloso. </w:t>
      </w:r>
    </w:p>
    <w:p w14:paraId="24EA3BEA" w14:textId="7EF266AE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IV. Acreditar 5 años de experiencia en el área de promoción, respeto y protección de los Derechos Humanos. Dicha experiencia deberá ser comprobable mediante documentos expedidos por autoridades, organismos públicos y/u organizaciones en la materia.</w:t>
      </w:r>
    </w:p>
    <w:p w14:paraId="4909458B" w14:textId="6DF2F122" w:rsidR="00CB76C3" w:rsidRPr="00EF3892" w:rsidRDefault="00CB76C3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V. Contar con nivel de estudios de Licenciatura.</w:t>
      </w:r>
    </w:p>
    <w:p w14:paraId="1C19A867" w14:textId="4863DBD6" w:rsidR="00C05205" w:rsidRPr="00EF3892" w:rsidRDefault="00C05205" w:rsidP="00EF3892">
      <w:pPr>
        <w:spacing w:line="360" w:lineRule="auto"/>
        <w:ind w:left="708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>VI. No ser persona deudora alimentaria morosa, conforme a lo establecido en la Ley del Registro Estatal de Personas Deudoras Alimentarias Morosas de Chihuahua.</w:t>
      </w:r>
    </w:p>
    <w:p w14:paraId="1BCB1FA8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5A8A248E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LA DOCUMENTACIÓN Y SU ENTREGA:</w:t>
      </w:r>
    </w:p>
    <w:p w14:paraId="00A94218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7859326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TERCERA. </w:t>
      </w:r>
      <w:r w:rsidRPr="00EF3892">
        <w:rPr>
          <w:rFonts w:ascii="Century Gothic" w:eastAsia="Times New Roman" w:hAnsi="Century Gothic" w:cs="Arial"/>
          <w:bCs/>
          <w:sz w:val="24"/>
          <w:szCs w:val="24"/>
        </w:rPr>
        <w:t>Las personas interesadas deberán presentar la documentación siguiente</w:t>
      </w:r>
      <w:r w:rsidRPr="00EF3892">
        <w:rPr>
          <w:rFonts w:ascii="Century Gothic" w:eastAsia="Times New Roman" w:hAnsi="Century Gothic" w:cs="Arial"/>
          <w:sz w:val="24"/>
          <w:szCs w:val="24"/>
        </w:rPr>
        <w:t>:</w:t>
      </w:r>
    </w:p>
    <w:p w14:paraId="10EFDFFB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5D706C89" w14:textId="15FEA402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Solicitud en la que se proporcione nombre, edad, sexo, dirección, número de teléfono celular y correo electrónico para recibir notificaciones. </w:t>
      </w:r>
    </w:p>
    <w:p w14:paraId="3D00A121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lastRenderedPageBreak/>
        <w:t>Copia certificada del acta de nacimiento o documento legal que lo acredite, debidamente certificado.</w:t>
      </w:r>
    </w:p>
    <w:p w14:paraId="5C325544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Constancia de antecedentes penales.</w:t>
      </w:r>
    </w:p>
    <w:p w14:paraId="11FDE939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Copia certificada del título profesional por ambos lados. </w:t>
      </w:r>
    </w:p>
    <w:p w14:paraId="54E8E92D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Versión pública de currículum vitae que contenga únicamente: </w:t>
      </w:r>
    </w:p>
    <w:p w14:paraId="06464967" w14:textId="77777777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Nombre y fotografía reciente.</w:t>
      </w:r>
    </w:p>
    <w:p w14:paraId="517AB707" w14:textId="77777777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Relatoría de la formación académica y trayectoria profesional en un máximo de dos cuartillas.</w:t>
      </w:r>
    </w:p>
    <w:p w14:paraId="6BCC73BD" w14:textId="564F2DAC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Relatoría de la experiencia en </w:t>
      </w:r>
      <w:r w:rsidR="003D030D" w:rsidRPr="00EF3892">
        <w:rPr>
          <w:rFonts w:ascii="Century Gothic" w:eastAsia="Times New Roman" w:hAnsi="Century Gothic" w:cs="Arial"/>
          <w:sz w:val="24"/>
          <w:szCs w:val="24"/>
        </w:rPr>
        <w:t>el área de promoción, respeto y protección de los Derechos Humanos</w:t>
      </w:r>
      <w:r w:rsidR="00FB1C2D">
        <w:rPr>
          <w:rFonts w:ascii="Century Gothic" w:eastAsia="Times New Roman" w:hAnsi="Century Gothic" w:cs="Arial"/>
          <w:sz w:val="24"/>
          <w:szCs w:val="24"/>
        </w:rPr>
        <w:t xml:space="preserve"> en un máximo de dos cuartillas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>.</w:t>
      </w:r>
    </w:p>
    <w:p w14:paraId="1D80FE97" w14:textId="77777777" w:rsidR="006917C1" w:rsidRPr="00EF3892" w:rsidRDefault="006917C1" w:rsidP="00EF3892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 Copia simple de las documentales que acrediten lo anterior. </w:t>
      </w:r>
    </w:p>
    <w:p w14:paraId="78B3B41A" w14:textId="45C2FE7D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Constancia </w:t>
      </w:r>
      <w:r w:rsidR="004F6BAD">
        <w:rPr>
          <w:rFonts w:ascii="Century Gothic" w:eastAsia="Times New Roman" w:hAnsi="Century Gothic" w:cs="Arial"/>
          <w:sz w:val="24"/>
          <w:szCs w:val="24"/>
        </w:rPr>
        <w:t>que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acredite que no se le ha inhabilitado en el servicio público.</w:t>
      </w:r>
    </w:p>
    <w:p w14:paraId="117F4595" w14:textId="4940D1EA" w:rsidR="003937E0" w:rsidRPr="00F87AFC" w:rsidRDefault="003937E0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F87AFC">
        <w:rPr>
          <w:rFonts w:ascii="Century Gothic" w:eastAsia="Times New Roman" w:hAnsi="Century Gothic" w:cs="Arial"/>
          <w:sz w:val="24"/>
          <w:szCs w:val="24"/>
        </w:rPr>
        <w:t xml:space="preserve">Constancia de Inscripción en el Registro Estatal de Personas Deudoras Alimentarias Morosas de Chihuahua. </w:t>
      </w:r>
    </w:p>
    <w:p w14:paraId="21115411" w14:textId="538F9E1A" w:rsidR="006917C1" w:rsidRPr="00F87AFC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F87AFC">
        <w:rPr>
          <w:rFonts w:ascii="Century Gothic" w:eastAsia="Times New Roman" w:hAnsi="Century Gothic" w:cs="Arial"/>
          <w:sz w:val="24"/>
          <w:szCs w:val="24"/>
        </w:rPr>
        <w:t xml:space="preserve">Declaración, bajo protesta de decir verdad, en la que manifieste, no haber ocupado </w:t>
      </w:r>
      <w:r w:rsidR="00BA1196" w:rsidRPr="00F87AFC">
        <w:rPr>
          <w:rFonts w:ascii="Century Gothic" w:eastAsia="Times New Roman" w:hAnsi="Century Gothic" w:cs="Arial"/>
          <w:sz w:val="24"/>
          <w:szCs w:val="24"/>
        </w:rPr>
        <w:t>ni ocupar puestos de dirección de partidos u organismos políticos en los últimos cinco años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. </w:t>
      </w:r>
    </w:p>
    <w:p w14:paraId="30D2C527" w14:textId="325225DF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Anuencia para sujetarse al procedimiento y a los resultados que se obtengan, de acuerdo a lo previsto en 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>los artículos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 xml:space="preserve">4 y 64, fracción XXVII de la Constitución Política; 9, 10 y 11 de la Ley de la Comisión Estatal de los Derechos Humanos </w:t>
      </w:r>
      <w:r w:rsidRPr="00EF3892">
        <w:rPr>
          <w:rFonts w:ascii="Century Gothic" w:eastAsia="Times New Roman" w:hAnsi="Century Gothic" w:cs="Arial"/>
          <w:sz w:val="24"/>
          <w:szCs w:val="24"/>
        </w:rPr>
        <w:t>y en la presente convocatoria.</w:t>
      </w:r>
    </w:p>
    <w:p w14:paraId="20E22CC1" w14:textId="77777777" w:rsidR="006917C1" w:rsidRPr="00EF3892" w:rsidRDefault="006917C1" w:rsidP="00EF38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>Aviso de privacidad debidamente firmado, en el que autoriza el tratamiento de sus datos personales para los fines previstos en el presente procedimiento de selección.</w:t>
      </w:r>
    </w:p>
    <w:p w14:paraId="1FDBBBCF" w14:textId="77777777" w:rsidR="006917C1" w:rsidRPr="00EF3892" w:rsidRDefault="006917C1" w:rsidP="00EF3892">
      <w:pPr>
        <w:spacing w:after="0" w:line="360" w:lineRule="auto"/>
        <w:ind w:left="1428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4BC0C9EB" w14:textId="207A6676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Los </w:t>
      </w:r>
      <w:r w:rsidRPr="00F87AFC">
        <w:rPr>
          <w:rFonts w:ascii="Century Gothic" w:eastAsia="Times New Roman" w:hAnsi="Century Gothic" w:cs="Arial"/>
          <w:sz w:val="24"/>
          <w:szCs w:val="24"/>
        </w:rPr>
        <w:t>formatos a los que hacen referencia la Base Tercera, fracciones I, V, VIII</w:t>
      </w:r>
      <w:r w:rsidR="002606B8" w:rsidRPr="00F87AFC">
        <w:rPr>
          <w:rFonts w:ascii="Century Gothic" w:eastAsia="Times New Roman" w:hAnsi="Century Gothic" w:cs="Arial"/>
          <w:sz w:val="24"/>
          <w:szCs w:val="24"/>
        </w:rPr>
        <w:t>,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 IX</w:t>
      </w:r>
      <w:r w:rsidR="002606B8" w:rsidRPr="00F87AFC">
        <w:rPr>
          <w:rFonts w:ascii="Century Gothic" w:eastAsia="Times New Roman" w:hAnsi="Century Gothic" w:cs="Arial"/>
          <w:sz w:val="24"/>
          <w:szCs w:val="24"/>
        </w:rPr>
        <w:t xml:space="preserve"> y X</w:t>
      </w:r>
      <w:r w:rsidRPr="00F87AFC">
        <w:rPr>
          <w:rFonts w:ascii="Century Gothic" w:eastAsia="Times New Roman" w:hAnsi="Century Gothic" w:cs="Arial"/>
          <w:sz w:val="24"/>
          <w:szCs w:val="24"/>
        </w:rPr>
        <w:t xml:space="preserve"> estarán disponibles en el portal de Internet oficial del H. Congreso del Estado de Chih</w:t>
      </w:r>
      <w:r w:rsidRPr="00EF3892">
        <w:rPr>
          <w:rFonts w:ascii="Century Gothic" w:eastAsia="Times New Roman" w:hAnsi="Century Gothic" w:cs="Arial"/>
          <w:sz w:val="24"/>
          <w:szCs w:val="24"/>
        </w:rPr>
        <w:t>uahua,</w:t>
      </w:r>
      <w:r w:rsidR="00F674E8">
        <w:rPr>
          <w:rFonts w:ascii="Century Gothic" w:eastAsia="Times New Roman" w:hAnsi="Century Gothic" w:cs="Arial"/>
          <w:sz w:val="24"/>
          <w:szCs w:val="24"/>
        </w:rPr>
        <w:t xml:space="preserve"> </w:t>
      </w:r>
      <w:hyperlink r:id="rId8" w:history="1">
        <w:r w:rsidR="00F674E8" w:rsidRPr="00B11056">
          <w:rPr>
            <w:rStyle w:val="Hipervnculo"/>
            <w:rFonts w:ascii="Century Gothic" w:eastAsia="Times New Roman" w:hAnsi="Century Gothic" w:cs="Arial"/>
            <w:sz w:val="24"/>
            <w:szCs w:val="24"/>
          </w:rPr>
          <w:t>https://www.congresochihuahua.gob.mx/micrositios/presidenciacedh/2024/</w:t>
        </w:r>
      </w:hyperlink>
      <w:r w:rsidR="00F674E8" w:rsidRPr="00F674E8">
        <w:rPr>
          <w:rFonts w:ascii="Century Gothic" w:eastAsia="Times New Roman" w:hAnsi="Century Gothic" w:cs="Arial"/>
          <w:sz w:val="24"/>
          <w:szCs w:val="24"/>
        </w:rPr>
        <w:t xml:space="preserve"> </w:t>
      </w:r>
    </w:p>
    <w:p w14:paraId="3E0F0E6B" w14:textId="77777777" w:rsidR="006917C1" w:rsidRPr="00F674E8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32A27ED3" w14:textId="14EA394C" w:rsidR="005C6ACA" w:rsidRPr="00EF3892" w:rsidRDefault="005C6ACA" w:rsidP="00EF3892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CUARTA. </w:t>
      </w:r>
      <w:r w:rsidRPr="00EF3892">
        <w:rPr>
          <w:rFonts w:ascii="Century Gothic" w:hAnsi="Century Gothic" w:cs="Arial"/>
          <w:sz w:val="24"/>
          <w:szCs w:val="24"/>
        </w:rPr>
        <w:t>La presente Convocatoria, en atención al artículo 10 de la Ley de la Comisión Estatal de</w:t>
      </w:r>
      <w:r w:rsidR="007E717D">
        <w:rPr>
          <w:rFonts w:ascii="Century Gothic" w:hAnsi="Century Gothic" w:cs="Arial"/>
          <w:sz w:val="24"/>
          <w:szCs w:val="24"/>
        </w:rPr>
        <w:t xml:space="preserve"> los</w:t>
      </w:r>
      <w:r w:rsidRPr="00EF3892">
        <w:rPr>
          <w:rFonts w:ascii="Century Gothic" w:hAnsi="Century Gothic" w:cs="Arial"/>
          <w:sz w:val="24"/>
          <w:szCs w:val="24"/>
        </w:rPr>
        <w:t xml:space="preserve"> Derechos Humanos, se </w:t>
      </w:r>
      <w:r w:rsidR="00DA0B20" w:rsidRPr="00EF3892">
        <w:rPr>
          <w:rFonts w:ascii="Century Gothic" w:hAnsi="Century Gothic" w:cs="Arial"/>
          <w:sz w:val="24"/>
          <w:szCs w:val="24"/>
        </w:rPr>
        <w:t>publicará</w:t>
      </w:r>
      <w:r w:rsidRPr="00EF3892">
        <w:rPr>
          <w:rFonts w:ascii="Century Gothic" w:hAnsi="Century Gothic" w:cs="Arial"/>
          <w:sz w:val="24"/>
          <w:szCs w:val="24"/>
        </w:rPr>
        <w:t xml:space="preserve"> en los principales medios de comunicación y se difundirá entre las organizaciones sociales representativas de los distintos sectores de la sociedad, así como entre los organismos públicos y privados promotores o defensores de los derechos humanos.</w:t>
      </w:r>
    </w:p>
    <w:p w14:paraId="6DBC683D" w14:textId="77777777" w:rsidR="00DA0B20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2A8F4BD" w14:textId="33A67E0F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QUINTA.</w:t>
      </w:r>
      <w:r w:rsidR="006917C1"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La documentación para acreditar los requisitos se recibirá a partir de la fecha </w:t>
      </w:r>
      <w:r w:rsidR="00843879">
        <w:rPr>
          <w:rFonts w:ascii="Century Gothic" w:eastAsia="Times New Roman" w:hAnsi="Century Gothic" w:cs="Arial"/>
          <w:sz w:val="24"/>
          <w:szCs w:val="24"/>
        </w:rPr>
        <w:t xml:space="preserve"> de la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publicación</w:t>
      </w:r>
      <w:r w:rsidR="00690CA7" w:rsidRPr="00EF3892">
        <w:rPr>
          <w:rFonts w:ascii="Century Gothic" w:eastAsia="Times New Roman" w:hAnsi="Century Gothic" w:cs="Arial"/>
          <w:sz w:val="24"/>
          <w:szCs w:val="24"/>
        </w:rPr>
        <w:t xml:space="preserve"> en el Periódico Oficial del Estado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y hasta el </w:t>
      </w:r>
      <w:r w:rsidR="00F87AFC">
        <w:rPr>
          <w:rFonts w:ascii="Century Gothic" w:eastAsia="Times New Roman" w:hAnsi="Century Gothic" w:cs="Arial"/>
          <w:sz w:val="24"/>
          <w:szCs w:val="24"/>
        </w:rPr>
        <w:t>jueves 07 de marzo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de 202</w:t>
      </w:r>
      <w:r w:rsidR="00BA1196" w:rsidRPr="00EF3892">
        <w:rPr>
          <w:rFonts w:ascii="Century Gothic" w:eastAsia="Times New Roman" w:hAnsi="Century Gothic" w:cs="Arial"/>
          <w:sz w:val="24"/>
          <w:szCs w:val="24"/>
        </w:rPr>
        <w:t>4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, en Oficialía de Partes del H. Congreso del Estado, ubicada en el </w:t>
      </w:r>
      <w:proofErr w:type="spellStart"/>
      <w:r w:rsidR="006917C1" w:rsidRPr="00EF3892">
        <w:rPr>
          <w:rFonts w:ascii="Century Gothic" w:eastAsia="Times New Roman" w:hAnsi="Century Gothic" w:cs="Arial"/>
          <w:sz w:val="24"/>
          <w:szCs w:val="24"/>
        </w:rPr>
        <w:t>Mezzanine</w:t>
      </w:r>
      <w:proofErr w:type="spellEnd"/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del Edificio que ocupa el Poder Legislativo, en la Calle Libertad No. 9, en el Centro Histórico de la Ciudad de Chihuahua, C.P. 31000, en un horario de </w:t>
      </w:r>
      <w:r w:rsidR="006917C1" w:rsidRPr="00F87AFC">
        <w:rPr>
          <w:rFonts w:ascii="Century Gothic" w:eastAsia="Times New Roman" w:hAnsi="Century Gothic" w:cs="Arial"/>
          <w:sz w:val="24"/>
          <w:szCs w:val="24"/>
        </w:rPr>
        <w:t>9:00 a 15:00 horas, de lunes a viernes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, con excepción de los días inhábiles, en los términos de la Ley Orgánica del Poder Legislativo del Estado de Chihuahua.</w:t>
      </w:r>
    </w:p>
    <w:p w14:paraId="2039EEC3" w14:textId="77777777" w:rsidR="008E775E" w:rsidRPr="00EF3892" w:rsidRDefault="008E775E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06C1D6A6" w14:textId="5770DF78" w:rsidR="006917C1" w:rsidRPr="00EF3892" w:rsidRDefault="008E775E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La documentación deberá presentarse, sin grapar ni engargolar. </w:t>
      </w:r>
    </w:p>
    <w:p w14:paraId="37387A99" w14:textId="77777777" w:rsidR="008E775E" w:rsidRPr="00EF3892" w:rsidRDefault="008E775E" w:rsidP="00EF3892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14:paraId="55544591" w14:textId="7D26091C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>DE LAS ETAPAS DEL PROCEDIMIENTO:</w:t>
      </w:r>
    </w:p>
    <w:p w14:paraId="1CFDAC69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074A229" w14:textId="4E35C3EC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SEXTA.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La </w:t>
      </w:r>
      <w:r w:rsidR="008E775E" w:rsidRPr="00EF3892">
        <w:rPr>
          <w:rFonts w:ascii="Century Gothic" w:eastAsia="Times New Roman" w:hAnsi="Century Gothic" w:cs="Arial"/>
          <w:sz w:val="24"/>
          <w:szCs w:val="24"/>
        </w:rPr>
        <w:t>Junta de Coordinación Política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, </w:t>
      </w:r>
      <w:r w:rsidR="002606B8" w:rsidRPr="00EF3892">
        <w:rPr>
          <w:rFonts w:ascii="Century Gothic" w:eastAsia="Times New Roman" w:hAnsi="Century Gothic" w:cs="Arial"/>
          <w:sz w:val="24"/>
          <w:szCs w:val="24"/>
        </w:rPr>
        <w:t>a través de la secretaría técnica</w:t>
      </w:r>
      <w:r w:rsidR="00766CA2" w:rsidRPr="00EF3892">
        <w:rPr>
          <w:rFonts w:ascii="Century Gothic" w:eastAsia="Times New Roman" w:hAnsi="Century Gothic" w:cs="Arial"/>
          <w:sz w:val="24"/>
          <w:szCs w:val="24"/>
        </w:rPr>
        <w:t>,</w:t>
      </w:r>
      <w:r w:rsidR="002606B8"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una vez recibida la documentación, asignará un folio a cada </w:t>
      </w:r>
      <w:r w:rsidR="008E775E" w:rsidRPr="00EF3892">
        <w:rPr>
          <w:rFonts w:ascii="Century Gothic" w:eastAsia="Times New Roman" w:hAnsi="Century Gothic" w:cs="Arial"/>
          <w:sz w:val="24"/>
          <w:szCs w:val="24"/>
        </w:rPr>
        <w:t>participante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para dar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lastRenderedPageBreak/>
        <w:t xml:space="preserve">seguimiento al proceso de selección y será de utilidad para la máxima publicidad del procedimiento. </w:t>
      </w:r>
    </w:p>
    <w:p w14:paraId="757DE8D6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</w:p>
    <w:p w14:paraId="7A5A438A" w14:textId="53EFCA1E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SÉPTIMA. </w:t>
      </w:r>
      <w:r w:rsidR="00690CA7" w:rsidRPr="00EF3892">
        <w:rPr>
          <w:rFonts w:ascii="Century Gothic" w:eastAsia="Times New Roman" w:hAnsi="Century Gothic" w:cs="Arial"/>
          <w:sz w:val="24"/>
          <w:szCs w:val="24"/>
        </w:rPr>
        <w:t>La lista de las personas inscritas, s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e publicará en el portal oficial del H. Congreso del </w:t>
      </w:r>
      <w:r w:rsidR="00745EEA" w:rsidRPr="00EF3892">
        <w:rPr>
          <w:rFonts w:ascii="Century Gothic" w:eastAsia="Times New Roman" w:hAnsi="Century Gothic" w:cs="Arial"/>
          <w:sz w:val="24"/>
          <w:szCs w:val="24"/>
        </w:rPr>
        <w:t>Estado,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 así como la versión pública del perfil curricular de quienes participen. </w:t>
      </w:r>
    </w:p>
    <w:p w14:paraId="708D40A4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highlight w:val="yellow"/>
        </w:rPr>
      </w:pPr>
    </w:p>
    <w:p w14:paraId="75F5D9B2" w14:textId="6D021E3A" w:rsidR="006917C1" w:rsidRPr="00EF3892" w:rsidRDefault="00DA0B20" w:rsidP="00EF3892">
      <w:pPr>
        <w:spacing w:after="0"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OCTAVA. 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La 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Junta de Coordinación Política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, revisará que las personas registradas cumplan con los requisitos y bases previst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a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 xml:space="preserve">s en esta </w:t>
      </w:r>
      <w:r w:rsidR="005C6ACA" w:rsidRPr="00EF3892">
        <w:rPr>
          <w:rFonts w:ascii="Century Gothic" w:eastAsia="Times New Roman" w:hAnsi="Century Gothic" w:cs="Arial"/>
          <w:sz w:val="24"/>
          <w:szCs w:val="24"/>
        </w:rPr>
        <w:t>C</w:t>
      </w:r>
      <w:r w:rsidR="006917C1" w:rsidRPr="00EF3892">
        <w:rPr>
          <w:rFonts w:ascii="Century Gothic" w:eastAsia="Times New Roman" w:hAnsi="Century Gothic" w:cs="Arial"/>
          <w:sz w:val="24"/>
          <w:szCs w:val="24"/>
        </w:rPr>
        <w:t>onvocatoria.</w:t>
      </w:r>
      <w:r w:rsidR="00766CA2" w:rsidRPr="00EF3892">
        <w:rPr>
          <w:rFonts w:ascii="Century Gothic" w:eastAsia="Times New Roman" w:hAnsi="Century Gothic" w:cs="Arial"/>
          <w:sz w:val="24"/>
          <w:szCs w:val="24"/>
        </w:rPr>
        <w:t xml:space="preserve"> Se notificará a través del portal de internet oficial de este H. Congreso del Estado de Chihuahua, así como al correo electrónico que para tal efecto proporcionaron, quienes cumplan con los requisitos y la presentación de documentación que los acrediten.</w:t>
      </w:r>
    </w:p>
    <w:p w14:paraId="49ADA38B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73AD8742" w14:textId="05D14E18" w:rsidR="006917C1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>DE LAS ENTREVISTAS:</w:t>
      </w:r>
    </w:p>
    <w:p w14:paraId="1E29422A" w14:textId="77777777" w:rsidR="00766CA2" w:rsidRPr="00EF3892" w:rsidRDefault="00766CA2" w:rsidP="00EF3892">
      <w:pPr>
        <w:spacing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12CC7E72" w14:textId="243E90DA" w:rsidR="00DA0B20" w:rsidRPr="00EF3892" w:rsidRDefault="00766CA2" w:rsidP="00EF3892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>NOVENA.</w:t>
      </w:r>
      <w:r w:rsidRPr="00EF3892">
        <w:rPr>
          <w:rFonts w:ascii="Century Gothic" w:eastAsia="Times New Roman" w:hAnsi="Century Gothic" w:cs="Arial"/>
          <w:sz w:val="24"/>
          <w:szCs w:val="24"/>
        </w:rPr>
        <w:t xml:space="preserve"> Se notificará a través del portal de internet oficial de este H. Congreso del Estado de Chihuahua, así como al correo electrónico que para tal efecto proporcionaron,</w:t>
      </w:r>
      <w:r w:rsidR="00745EEA" w:rsidRPr="00EF3892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la fecha, hora y lugar 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>del desahogo de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 las entrevistas públicas, que se llevarán a cabo los 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 xml:space="preserve">días, </w:t>
      </w:r>
      <w:r w:rsidR="00BB29C9">
        <w:rPr>
          <w:rFonts w:ascii="Century Gothic" w:eastAsia="Times New Roman" w:hAnsi="Century Gothic" w:cs="Arial"/>
          <w:sz w:val="24"/>
          <w:szCs w:val="24"/>
        </w:rPr>
        <w:t xml:space="preserve">14 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y </w:t>
      </w:r>
      <w:r w:rsidR="00BB29C9">
        <w:rPr>
          <w:rFonts w:ascii="Century Gothic" w:eastAsia="Times New Roman" w:hAnsi="Century Gothic" w:cs="Arial"/>
          <w:sz w:val="24"/>
          <w:szCs w:val="24"/>
        </w:rPr>
        <w:t xml:space="preserve">15 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de </w:t>
      </w:r>
      <w:r w:rsidR="00BB29C9">
        <w:rPr>
          <w:rFonts w:ascii="Century Gothic" w:eastAsia="Times New Roman" w:hAnsi="Century Gothic" w:cs="Arial"/>
          <w:sz w:val="24"/>
          <w:szCs w:val="24"/>
        </w:rPr>
        <w:t>marzo</w:t>
      </w:r>
      <w:r w:rsidR="00DA0B20" w:rsidRPr="00EF3892">
        <w:rPr>
          <w:rFonts w:ascii="Century Gothic" w:eastAsia="Times New Roman" w:hAnsi="Century Gothic" w:cs="Arial"/>
          <w:sz w:val="24"/>
          <w:szCs w:val="24"/>
        </w:rPr>
        <w:t xml:space="preserve"> del año en curso</w:t>
      </w:r>
      <w:r w:rsidR="00BB29C9">
        <w:rPr>
          <w:rFonts w:ascii="Century Gothic" w:eastAsia="Times New Roman" w:hAnsi="Century Gothic" w:cs="Arial"/>
          <w:sz w:val="24"/>
          <w:szCs w:val="24"/>
        </w:rPr>
        <w:t>. De ser necesario, por el número de participantes, la Junta de Coordinación Política habilitará los días necesarios para el buen desahogo de las entrevistas.</w:t>
      </w:r>
    </w:p>
    <w:p w14:paraId="00631242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highlight w:val="yellow"/>
        </w:rPr>
      </w:pPr>
    </w:p>
    <w:p w14:paraId="6B325140" w14:textId="3B12104F" w:rsidR="00935EBA" w:rsidRPr="00EF3892" w:rsidRDefault="00766CA2" w:rsidP="00EF3892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bCs/>
          <w:sz w:val="24"/>
          <w:szCs w:val="24"/>
        </w:rPr>
        <w:t>DECIM</w:t>
      </w:r>
      <w:r w:rsidR="00EB373F" w:rsidRPr="00EF3892">
        <w:rPr>
          <w:rFonts w:ascii="Century Gothic" w:eastAsia="Times New Roman" w:hAnsi="Century Gothic" w:cs="Arial"/>
          <w:b/>
          <w:bCs/>
          <w:sz w:val="24"/>
          <w:szCs w:val="24"/>
        </w:rPr>
        <w:t>A</w:t>
      </w:r>
      <w:r w:rsidR="006917C1" w:rsidRPr="00EF3892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. </w:t>
      </w:r>
      <w:r w:rsidR="00935EBA" w:rsidRPr="00EF3892">
        <w:rPr>
          <w:rFonts w:ascii="Century Gothic" w:eastAsia="Times New Roman" w:hAnsi="Century Gothic" w:cs="Arial"/>
          <w:sz w:val="24"/>
          <w:szCs w:val="24"/>
        </w:rPr>
        <w:t xml:space="preserve">La Junta de Coordinación Política, aprobará el diseño para el desarrollo y evaluación de las entrevistas, mismo que será publicado, en el portal de internet </w:t>
      </w:r>
      <w:r w:rsidR="00935EBA" w:rsidRPr="00EF3892">
        <w:rPr>
          <w:rFonts w:ascii="Century Gothic" w:eastAsia="Times New Roman" w:hAnsi="Century Gothic" w:cs="Arial"/>
          <w:sz w:val="24"/>
          <w:szCs w:val="24"/>
        </w:rPr>
        <w:lastRenderedPageBreak/>
        <w:t>del H. Congreso del Estado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 xml:space="preserve"> y notificado a las y los participantes </w:t>
      </w:r>
      <w:r w:rsidR="00935EBA" w:rsidRPr="00EF3892">
        <w:rPr>
          <w:rFonts w:ascii="Century Gothic" w:eastAsia="Times New Roman" w:hAnsi="Century Gothic" w:cs="Arial"/>
          <w:sz w:val="24"/>
          <w:szCs w:val="24"/>
        </w:rPr>
        <w:t xml:space="preserve">a más tardar el </w:t>
      </w:r>
      <w:r w:rsidR="00BB29C9">
        <w:rPr>
          <w:rFonts w:ascii="Century Gothic" w:eastAsia="Times New Roman" w:hAnsi="Century Gothic" w:cs="Arial"/>
          <w:sz w:val="24"/>
          <w:szCs w:val="24"/>
        </w:rPr>
        <w:t>12</w:t>
      </w:r>
      <w:r w:rsidR="00935EBA" w:rsidRPr="00EF3892">
        <w:rPr>
          <w:rFonts w:ascii="Century Gothic" w:eastAsia="Times New Roman" w:hAnsi="Century Gothic" w:cs="Arial"/>
          <w:sz w:val="24"/>
          <w:szCs w:val="24"/>
        </w:rPr>
        <w:t xml:space="preserve"> de </w:t>
      </w:r>
      <w:r w:rsidR="00BB29C9">
        <w:rPr>
          <w:rFonts w:ascii="Century Gothic" w:eastAsia="Times New Roman" w:hAnsi="Century Gothic" w:cs="Arial"/>
          <w:sz w:val="24"/>
          <w:szCs w:val="24"/>
        </w:rPr>
        <w:t>marzo</w:t>
      </w:r>
      <w:r w:rsidR="00935EBA" w:rsidRPr="00EF3892">
        <w:rPr>
          <w:rFonts w:ascii="Century Gothic" w:eastAsia="Times New Roman" w:hAnsi="Century Gothic" w:cs="Arial"/>
          <w:sz w:val="24"/>
          <w:szCs w:val="24"/>
        </w:rPr>
        <w:t xml:space="preserve"> del año en curso. </w:t>
      </w:r>
    </w:p>
    <w:p w14:paraId="29CAF39B" w14:textId="2AE7E37A" w:rsidR="006917C1" w:rsidRPr="00EF3892" w:rsidRDefault="00935EBA" w:rsidP="00EF3892">
      <w:pPr>
        <w:spacing w:line="360" w:lineRule="auto"/>
        <w:jc w:val="both"/>
        <w:rPr>
          <w:rFonts w:ascii="Century Gothic" w:eastAsia="Times New Roman" w:hAnsi="Century Gothic" w:cs="Arial"/>
          <w:sz w:val="24"/>
          <w:szCs w:val="24"/>
        </w:rPr>
      </w:pPr>
      <w:r w:rsidRPr="00EF3892">
        <w:rPr>
          <w:rFonts w:ascii="Century Gothic" w:eastAsia="Times New Roman" w:hAnsi="Century Gothic" w:cs="Arial"/>
          <w:sz w:val="24"/>
          <w:szCs w:val="24"/>
        </w:rPr>
        <w:t xml:space="preserve">Las citadas entrevistas serán videograbadas y transmitidas en tiempo real, </w:t>
      </w:r>
      <w:r w:rsidR="00EB373F" w:rsidRPr="00EF3892">
        <w:rPr>
          <w:rFonts w:ascii="Century Gothic" w:eastAsia="Times New Roman" w:hAnsi="Century Gothic" w:cs="Arial"/>
          <w:sz w:val="24"/>
          <w:szCs w:val="24"/>
        </w:rPr>
        <w:t>en la página oficial del H. Congreso del Estado</w:t>
      </w:r>
      <w:r w:rsidRPr="00EF3892">
        <w:rPr>
          <w:rFonts w:ascii="Century Gothic" w:eastAsia="Times New Roman" w:hAnsi="Century Gothic" w:cs="Arial"/>
          <w:sz w:val="24"/>
          <w:szCs w:val="24"/>
        </w:rPr>
        <w:t>.</w:t>
      </w:r>
    </w:p>
    <w:p w14:paraId="3CBA371C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4F8130CB" w14:textId="6C9CF3D0" w:rsidR="003E1AC7" w:rsidRPr="00EF3892" w:rsidRDefault="00766CA2" w:rsidP="00EF3892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DECIMOPRIMERA</w:t>
      </w:r>
      <w:r w:rsidR="003E1AC7" w:rsidRPr="00EF3892">
        <w:rPr>
          <w:rFonts w:ascii="Century Gothic" w:hAnsi="Century Gothic" w:cs="Arial"/>
          <w:b/>
          <w:sz w:val="24"/>
          <w:szCs w:val="24"/>
        </w:rPr>
        <w:t xml:space="preserve">. </w:t>
      </w:r>
      <w:r w:rsidR="003E1AC7" w:rsidRPr="00EF3892">
        <w:rPr>
          <w:rFonts w:ascii="Century Gothic" w:hAnsi="Century Gothic" w:cs="Arial"/>
          <w:sz w:val="24"/>
          <w:szCs w:val="24"/>
        </w:rPr>
        <w:t>La Junta de Coordinación Política, después de realizar las entrevistas, elaborará el acuerdo que cont</w:t>
      </w:r>
      <w:r w:rsidR="00EB373F" w:rsidRPr="00EF3892">
        <w:rPr>
          <w:rFonts w:ascii="Century Gothic" w:hAnsi="Century Gothic" w:cs="Arial"/>
          <w:sz w:val="24"/>
          <w:szCs w:val="24"/>
        </w:rPr>
        <w:t>enga</w:t>
      </w:r>
      <w:r w:rsidR="003E1AC7" w:rsidRPr="00EF3892">
        <w:rPr>
          <w:rFonts w:ascii="Century Gothic" w:hAnsi="Century Gothic" w:cs="Arial"/>
          <w:sz w:val="24"/>
          <w:szCs w:val="24"/>
        </w:rPr>
        <w:t xml:space="preserve"> la terna</w:t>
      </w:r>
      <w:r w:rsidR="00EB373F" w:rsidRPr="00EF3892">
        <w:rPr>
          <w:rFonts w:ascii="Century Gothic" w:hAnsi="Century Gothic" w:cs="Arial"/>
          <w:sz w:val="24"/>
          <w:szCs w:val="24"/>
        </w:rPr>
        <w:t xml:space="preserve"> </w:t>
      </w:r>
      <w:r w:rsidR="003E1AC7" w:rsidRPr="00EF3892">
        <w:rPr>
          <w:rFonts w:ascii="Century Gothic" w:hAnsi="Century Gothic" w:cs="Arial"/>
          <w:sz w:val="24"/>
          <w:szCs w:val="24"/>
        </w:rPr>
        <w:t xml:space="preserve">que propondrá al Pleno, a fin de que este designe a quien ocupará la 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presidencia de la Comisión Estatal de </w:t>
      </w:r>
      <w:r w:rsidR="007E717D">
        <w:rPr>
          <w:rFonts w:ascii="Century Gothic" w:hAnsi="Century Gothic" w:cs="Arial"/>
          <w:sz w:val="24"/>
          <w:szCs w:val="24"/>
        </w:rPr>
        <w:t xml:space="preserve">los </w:t>
      </w:r>
      <w:r w:rsidR="00836B27" w:rsidRPr="00EF3892">
        <w:rPr>
          <w:rFonts w:ascii="Century Gothic" w:hAnsi="Century Gothic" w:cs="Arial"/>
          <w:sz w:val="24"/>
          <w:szCs w:val="24"/>
        </w:rPr>
        <w:t>Derechos Humanos.</w:t>
      </w:r>
    </w:p>
    <w:p w14:paraId="4F316C1A" w14:textId="77777777" w:rsidR="00D55CD8" w:rsidRDefault="00D55CD8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6B3C2CEE" w14:textId="1BCE2A17" w:rsidR="006917C1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  <w:r w:rsidRPr="00EF3892">
        <w:rPr>
          <w:rFonts w:ascii="Century Gothic" w:eastAsia="Times New Roman" w:hAnsi="Century Gothic" w:cs="Arial"/>
          <w:b/>
          <w:sz w:val="24"/>
          <w:szCs w:val="24"/>
        </w:rPr>
        <w:t xml:space="preserve">VOTACIÓN EN EL PLENO: </w:t>
      </w:r>
    </w:p>
    <w:p w14:paraId="0F10DA5A" w14:textId="77777777" w:rsidR="00766CA2" w:rsidRPr="00EF3892" w:rsidRDefault="00766CA2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78193926" w14:textId="3CE466DD" w:rsidR="00500CA5" w:rsidRPr="00EF3892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DECIMOSEGUNDA.</w:t>
      </w:r>
      <w:r w:rsidRPr="00EF3892">
        <w:rPr>
          <w:rFonts w:ascii="Century Gothic" w:hAnsi="Century Gothic" w:cs="Arial"/>
          <w:sz w:val="24"/>
          <w:szCs w:val="24"/>
        </w:rPr>
        <w:t xml:space="preserve"> 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 El</w:t>
      </w:r>
      <w:r w:rsidR="00EB373F" w:rsidRPr="00EF3892">
        <w:rPr>
          <w:rFonts w:ascii="Century Gothic" w:hAnsi="Century Gothic" w:cs="Arial"/>
          <w:sz w:val="24"/>
          <w:szCs w:val="24"/>
        </w:rPr>
        <w:t xml:space="preserve"> Pleno del</w:t>
      </w:r>
      <w:r w:rsidR="00836B27" w:rsidRPr="00EF3892">
        <w:rPr>
          <w:rFonts w:ascii="Century Gothic" w:hAnsi="Century Gothic" w:cs="Arial"/>
          <w:sz w:val="24"/>
          <w:szCs w:val="24"/>
        </w:rPr>
        <w:t xml:space="preserve"> H. Congreso del Estado procederá a la elección, a más tardar el día </w:t>
      </w:r>
      <w:r w:rsidR="00D55CD8" w:rsidRPr="00D55CD8">
        <w:rPr>
          <w:rFonts w:ascii="Century Gothic" w:hAnsi="Century Gothic" w:cs="Arial"/>
          <w:sz w:val="24"/>
          <w:szCs w:val="24"/>
        </w:rPr>
        <w:t>10</w:t>
      </w:r>
      <w:r w:rsidR="00836B27" w:rsidRPr="00D55CD8">
        <w:rPr>
          <w:rFonts w:ascii="Century Gothic" w:hAnsi="Century Gothic" w:cs="Arial"/>
          <w:sz w:val="24"/>
          <w:szCs w:val="24"/>
        </w:rPr>
        <w:t xml:space="preserve"> de abril del año en curso.</w:t>
      </w:r>
    </w:p>
    <w:p w14:paraId="48545C08" w14:textId="77777777" w:rsidR="00EF3892" w:rsidRDefault="00EF3892" w:rsidP="00EF3892">
      <w:pPr>
        <w:spacing w:line="36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9F2178B" w14:textId="67FDB8EB" w:rsidR="00EF3892" w:rsidRPr="00D55CD8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PREVISIONES GENERALES: </w:t>
      </w:r>
    </w:p>
    <w:p w14:paraId="3110D596" w14:textId="675B705A" w:rsidR="00766CA2" w:rsidRPr="00EF3892" w:rsidRDefault="00766CA2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bCs/>
          <w:sz w:val="24"/>
          <w:szCs w:val="24"/>
        </w:rPr>
        <w:t xml:space="preserve">DECIMATERCERA. </w:t>
      </w:r>
      <w:r w:rsidR="00500CA5" w:rsidRPr="00EF3892">
        <w:rPr>
          <w:rFonts w:ascii="Century Gothic" w:hAnsi="Century Gothic" w:cs="Arial"/>
          <w:sz w:val="24"/>
          <w:szCs w:val="24"/>
        </w:rPr>
        <w:t>Para el buen desarrollo del procedimiento previsto en esta convocatoria, las Secretarías de Asuntos Legislativos y Jurídicos y de Administración del H. Congreso del Estado, apoyarán en el ámbito de su competencia proporcionando asistencia técnica, jurídica y de recursos materiales y humanos necesarios para el desahogo de las etapas correspondientes.</w:t>
      </w:r>
    </w:p>
    <w:p w14:paraId="48566EF2" w14:textId="60C48C30" w:rsidR="00836B27" w:rsidRPr="00EF3892" w:rsidRDefault="00EB373F" w:rsidP="00EF3892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DECIMO</w:t>
      </w:r>
      <w:r w:rsidR="00500CA5" w:rsidRPr="00EF3892">
        <w:rPr>
          <w:rFonts w:ascii="Century Gothic" w:hAnsi="Century Gothic" w:cs="Arial"/>
          <w:b/>
          <w:sz w:val="24"/>
          <w:szCs w:val="24"/>
        </w:rPr>
        <w:t>CUARTA</w:t>
      </w:r>
      <w:r w:rsidRPr="00EF3892">
        <w:rPr>
          <w:rFonts w:ascii="Century Gothic" w:hAnsi="Century Gothic" w:cs="Arial"/>
          <w:b/>
          <w:sz w:val="24"/>
          <w:szCs w:val="24"/>
        </w:rPr>
        <w:t>.</w:t>
      </w:r>
      <w:r w:rsidRPr="00EF3892">
        <w:rPr>
          <w:rFonts w:ascii="Century Gothic" w:hAnsi="Century Gothic" w:cs="Arial"/>
          <w:sz w:val="24"/>
          <w:szCs w:val="24"/>
        </w:rPr>
        <w:t xml:space="preserve"> </w:t>
      </w:r>
      <w:r w:rsidR="00836B27" w:rsidRPr="00EF3892">
        <w:rPr>
          <w:rFonts w:ascii="Century Gothic" w:hAnsi="Century Gothic" w:cs="Arial"/>
          <w:sz w:val="24"/>
          <w:szCs w:val="24"/>
        </w:rPr>
        <w:t>Lo no previsto en la presente Convocatoria será resuelto por la Junta de Coordinación Política del H. Congreso del Estado.</w:t>
      </w:r>
    </w:p>
    <w:p w14:paraId="7FCEC7DF" w14:textId="77777777" w:rsidR="006917C1" w:rsidRPr="00EF3892" w:rsidRDefault="006917C1" w:rsidP="00EF3892">
      <w:pPr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</w:rPr>
      </w:pPr>
    </w:p>
    <w:p w14:paraId="2D363978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sz w:val="24"/>
          <w:szCs w:val="24"/>
        </w:rPr>
      </w:pPr>
    </w:p>
    <w:p w14:paraId="144781D2" w14:textId="4D1B1A66" w:rsidR="006917C1" w:rsidRPr="00EF3892" w:rsidRDefault="006917C1" w:rsidP="00EF3892">
      <w:pPr>
        <w:spacing w:after="0" w:line="360" w:lineRule="auto"/>
        <w:jc w:val="right"/>
        <w:rPr>
          <w:rFonts w:ascii="Century Gothic" w:eastAsia="Times New Roman" w:hAnsi="Century Gothic" w:cs="Arial"/>
          <w:sz w:val="24"/>
          <w:szCs w:val="24"/>
        </w:rPr>
      </w:pPr>
      <w:r w:rsidRPr="00D55CD8">
        <w:rPr>
          <w:rFonts w:ascii="Century Gothic" w:eastAsia="Times New Roman" w:hAnsi="Century Gothic" w:cs="Arial"/>
          <w:sz w:val="24"/>
          <w:szCs w:val="24"/>
        </w:rPr>
        <w:t xml:space="preserve">Chihuahua, Chihuahua; a los </w:t>
      </w:r>
      <w:r w:rsidR="00D55CD8" w:rsidRPr="00D55CD8">
        <w:rPr>
          <w:rFonts w:ascii="Century Gothic" w:eastAsia="Times New Roman" w:hAnsi="Century Gothic" w:cs="Arial"/>
          <w:sz w:val="24"/>
          <w:szCs w:val="24"/>
        </w:rPr>
        <w:t>1</w:t>
      </w:r>
      <w:r w:rsidR="00F674E8">
        <w:rPr>
          <w:rFonts w:ascii="Century Gothic" w:eastAsia="Times New Roman" w:hAnsi="Century Gothic" w:cs="Arial"/>
          <w:sz w:val="24"/>
          <w:szCs w:val="24"/>
        </w:rPr>
        <w:t>4</w:t>
      </w:r>
      <w:r w:rsidRPr="00D55CD8">
        <w:rPr>
          <w:rFonts w:ascii="Century Gothic" w:eastAsia="Times New Roman" w:hAnsi="Century Gothic" w:cs="Arial"/>
          <w:sz w:val="24"/>
          <w:szCs w:val="24"/>
        </w:rPr>
        <w:t xml:space="preserve"> días del mes de </w:t>
      </w:r>
      <w:r w:rsidR="00F7547C">
        <w:rPr>
          <w:rFonts w:ascii="Century Gothic" w:eastAsia="Times New Roman" w:hAnsi="Century Gothic" w:cs="Arial"/>
          <w:sz w:val="24"/>
          <w:szCs w:val="24"/>
        </w:rPr>
        <w:t>febrero</w:t>
      </w:r>
      <w:r w:rsidRPr="00D55CD8">
        <w:rPr>
          <w:rFonts w:ascii="Century Gothic" w:eastAsia="Times New Roman" w:hAnsi="Century Gothic" w:cs="Arial"/>
          <w:sz w:val="24"/>
          <w:szCs w:val="24"/>
        </w:rPr>
        <w:t xml:space="preserve"> de 202</w:t>
      </w:r>
      <w:r w:rsidR="00836B27" w:rsidRPr="00D55CD8">
        <w:rPr>
          <w:rFonts w:ascii="Century Gothic" w:eastAsia="Times New Roman" w:hAnsi="Century Gothic" w:cs="Arial"/>
          <w:sz w:val="24"/>
          <w:szCs w:val="24"/>
        </w:rPr>
        <w:t>4</w:t>
      </w:r>
    </w:p>
    <w:p w14:paraId="71EEA072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A8E3CF5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6DC57378" w14:textId="77777777" w:rsidR="006917C1" w:rsidRPr="00EF3892" w:rsidRDefault="006917C1" w:rsidP="00EF3892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0165D30D" w14:textId="77777777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F3892">
        <w:rPr>
          <w:rFonts w:ascii="Century Gothic" w:hAnsi="Century Gothic" w:cs="Arial"/>
          <w:b/>
          <w:sz w:val="24"/>
          <w:szCs w:val="24"/>
        </w:rPr>
        <w:t>Dip. Noel Chávez Velázquez</w:t>
      </w:r>
    </w:p>
    <w:p w14:paraId="3A5E44A8" w14:textId="77777777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Presidente de la Junta de Coordinación Política </w:t>
      </w:r>
    </w:p>
    <w:p w14:paraId="4B45CFBA" w14:textId="77777777" w:rsidR="00EB373F" w:rsidRPr="00EF3892" w:rsidRDefault="00836B27" w:rsidP="00EF3892">
      <w:pPr>
        <w:pStyle w:val="Sinespaciado"/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y Coordinador del Grupo Parlamentario </w:t>
      </w:r>
    </w:p>
    <w:p w14:paraId="4D7CBDF1" w14:textId="25ABCF8B" w:rsidR="00836B27" w:rsidRPr="00EF3892" w:rsidRDefault="00836B27" w:rsidP="00EF3892">
      <w:pPr>
        <w:pStyle w:val="Sinespaciado"/>
        <w:spacing w:line="360" w:lineRule="auto"/>
        <w:jc w:val="center"/>
        <w:rPr>
          <w:rFonts w:ascii="Century Gothic" w:eastAsia="Times New Roman" w:hAnsi="Century Gothic" w:cs="Arial"/>
          <w:bCs/>
          <w:sz w:val="24"/>
          <w:szCs w:val="24"/>
          <w:lang w:val="es-ES_tradnl"/>
        </w:rPr>
      </w:pPr>
      <w:r w:rsidRPr="00EF3892">
        <w:rPr>
          <w:rFonts w:ascii="Century Gothic" w:hAnsi="Century Gothic" w:cs="Arial"/>
          <w:sz w:val="24"/>
          <w:szCs w:val="24"/>
        </w:rPr>
        <w:t xml:space="preserve">del Partido </w:t>
      </w:r>
      <w:r w:rsidRPr="00EF3892">
        <w:rPr>
          <w:rFonts w:ascii="Century Gothic" w:hAnsi="Century Gothic" w:cs="Arial"/>
          <w:sz w:val="24"/>
          <w:szCs w:val="24"/>
          <w:lang w:val="es-ES"/>
        </w:rPr>
        <w:t>Revolucionario Institucional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04"/>
        <w:gridCol w:w="61"/>
        <w:gridCol w:w="4466"/>
      </w:tblGrid>
      <w:tr w:rsidR="00836B27" w:rsidRPr="00EF3892" w14:paraId="4EBF2C0D" w14:textId="77777777" w:rsidTr="00DA751C">
        <w:tc>
          <w:tcPr>
            <w:tcW w:w="4404" w:type="dxa"/>
            <w:shd w:val="clear" w:color="auto" w:fill="FFFFFF" w:themeFill="background1"/>
          </w:tcPr>
          <w:p w14:paraId="458FB4D8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</w:p>
          <w:p w14:paraId="3519AAB2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B63B8B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E1704E8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4242813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F3892">
              <w:rPr>
                <w:rFonts w:ascii="Century Gothic" w:hAnsi="Century Gothic" w:cs="Arial"/>
                <w:b/>
                <w:sz w:val="24"/>
                <w:szCs w:val="24"/>
              </w:rPr>
              <w:t>Dip. José Alfredo Chávez Madrid</w:t>
            </w:r>
          </w:p>
          <w:p w14:paraId="5A223B0A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EF3892">
              <w:rPr>
                <w:rFonts w:ascii="Century Gothic" w:hAnsi="Century Gothic" w:cs="Arial"/>
                <w:sz w:val="24"/>
                <w:szCs w:val="24"/>
              </w:rPr>
              <w:t>Coordinador del Grupo Parlamentario del Partido Acción Nacional</w:t>
            </w:r>
          </w:p>
        </w:tc>
        <w:tc>
          <w:tcPr>
            <w:tcW w:w="4527" w:type="dxa"/>
            <w:gridSpan w:val="2"/>
            <w:shd w:val="clear" w:color="auto" w:fill="FFFFFF" w:themeFill="background1"/>
          </w:tcPr>
          <w:p w14:paraId="6E3FDC2D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</w:p>
          <w:p w14:paraId="22EE999E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36881233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1D2EF32A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2D33546C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proofErr w:type="spellStart"/>
            <w:r w:rsidRPr="00EF3892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Dip</w:t>
            </w:r>
            <w:proofErr w:type="spellEnd"/>
            <w:r w:rsidRPr="00EF3892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. Edin Cuauhtémoc Estrada Sotelo</w:t>
            </w:r>
          </w:p>
          <w:p w14:paraId="253A759F" w14:textId="77777777" w:rsidR="00836B27" w:rsidRPr="00EF3892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4"/>
                <w:szCs w:val="24"/>
                <w:lang w:val="es-ES_tradnl"/>
              </w:rPr>
            </w:pPr>
            <w:r w:rsidRPr="00EF3892">
              <w:rPr>
                <w:rFonts w:ascii="Century Gothic" w:hAnsi="Century Gothic" w:cs="Arial"/>
                <w:sz w:val="24"/>
                <w:szCs w:val="24"/>
                <w:lang w:val="es-ES"/>
              </w:rPr>
              <w:t xml:space="preserve"> Coordinador del Grupo Parlamentario del Partido MORENA</w:t>
            </w:r>
          </w:p>
        </w:tc>
      </w:tr>
      <w:tr w:rsidR="00836B27" w:rsidRPr="00EF3892" w14:paraId="70E3C581" w14:textId="77777777" w:rsidTr="00DA751C">
        <w:trPr>
          <w:trHeight w:val="80"/>
        </w:trPr>
        <w:tc>
          <w:tcPr>
            <w:tcW w:w="8931" w:type="dxa"/>
            <w:gridSpan w:val="3"/>
            <w:shd w:val="clear" w:color="auto" w:fill="FFFFFF" w:themeFill="background1"/>
          </w:tcPr>
          <w:p w14:paraId="3C62D2AC" w14:textId="77777777" w:rsidR="00836B27" w:rsidRDefault="00836B27" w:rsidP="00EF3892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14:paraId="3F06D4E5" w14:textId="77777777" w:rsidR="00DA751C" w:rsidRDefault="00DA751C" w:rsidP="00EF3892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14:paraId="1709E004" w14:textId="0422357A" w:rsidR="00DA751C" w:rsidRPr="00EF3892" w:rsidRDefault="00DA751C" w:rsidP="00DA751C">
            <w:pPr>
              <w:pStyle w:val="Sinespaciado"/>
              <w:spacing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A751C" w:rsidRPr="00EF3892" w14:paraId="42CA98F3" w14:textId="77777777" w:rsidTr="00DA751C">
        <w:trPr>
          <w:trHeight w:val="1924"/>
        </w:trPr>
        <w:tc>
          <w:tcPr>
            <w:tcW w:w="4465" w:type="dxa"/>
            <w:gridSpan w:val="2"/>
            <w:shd w:val="clear" w:color="auto" w:fill="FFFFFF" w:themeFill="background1"/>
          </w:tcPr>
          <w:p w14:paraId="16EC6029" w14:textId="4C79A81F" w:rsidR="00DA751C" w:rsidRDefault="00DA751C" w:rsidP="00DA751C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Dip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. Adriana Terrazas Porras</w:t>
            </w:r>
          </w:p>
          <w:p w14:paraId="75339229" w14:textId="77777777" w:rsidR="00DA751C" w:rsidRDefault="00DA751C" w:rsidP="00DA751C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>Presidenta de la Mesa Directiva del</w:t>
            </w:r>
          </w:p>
          <w:p w14:paraId="53076506" w14:textId="7E0CCF4D" w:rsidR="00DA751C" w:rsidRPr="00DA751C" w:rsidRDefault="00DA751C" w:rsidP="00DA751C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val="es-ES_tradnl"/>
              </w:rPr>
              <w:t>H. Congreso del Estado</w:t>
            </w:r>
          </w:p>
        </w:tc>
        <w:tc>
          <w:tcPr>
            <w:tcW w:w="4466" w:type="dxa"/>
            <w:shd w:val="clear" w:color="auto" w:fill="FFFFFF" w:themeFill="background1"/>
          </w:tcPr>
          <w:p w14:paraId="36BB6B6C" w14:textId="4F14E527" w:rsidR="00DA751C" w:rsidRPr="00EF3892" w:rsidRDefault="00DA751C" w:rsidP="00DA751C">
            <w:pPr>
              <w:pStyle w:val="Sinespaciado"/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EF3892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Dip</w:t>
            </w:r>
            <w:proofErr w:type="spellEnd"/>
            <w:r w:rsidRPr="00EF3892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ES_tradnl"/>
              </w:rPr>
              <w:t>.  Francisco Adrián Sánchez Villegas</w:t>
            </w:r>
          </w:p>
          <w:p w14:paraId="242BE3B0" w14:textId="77777777" w:rsidR="00DA751C" w:rsidRPr="00EF3892" w:rsidRDefault="00DA751C" w:rsidP="00EF3892">
            <w:pPr>
              <w:pStyle w:val="Sinespaciado"/>
              <w:spacing w:line="360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s-ES_tradnl"/>
              </w:rPr>
            </w:pPr>
            <w:r w:rsidRPr="00EF3892">
              <w:rPr>
                <w:rFonts w:ascii="Century Gothic" w:hAnsi="Century Gothic" w:cs="Arial"/>
                <w:sz w:val="24"/>
                <w:szCs w:val="24"/>
                <w:lang w:val="es-ES_tradnl"/>
              </w:rPr>
              <w:t>Representante Parlamentario de Movimiento Ciudadano</w:t>
            </w:r>
          </w:p>
        </w:tc>
      </w:tr>
    </w:tbl>
    <w:p w14:paraId="3A75D04D" w14:textId="77777777" w:rsidR="006917C1" w:rsidRPr="00EF3892" w:rsidRDefault="006917C1" w:rsidP="00EF3892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sectPr w:rsidR="006917C1" w:rsidRPr="00EF3892" w:rsidSect="00691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418" w:right="1418" w:bottom="1276" w:left="1418" w:header="425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ABAF" w14:textId="77777777" w:rsidR="004C7220" w:rsidRDefault="004C7220" w:rsidP="006917C1">
      <w:pPr>
        <w:spacing w:after="0" w:line="240" w:lineRule="auto"/>
      </w:pPr>
      <w:r>
        <w:separator/>
      </w:r>
    </w:p>
  </w:endnote>
  <w:endnote w:type="continuationSeparator" w:id="0">
    <w:p w14:paraId="1D3844B9" w14:textId="77777777" w:rsidR="004C7220" w:rsidRDefault="004C7220" w:rsidP="0069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F682" w14:textId="77777777" w:rsidR="005C72EF" w:rsidRDefault="005C72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475955040"/>
      <w:docPartObj>
        <w:docPartGallery w:val="Page Numbers (Bottom of Page)"/>
        <w:docPartUnique/>
      </w:docPartObj>
    </w:sdtPr>
    <w:sdtEndPr/>
    <w:sdtContent>
      <w:p w14:paraId="71EC1D9D" w14:textId="77777777" w:rsidR="003F36F6" w:rsidRDefault="001C6A5C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>]</w:t>
        </w:r>
      </w:p>
    </w:sdtContent>
  </w:sdt>
  <w:p w14:paraId="0A390095" w14:textId="77777777" w:rsidR="00B55949" w:rsidRDefault="004C72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6C1C" w14:textId="77777777" w:rsidR="005C72EF" w:rsidRDefault="005C72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4CD1" w14:textId="77777777" w:rsidR="004C7220" w:rsidRDefault="004C7220" w:rsidP="006917C1">
      <w:pPr>
        <w:spacing w:after="0" w:line="240" w:lineRule="auto"/>
      </w:pPr>
      <w:r>
        <w:separator/>
      </w:r>
    </w:p>
  </w:footnote>
  <w:footnote w:type="continuationSeparator" w:id="0">
    <w:p w14:paraId="58665ECB" w14:textId="77777777" w:rsidR="004C7220" w:rsidRDefault="004C7220" w:rsidP="0069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B83" w14:textId="5FC409D3" w:rsidR="005C72EF" w:rsidRDefault="005C72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43E" w14:textId="7EB9DC0F" w:rsidR="002B524E" w:rsidRDefault="001C6A5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23D3BC" wp14:editId="01B99A5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EC824D" w14:textId="77777777" w:rsidR="00B55949" w:rsidRDefault="004C7220">
    <w:pPr>
      <w:pStyle w:val="Encabezado"/>
    </w:pPr>
  </w:p>
  <w:p w14:paraId="224F8B28" w14:textId="77777777" w:rsidR="00B55949" w:rsidRDefault="004C7220">
    <w:pPr>
      <w:pStyle w:val="Encabezado"/>
    </w:pPr>
  </w:p>
  <w:p w14:paraId="609A466F" w14:textId="77777777" w:rsidR="00B55949" w:rsidRDefault="004C7220">
    <w:pPr>
      <w:pStyle w:val="Encabezado"/>
    </w:pPr>
  </w:p>
  <w:p w14:paraId="198D066A" w14:textId="77777777" w:rsidR="00B55949" w:rsidRDefault="004C7220">
    <w:pPr>
      <w:pStyle w:val="Encabezado"/>
    </w:pPr>
  </w:p>
  <w:p w14:paraId="523BCE2C" w14:textId="77777777" w:rsidR="00B55949" w:rsidRDefault="004C7220">
    <w:pPr>
      <w:pStyle w:val="Encabezado"/>
    </w:pPr>
  </w:p>
  <w:p w14:paraId="5B615AA1" w14:textId="77777777" w:rsidR="00B55949" w:rsidRDefault="004C7220">
    <w:pPr>
      <w:pStyle w:val="Encabezado"/>
    </w:pPr>
  </w:p>
  <w:p w14:paraId="40DEBADD" w14:textId="77777777" w:rsidR="00B55949" w:rsidRDefault="004C72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F0A2" w14:textId="4BED0ACC" w:rsidR="005C72EF" w:rsidRDefault="005C7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89C"/>
    <w:multiLevelType w:val="hybridMultilevel"/>
    <w:tmpl w:val="8B0E0FB6"/>
    <w:lvl w:ilvl="0" w:tplc="05B4482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0D0"/>
    <w:multiLevelType w:val="hybridMultilevel"/>
    <w:tmpl w:val="36889028"/>
    <w:lvl w:ilvl="0" w:tplc="CDF02BC8">
      <w:start w:val="1"/>
      <w:numFmt w:val="upperRoman"/>
      <w:lvlText w:val="%1."/>
      <w:lvlJc w:val="right"/>
      <w:pPr>
        <w:ind w:left="1428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8610D65"/>
    <w:multiLevelType w:val="hybridMultilevel"/>
    <w:tmpl w:val="3FBECD18"/>
    <w:lvl w:ilvl="0" w:tplc="B86A5B6C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64363F"/>
    <w:multiLevelType w:val="hybridMultilevel"/>
    <w:tmpl w:val="458462A0"/>
    <w:lvl w:ilvl="0" w:tplc="080A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F7857D9"/>
    <w:multiLevelType w:val="hybridMultilevel"/>
    <w:tmpl w:val="37841D4C"/>
    <w:lvl w:ilvl="0" w:tplc="6C94F118">
      <w:start w:val="1"/>
      <w:numFmt w:val="decimal"/>
      <w:lvlText w:val="%1."/>
      <w:lvlJc w:val="left"/>
      <w:pPr>
        <w:ind w:left="1425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1"/>
    <w:rsid w:val="00054DE9"/>
    <w:rsid w:val="000F3742"/>
    <w:rsid w:val="00123970"/>
    <w:rsid w:val="001C6A5C"/>
    <w:rsid w:val="001F6664"/>
    <w:rsid w:val="002606B8"/>
    <w:rsid w:val="003937E0"/>
    <w:rsid w:val="003A4706"/>
    <w:rsid w:val="003D030D"/>
    <w:rsid w:val="003E1AC7"/>
    <w:rsid w:val="004C7220"/>
    <w:rsid w:val="004F6BAD"/>
    <w:rsid w:val="00500CA5"/>
    <w:rsid w:val="005C6ACA"/>
    <w:rsid w:val="005C72EF"/>
    <w:rsid w:val="005E4CEA"/>
    <w:rsid w:val="00690CA7"/>
    <w:rsid w:val="006917C1"/>
    <w:rsid w:val="00745EEA"/>
    <w:rsid w:val="007576E0"/>
    <w:rsid w:val="00766CA2"/>
    <w:rsid w:val="007E717D"/>
    <w:rsid w:val="007F5C44"/>
    <w:rsid w:val="00836B27"/>
    <w:rsid w:val="00843879"/>
    <w:rsid w:val="008E775E"/>
    <w:rsid w:val="00935EBA"/>
    <w:rsid w:val="00AC21F9"/>
    <w:rsid w:val="00AC48E3"/>
    <w:rsid w:val="00BA1196"/>
    <w:rsid w:val="00BB29C9"/>
    <w:rsid w:val="00C05205"/>
    <w:rsid w:val="00C535A1"/>
    <w:rsid w:val="00CB76C3"/>
    <w:rsid w:val="00CE2198"/>
    <w:rsid w:val="00D55CD8"/>
    <w:rsid w:val="00DA0B20"/>
    <w:rsid w:val="00DA751C"/>
    <w:rsid w:val="00DC541A"/>
    <w:rsid w:val="00DC724A"/>
    <w:rsid w:val="00EB373F"/>
    <w:rsid w:val="00EF3892"/>
    <w:rsid w:val="00F674E8"/>
    <w:rsid w:val="00F7547C"/>
    <w:rsid w:val="00F75A1F"/>
    <w:rsid w:val="00F87AFC"/>
    <w:rsid w:val="00FB1C2D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98164"/>
  <w15:chartTrackingRefBased/>
  <w15:docId w15:val="{5C42A5FC-592E-483A-A43C-CC874B4B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7C1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9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7C1"/>
  </w:style>
  <w:style w:type="paragraph" w:styleId="Piedepgina">
    <w:name w:val="footer"/>
    <w:basedOn w:val="Normal"/>
    <w:link w:val="PiedepginaCar"/>
    <w:uiPriority w:val="99"/>
    <w:unhideWhenUsed/>
    <w:rsid w:val="00691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7C1"/>
  </w:style>
  <w:style w:type="table" w:styleId="Tablanormal4">
    <w:name w:val="Plain Table 4"/>
    <w:basedOn w:val="Tablanormal"/>
    <w:uiPriority w:val="44"/>
    <w:rsid w:val="006917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nespaciadoCar">
    <w:name w:val="Sin espaciado Car"/>
    <w:link w:val="Sinespaciado"/>
    <w:uiPriority w:val="1"/>
    <w:locked/>
    <w:rsid w:val="00836B27"/>
  </w:style>
  <w:style w:type="paragraph" w:styleId="Sinespaciado">
    <w:name w:val="No Spacing"/>
    <w:link w:val="SinespaciadoCar"/>
    <w:uiPriority w:val="1"/>
    <w:qFormat/>
    <w:rsid w:val="00836B2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674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74E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ochihuahua.gob.mx/micrositios/presidenciacedh/202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76EC-FED7-403C-BDC5-EA3E2253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Jahzziel Ismerai Aguirre Reyes</dc:creator>
  <cp:keywords/>
  <dc:description/>
  <cp:lastModifiedBy>Susana Unzueta Saenz</cp:lastModifiedBy>
  <cp:revision>2</cp:revision>
  <cp:lastPrinted>2024-02-15T18:42:00Z</cp:lastPrinted>
  <dcterms:created xsi:type="dcterms:W3CDTF">2024-04-17T16:11:00Z</dcterms:created>
  <dcterms:modified xsi:type="dcterms:W3CDTF">2024-04-17T16:11:00Z</dcterms:modified>
</cp:coreProperties>
</file>