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F9CFA" w14:textId="57A1E89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76C7C">
        <w:rPr>
          <w:rFonts w:ascii="Arial" w:hAnsi="Arial" w:cs="Arial"/>
          <w:b/>
          <w:sz w:val="24"/>
          <w:szCs w:val="24"/>
        </w:rPr>
        <w:t>HONORABLE CONGRESO DEL ESTADO</w:t>
      </w:r>
    </w:p>
    <w:p w14:paraId="17960880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76C7C">
        <w:rPr>
          <w:rFonts w:ascii="Arial" w:hAnsi="Arial" w:cs="Arial"/>
          <w:b/>
          <w:sz w:val="24"/>
          <w:szCs w:val="24"/>
        </w:rPr>
        <w:t>PRESENTE.</w:t>
      </w:r>
    </w:p>
    <w:p w14:paraId="2DE3B304" w14:textId="60AD6F0D" w:rsidR="00A32882" w:rsidRDefault="00A32882" w:rsidP="0005076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El suscrito Diputado de la Sexagésima Octava Legislatura e integrante del Grup</w:t>
      </w:r>
      <w:r w:rsidR="00D76C7C">
        <w:rPr>
          <w:rFonts w:ascii="Arial" w:hAnsi="Arial" w:cs="Arial"/>
          <w:sz w:val="24"/>
          <w:szCs w:val="24"/>
        </w:rPr>
        <w:t xml:space="preserve">o </w:t>
      </w:r>
      <w:r w:rsidRPr="00D76C7C">
        <w:rPr>
          <w:rFonts w:ascii="Arial" w:hAnsi="Arial" w:cs="Arial"/>
          <w:sz w:val="24"/>
          <w:szCs w:val="24"/>
        </w:rPr>
        <w:t>Parlamentario del Partido Acción Nacional Arturo Zubia Fernández, con fundamento en lo dispuesto en los artículos 64 de la Constitución Política; 169 de la Ley Orgánica del Poder Legislativo, así como 76 y 77 del Reglamento Interior y de Prácticas Parlamentarias del Poder Legislativo, someto a consideración de esta Soberanía, la siguiente Proposición con Carácter de Punto de Acuerdo, mediante la cual se exhorta respetuosamente al gobierno federal, al gobierno del estado de chihuahua y a los gobiernos municipales del estado, para que, de manera coordinada y urgente, implementen acciones preventivas y emergentes ante la reducción de las precipitaciones y la disminución de la disponibilidad de agua para el sector agrícola, incluyendo la planeación, estudio, autorización, perforación y equipamiento de pozos agrícolas, particularmente en la región centro-sur del estado, destinados a módulos de riego y asociaciones agrícolas, para su administración y operación por parte de los propios usuarios.</w:t>
      </w:r>
    </w:p>
    <w:p w14:paraId="788A2EB2" w14:textId="77777777" w:rsidR="0005076A" w:rsidRPr="00D76C7C" w:rsidRDefault="0005076A" w:rsidP="0005076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3575FEC" w14:textId="77777777" w:rsidR="00A32882" w:rsidRPr="00D76C7C" w:rsidRDefault="00A32882" w:rsidP="00D76C7C">
      <w:pPr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76C7C">
        <w:rPr>
          <w:rFonts w:ascii="Arial" w:hAnsi="Arial" w:cs="Arial"/>
          <w:b/>
          <w:sz w:val="24"/>
          <w:szCs w:val="24"/>
        </w:rPr>
        <w:t>EXPOSICIÓN DE MOTIVOS</w:t>
      </w:r>
    </w:p>
    <w:p w14:paraId="2EF05740" w14:textId="37598BD4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El Estado de Chihuahua atraviesa una situación de elevada vulnerabilidad hídrica que amenaza directamente la continuidad de las actividades agrícolas y, con ello, la economía y las fuentes de empleo de</w:t>
      </w:r>
      <w:r w:rsidR="009A293D" w:rsidRPr="00D76C7C">
        <w:rPr>
          <w:rFonts w:ascii="Arial" w:hAnsi="Arial" w:cs="Arial"/>
          <w:sz w:val="24"/>
          <w:szCs w:val="24"/>
        </w:rPr>
        <w:t xml:space="preserve"> numerosas comunidades rurales. </w:t>
      </w:r>
      <w:r w:rsidRPr="00D76C7C">
        <w:rPr>
          <w:rFonts w:ascii="Arial" w:hAnsi="Arial" w:cs="Arial"/>
          <w:sz w:val="24"/>
          <w:szCs w:val="24"/>
        </w:rPr>
        <w:t>La agricultura chihuahuense depende de manera importante de la disponibilidad de agua almacenada en presas, de los escurrimientos superficiales y del aprovechamiento de aguas subterráneas.</w:t>
      </w:r>
    </w:p>
    <w:p w14:paraId="76AB310A" w14:textId="3BE766A5" w:rsidR="00A32882" w:rsidRPr="00D76C7C" w:rsidRDefault="009A293D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D</w:t>
      </w:r>
      <w:r w:rsidR="00A32882" w:rsidRPr="00D76C7C">
        <w:rPr>
          <w:rFonts w:ascii="Arial" w:hAnsi="Arial" w:cs="Arial"/>
          <w:sz w:val="24"/>
          <w:szCs w:val="24"/>
        </w:rPr>
        <w:t>urante los últimos años se han presentado periodos recurrentes de precipitación por debajo de los niveles necesarios para garantizar una recuperación adecuada de los principales almacena</w:t>
      </w:r>
      <w:r w:rsidRPr="00D76C7C">
        <w:rPr>
          <w:rFonts w:ascii="Arial" w:hAnsi="Arial" w:cs="Arial"/>
          <w:sz w:val="24"/>
          <w:szCs w:val="24"/>
        </w:rPr>
        <w:t>mientos hidráulicos del Estado y e</w:t>
      </w:r>
      <w:r w:rsidR="00A32882" w:rsidRPr="00D76C7C">
        <w:rPr>
          <w:rFonts w:ascii="Arial" w:hAnsi="Arial" w:cs="Arial"/>
          <w:sz w:val="24"/>
          <w:szCs w:val="24"/>
        </w:rPr>
        <w:t>l problema se ha agudizado durante 2026, año en el que las precipitaciones acumuladas han resultado insuficientes para recuperar de manera significativa los niveles de las principales presas.</w:t>
      </w:r>
    </w:p>
    <w:p w14:paraId="20854160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La información climatológica del Servicio Meteorológico Nacional de la Comisión Nacional del Agua permite observar la variabilidad y el comportamiento de las precipitaciones durante los últimos años. CONAGUA mantiene los registros históricos de temperatura y</w:t>
      </w:r>
      <w:r w:rsidR="007F3056" w:rsidRPr="00D76C7C">
        <w:rPr>
          <w:rFonts w:ascii="Arial" w:hAnsi="Arial" w:cs="Arial"/>
          <w:sz w:val="24"/>
          <w:szCs w:val="24"/>
        </w:rPr>
        <w:t xml:space="preserve"> lluvia por entidad federativa por lo que l</w:t>
      </w:r>
      <w:r w:rsidRPr="00D76C7C">
        <w:rPr>
          <w:rFonts w:ascii="Arial" w:hAnsi="Arial" w:cs="Arial"/>
          <w:sz w:val="24"/>
          <w:szCs w:val="24"/>
        </w:rPr>
        <w:t>a siguiente tabla presenta el comportamiento de la precipitación anual utilizada como referencia para dimensionar la problemática:</w:t>
      </w:r>
    </w:p>
    <w:p w14:paraId="3329B35A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870" w:type="dxa"/>
        <w:jc w:val="center"/>
        <w:tblLook w:val="04A0" w:firstRow="1" w:lastRow="0" w:firstColumn="1" w:lastColumn="0" w:noHBand="0" w:noVBand="1"/>
      </w:tblPr>
      <w:tblGrid>
        <w:gridCol w:w="4435"/>
        <w:gridCol w:w="4435"/>
      </w:tblGrid>
      <w:tr w:rsidR="00714726" w:rsidRPr="00D76C7C" w14:paraId="754A0C5B" w14:textId="77777777" w:rsidTr="00714726">
        <w:trPr>
          <w:trHeight w:val="427"/>
          <w:jc w:val="center"/>
        </w:trPr>
        <w:tc>
          <w:tcPr>
            <w:tcW w:w="4435" w:type="dxa"/>
          </w:tcPr>
          <w:p w14:paraId="61D2555E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Año</w:t>
            </w:r>
          </w:p>
        </w:tc>
        <w:tc>
          <w:tcPr>
            <w:tcW w:w="4435" w:type="dxa"/>
          </w:tcPr>
          <w:p w14:paraId="5D21D089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Precipitación anual aproximada</w:t>
            </w:r>
          </w:p>
        </w:tc>
      </w:tr>
      <w:tr w:rsidR="00714726" w:rsidRPr="00D76C7C" w14:paraId="72638BE7" w14:textId="77777777" w:rsidTr="00714726">
        <w:trPr>
          <w:trHeight w:val="427"/>
          <w:jc w:val="center"/>
        </w:trPr>
        <w:tc>
          <w:tcPr>
            <w:tcW w:w="4435" w:type="dxa"/>
          </w:tcPr>
          <w:p w14:paraId="34C8F12D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lastRenderedPageBreak/>
              <w:t>2010</w:t>
            </w:r>
          </w:p>
        </w:tc>
        <w:tc>
          <w:tcPr>
            <w:tcW w:w="4435" w:type="dxa"/>
          </w:tcPr>
          <w:p w14:paraId="1BD91767" w14:textId="77777777" w:rsidR="00714726" w:rsidRPr="00D76C7C" w:rsidRDefault="00714726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470.0 mm</w:t>
            </w:r>
          </w:p>
        </w:tc>
      </w:tr>
      <w:tr w:rsidR="00714726" w:rsidRPr="00D76C7C" w14:paraId="34FA0EF0" w14:textId="77777777" w:rsidTr="00714726">
        <w:trPr>
          <w:trHeight w:val="427"/>
          <w:jc w:val="center"/>
        </w:trPr>
        <w:tc>
          <w:tcPr>
            <w:tcW w:w="4435" w:type="dxa"/>
          </w:tcPr>
          <w:p w14:paraId="6FFB13AD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4435" w:type="dxa"/>
          </w:tcPr>
          <w:p w14:paraId="0E2ED04F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260.5 mm</w:t>
            </w:r>
          </w:p>
        </w:tc>
      </w:tr>
      <w:tr w:rsidR="00714726" w:rsidRPr="00D76C7C" w14:paraId="03E2E825" w14:textId="77777777" w:rsidTr="00714726">
        <w:trPr>
          <w:trHeight w:val="427"/>
          <w:jc w:val="center"/>
        </w:trPr>
        <w:tc>
          <w:tcPr>
            <w:tcW w:w="4435" w:type="dxa"/>
          </w:tcPr>
          <w:p w14:paraId="781BD56A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4435" w:type="dxa"/>
          </w:tcPr>
          <w:p w14:paraId="5ED7479B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471.5 mm</w:t>
            </w:r>
          </w:p>
        </w:tc>
      </w:tr>
      <w:tr w:rsidR="00714726" w:rsidRPr="00D76C7C" w14:paraId="6808DFAC" w14:textId="77777777" w:rsidTr="00714726">
        <w:trPr>
          <w:trHeight w:val="427"/>
          <w:jc w:val="center"/>
        </w:trPr>
        <w:tc>
          <w:tcPr>
            <w:tcW w:w="4435" w:type="dxa"/>
          </w:tcPr>
          <w:p w14:paraId="32F076F5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4435" w:type="dxa"/>
          </w:tcPr>
          <w:p w14:paraId="4E107297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618.2 mm</w:t>
            </w:r>
          </w:p>
        </w:tc>
      </w:tr>
      <w:tr w:rsidR="00714726" w:rsidRPr="00D76C7C" w14:paraId="4AC1C57E" w14:textId="77777777" w:rsidTr="00714726">
        <w:trPr>
          <w:trHeight w:val="427"/>
          <w:jc w:val="center"/>
        </w:trPr>
        <w:tc>
          <w:tcPr>
            <w:tcW w:w="4435" w:type="dxa"/>
          </w:tcPr>
          <w:p w14:paraId="3779BB00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4435" w:type="dxa"/>
          </w:tcPr>
          <w:p w14:paraId="5407CFF5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490.0 mm</w:t>
            </w:r>
          </w:p>
        </w:tc>
      </w:tr>
      <w:tr w:rsidR="00714726" w:rsidRPr="00D76C7C" w14:paraId="008DB349" w14:textId="77777777" w:rsidTr="00714726">
        <w:trPr>
          <w:trHeight w:val="427"/>
          <w:jc w:val="center"/>
        </w:trPr>
        <w:tc>
          <w:tcPr>
            <w:tcW w:w="4435" w:type="dxa"/>
          </w:tcPr>
          <w:p w14:paraId="06C2444D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2015</w:t>
            </w:r>
          </w:p>
        </w:tc>
        <w:tc>
          <w:tcPr>
            <w:tcW w:w="4435" w:type="dxa"/>
          </w:tcPr>
          <w:p w14:paraId="65C2E30F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630.5 mm</w:t>
            </w:r>
          </w:p>
        </w:tc>
      </w:tr>
      <w:tr w:rsidR="00714726" w:rsidRPr="00D76C7C" w14:paraId="5ADF3733" w14:textId="77777777" w:rsidTr="00714726">
        <w:trPr>
          <w:trHeight w:val="412"/>
          <w:jc w:val="center"/>
        </w:trPr>
        <w:tc>
          <w:tcPr>
            <w:tcW w:w="4435" w:type="dxa"/>
          </w:tcPr>
          <w:p w14:paraId="57239C29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2016</w:t>
            </w:r>
          </w:p>
        </w:tc>
        <w:tc>
          <w:tcPr>
            <w:tcW w:w="4435" w:type="dxa"/>
          </w:tcPr>
          <w:p w14:paraId="0C2AA3EB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512.5 mm</w:t>
            </w:r>
          </w:p>
        </w:tc>
      </w:tr>
      <w:tr w:rsidR="00714726" w:rsidRPr="00D76C7C" w14:paraId="2CCAB6A1" w14:textId="77777777" w:rsidTr="00714726">
        <w:trPr>
          <w:trHeight w:val="412"/>
          <w:jc w:val="center"/>
        </w:trPr>
        <w:tc>
          <w:tcPr>
            <w:tcW w:w="4435" w:type="dxa"/>
          </w:tcPr>
          <w:p w14:paraId="40558EA5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2017</w:t>
            </w:r>
          </w:p>
        </w:tc>
        <w:tc>
          <w:tcPr>
            <w:tcW w:w="4435" w:type="dxa"/>
          </w:tcPr>
          <w:p w14:paraId="2D4E3818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453.8 mm</w:t>
            </w:r>
          </w:p>
        </w:tc>
      </w:tr>
      <w:tr w:rsidR="00714726" w:rsidRPr="00D76C7C" w14:paraId="5EF49288" w14:textId="77777777" w:rsidTr="00714726">
        <w:trPr>
          <w:trHeight w:val="412"/>
          <w:jc w:val="center"/>
        </w:trPr>
        <w:tc>
          <w:tcPr>
            <w:tcW w:w="4435" w:type="dxa"/>
          </w:tcPr>
          <w:p w14:paraId="77CD0405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4435" w:type="dxa"/>
          </w:tcPr>
          <w:p w14:paraId="0F20233D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490.8 mm</w:t>
            </w:r>
          </w:p>
        </w:tc>
      </w:tr>
      <w:tr w:rsidR="00714726" w:rsidRPr="00D76C7C" w14:paraId="203CA754" w14:textId="77777777" w:rsidTr="00714726">
        <w:trPr>
          <w:trHeight w:val="412"/>
          <w:jc w:val="center"/>
        </w:trPr>
        <w:tc>
          <w:tcPr>
            <w:tcW w:w="4435" w:type="dxa"/>
          </w:tcPr>
          <w:p w14:paraId="67A64E29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4435" w:type="dxa"/>
          </w:tcPr>
          <w:p w14:paraId="7211642B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470.3 mm</w:t>
            </w:r>
          </w:p>
        </w:tc>
      </w:tr>
      <w:tr w:rsidR="00714726" w:rsidRPr="00D76C7C" w14:paraId="247F6E33" w14:textId="77777777" w:rsidTr="00714726">
        <w:trPr>
          <w:trHeight w:val="412"/>
          <w:jc w:val="center"/>
        </w:trPr>
        <w:tc>
          <w:tcPr>
            <w:tcW w:w="4435" w:type="dxa"/>
          </w:tcPr>
          <w:p w14:paraId="51EC15F6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4435" w:type="dxa"/>
          </w:tcPr>
          <w:p w14:paraId="69134D0A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260.8 mm</w:t>
            </w:r>
          </w:p>
        </w:tc>
      </w:tr>
      <w:tr w:rsidR="00714726" w:rsidRPr="00D76C7C" w14:paraId="6F1F4AFC" w14:textId="77777777" w:rsidTr="00714726">
        <w:trPr>
          <w:trHeight w:val="412"/>
          <w:jc w:val="center"/>
        </w:trPr>
        <w:tc>
          <w:tcPr>
            <w:tcW w:w="4435" w:type="dxa"/>
          </w:tcPr>
          <w:p w14:paraId="47B34DC7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4435" w:type="dxa"/>
          </w:tcPr>
          <w:p w14:paraId="44BBAE6C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410.6 mm</w:t>
            </w:r>
          </w:p>
        </w:tc>
      </w:tr>
      <w:tr w:rsidR="00714726" w:rsidRPr="00D76C7C" w14:paraId="5821FF15" w14:textId="77777777" w:rsidTr="00714726">
        <w:trPr>
          <w:trHeight w:val="412"/>
          <w:jc w:val="center"/>
        </w:trPr>
        <w:tc>
          <w:tcPr>
            <w:tcW w:w="4435" w:type="dxa"/>
          </w:tcPr>
          <w:p w14:paraId="1E8C9904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4435" w:type="dxa"/>
          </w:tcPr>
          <w:p w14:paraId="12D6DE7C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472.8 mm</w:t>
            </w:r>
          </w:p>
        </w:tc>
      </w:tr>
      <w:tr w:rsidR="00714726" w:rsidRPr="00D76C7C" w14:paraId="4A82D107" w14:textId="77777777" w:rsidTr="00714726">
        <w:trPr>
          <w:trHeight w:val="412"/>
          <w:jc w:val="center"/>
        </w:trPr>
        <w:tc>
          <w:tcPr>
            <w:tcW w:w="4435" w:type="dxa"/>
          </w:tcPr>
          <w:p w14:paraId="2B439FC6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4435" w:type="dxa"/>
          </w:tcPr>
          <w:p w14:paraId="5C552BEB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224.5 mm</w:t>
            </w:r>
          </w:p>
        </w:tc>
      </w:tr>
      <w:tr w:rsidR="00714726" w:rsidRPr="00D76C7C" w14:paraId="4D781577" w14:textId="77777777" w:rsidTr="00714726">
        <w:trPr>
          <w:trHeight w:val="412"/>
          <w:jc w:val="center"/>
        </w:trPr>
        <w:tc>
          <w:tcPr>
            <w:tcW w:w="4435" w:type="dxa"/>
          </w:tcPr>
          <w:p w14:paraId="1799E0A6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4435" w:type="dxa"/>
          </w:tcPr>
          <w:p w14:paraId="054BF163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243.7 mm</w:t>
            </w:r>
          </w:p>
        </w:tc>
      </w:tr>
      <w:tr w:rsidR="00714726" w:rsidRPr="00D76C7C" w14:paraId="4B50E12C" w14:textId="77777777" w:rsidTr="00714726">
        <w:trPr>
          <w:trHeight w:val="412"/>
          <w:jc w:val="center"/>
        </w:trPr>
        <w:tc>
          <w:tcPr>
            <w:tcW w:w="4435" w:type="dxa"/>
          </w:tcPr>
          <w:p w14:paraId="12DC6068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4435" w:type="dxa"/>
          </w:tcPr>
          <w:p w14:paraId="2B6B3805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406.4 mm</w:t>
            </w:r>
          </w:p>
        </w:tc>
      </w:tr>
      <w:tr w:rsidR="00714726" w:rsidRPr="00D76C7C" w14:paraId="43704759" w14:textId="77777777" w:rsidTr="00714726">
        <w:trPr>
          <w:trHeight w:val="412"/>
          <w:jc w:val="center"/>
        </w:trPr>
        <w:tc>
          <w:tcPr>
            <w:tcW w:w="4435" w:type="dxa"/>
          </w:tcPr>
          <w:p w14:paraId="78DB2827" w14:textId="77777777" w:rsidR="00714726" w:rsidRPr="00D76C7C" w:rsidRDefault="00714726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4435" w:type="dxa"/>
          </w:tcPr>
          <w:p w14:paraId="0AA051D6" w14:textId="77777777" w:rsidR="00714726" w:rsidRPr="00D76C7C" w:rsidRDefault="00923267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170.5 mm</w:t>
            </w:r>
          </w:p>
        </w:tc>
      </w:tr>
    </w:tbl>
    <w:p w14:paraId="2757F803" w14:textId="01560D3A" w:rsidR="00A32882" w:rsidRPr="00D76C7C" w:rsidRDefault="00A32882" w:rsidP="00D76C7C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* Acumulado enero-agosto de 2026; el año aún no ha concluido.</w:t>
      </w:r>
    </w:p>
    <w:p w14:paraId="434F1479" w14:textId="5D4608F0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 xml:space="preserve">Los datos muestran que 2023 y 2024 estuvieron entre los años con menores precipitaciones del periodo analizado, mientras que 2026 presenta, a estas alturas del año, un </w:t>
      </w:r>
      <w:r w:rsidR="00E17D8B" w:rsidRPr="00D76C7C">
        <w:rPr>
          <w:rFonts w:ascii="Arial" w:hAnsi="Arial" w:cs="Arial"/>
          <w:sz w:val="24"/>
          <w:szCs w:val="24"/>
        </w:rPr>
        <w:t>acumulado particularmente bajo, p</w:t>
      </w:r>
      <w:r w:rsidRPr="00D76C7C">
        <w:rPr>
          <w:rFonts w:ascii="Arial" w:hAnsi="Arial" w:cs="Arial"/>
          <w:sz w:val="24"/>
          <w:szCs w:val="24"/>
        </w:rPr>
        <w:t>ara 2026 se reportan aproximadamente 170.5 milímetros acumulados entre enero y agosto, frente a aproximadamente 273.4 milímetros durante el mismo periodo de 2025, lo que representa una disminución de apr</w:t>
      </w:r>
      <w:r w:rsidR="00E17D8B" w:rsidRPr="00D76C7C">
        <w:rPr>
          <w:rFonts w:ascii="Arial" w:hAnsi="Arial" w:cs="Arial"/>
          <w:sz w:val="24"/>
          <w:szCs w:val="24"/>
        </w:rPr>
        <w:t xml:space="preserve">oximadamente 37.7%. </w:t>
      </w:r>
      <w:r w:rsidRPr="00D76C7C">
        <w:rPr>
          <w:rFonts w:ascii="Arial" w:hAnsi="Arial" w:cs="Arial"/>
          <w:sz w:val="24"/>
          <w:szCs w:val="24"/>
        </w:rPr>
        <w:t>Esta situación resulta especialmente preocupante porque la precipitación registrada durante el periodo de lluvias constituye uno de los principales factores para la recuperación de los almacenamientos superficiales.</w:t>
      </w:r>
    </w:p>
    <w:p w14:paraId="368BFB25" w14:textId="62D1D918" w:rsidR="0076390D" w:rsidRPr="00D76C7C" w:rsidRDefault="00E17D8B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Aunado a esto, l</w:t>
      </w:r>
      <w:r w:rsidR="00A32882" w:rsidRPr="00D76C7C">
        <w:rPr>
          <w:rFonts w:ascii="Arial" w:hAnsi="Arial" w:cs="Arial"/>
          <w:sz w:val="24"/>
          <w:szCs w:val="24"/>
        </w:rPr>
        <w:t>a situación de los principales embalses constituye otro elemento fundamen</w:t>
      </w:r>
      <w:r w:rsidRPr="00D76C7C">
        <w:rPr>
          <w:rFonts w:ascii="Arial" w:hAnsi="Arial" w:cs="Arial"/>
          <w:sz w:val="24"/>
          <w:szCs w:val="24"/>
        </w:rPr>
        <w:t>tal para dimensionar el riesgo, c</w:t>
      </w:r>
      <w:r w:rsidR="00A32882" w:rsidRPr="00D76C7C">
        <w:rPr>
          <w:rFonts w:ascii="Arial" w:hAnsi="Arial" w:cs="Arial"/>
          <w:sz w:val="24"/>
          <w:szCs w:val="24"/>
        </w:rPr>
        <w:t>on información reportada al cierre de agosto de 2026, las diez principales presas consideradas para este análisis cuentan con una capacidad conjunta aproximada de 4,075.</w:t>
      </w:r>
      <w:r w:rsidRPr="00D76C7C">
        <w:rPr>
          <w:rFonts w:ascii="Arial" w:hAnsi="Arial" w:cs="Arial"/>
          <w:sz w:val="24"/>
          <w:szCs w:val="24"/>
        </w:rPr>
        <w:t xml:space="preserve">793 millones de metros cúbicos. </w:t>
      </w:r>
      <w:r w:rsidR="00A32882" w:rsidRPr="00D76C7C">
        <w:rPr>
          <w:rFonts w:ascii="Arial" w:hAnsi="Arial" w:cs="Arial"/>
          <w:sz w:val="24"/>
          <w:szCs w:val="24"/>
        </w:rPr>
        <w:t>Al 31 de agosto de 2026, el almacenamiento conjunto se ubicaba alrededor de 1,084.256 millones de metros cúbicos, equivalente aproximadamente al 26.6% de su capacidad c</w:t>
      </w:r>
      <w:r w:rsidR="0076390D" w:rsidRPr="00D76C7C">
        <w:rPr>
          <w:rFonts w:ascii="Arial" w:hAnsi="Arial" w:cs="Arial"/>
          <w:sz w:val="24"/>
          <w:szCs w:val="24"/>
        </w:rPr>
        <w:t>onjunta. En la siguiente tabla se presenta la s</w:t>
      </w:r>
      <w:r w:rsidR="00A32882" w:rsidRPr="00D76C7C">
        <w:rPr>
          <w:rFonts w:ascii="Arial" w:hAnsi="Arial" w:cs="Arial"/>
          <w:sz w:val="24"/>
          <w:szCs w:val="24"/>
        </w:rPr>
        <w:t>ituación de las principales presas de Chihuahua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98"/>
        <w:gridCol w:w="2048"/>
        <w:gridCol w:w="2721"/>
        <w:gridCol w:w="2061"/>
      </w:tblGrid>
      <w:tr w:rsidR="0076390D" w:rsidRPr="00D76C7C" w14:paraId="115F9112" w14:textId="77777777" w:rsidTr="0076390D">
        <w:tc>
          <w:tcPr>
            <w:tcW w:w="2207" w:type="dxa"/>
          </w:tcPr>
          <w:p w14:paraId="332E7A35" w14:textId="77777777" w:rsidR="0076390D" w:rsidRPr="00D76C7C" w:rsidRDefault="0076390D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Presa</w:t>
            </w:r>
          </w:p>
        </w:tc>
        <w:tc>
          <w:tcPr>
            <w:tcW w:w="2207" w:type="dxa"/>
          </w:tcPr>
          <w:p w14:paraId="19130CD6" w14:textId="77777777" w:rsidR="0076390D" w:rsidRPr="00D76C7C" w:rsidRDefault="0076390D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Capacidad (Mm3)</w:t>
            </w:r>
          </w:p>
        </w:tc>
        <w:tc>
          <w:tcPr>
            <w:tcW w:w="2207" w:type="dxa"/>
          </w:tcPr>
          <w:p w14:paraId="0AE02F75" w14:textId="77777777" w:rsidR="0076390D" w:rsidRPr="00D76C7C" w:rsidRDefault="0076390D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Almacenamiento aproximado</w:t>
            </w:r>
          </w:p>
        </w:tc>
        <w:tc>
          <w:tcPr>
            <w:tcW w:w="2207" w:type="dxa"/>
          </w:tcPr>
          <w:p w14:paraId="55895A71" w14:textId="77777777" w:rsidR="0076390D" w:rsidRPr="00D76C7C" w:rsidRDefault="0076390D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Porcentaje actual</w:t>
            </w:r>
          </w:p>
        </w:tc>
      </w:tr>
      <w:tr w:rsidR="0076390D" w:rsidRPr="00D76C7C" w14:paraId="32358664" w14:textId="77777777" w:rsidTr="0076390D">
        <w:tc>
          <w:tcPr>
            <w:tcW w:w="2207" w:type="dxa"/>
          </w:tcPr>
          <w:p w14:paraId="1A4D2839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La Boquilla</w:t>
            </w:r>
          </w:p>
        </w:tc>
        <w:tc>
          <w:tcPr>
            <w:tcW w:w="2207" w:type="dxa"/>
          </w:tcPr>
          <w:p w14:paraId="1D0CCD87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2,846.780</w:t>
            </w:r>
          </w:p>
        </w:tc>
        <w:tc>
          <w:tcPr>
            <w:tcW w:w="2207" w:type="dxa"/>
          </w:tcPr>
          <w:p w14:paraId="0F357E13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626.527 Mm³</w:t>
            </w:r>
          </w:p>
        </w:tc>
        <w:tc>
          <w:tcPr>
            <w:tcW w:w="2207" w:type="dxa"/>
          </w:tcPr>
          <w:p w14:paraId="12326410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22.00%</w:t>
            </w:r>
          </w:p>
        </w:tc>
      </w:tr>
      <w:tr w:rsidR="0076390D" w:rsidRPr="00D76C7C" w14:paraId="6534E81D" w14:textId="77777777" w:rsidTr="0076390D">
        <w:tc>
          <w:tcPr>
            <w:tcW w:w="2207" w:type="dxa"/>
          </w:tcPr>
          <w:p w14:paraId="4A71763B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lastRenderedPageBreak/>
              <w:t xml:space="preserve">Francisco I. Madero </w:t>
            </w:r>
          </w:p>
        </w:tc>
        <w:tc>
          <w:tcPr>
            <w:tcW w:w="2207" w:type="dxa"/>
          </w:tcPr>
          <w:p w14:paraId="7DD18F58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333.318</w:t>
            </w:r>
          </w:p>
        </w:tc>
        <w:tc>
          <w:tcPr>
            <w:tcW w:w="2207" w:type="dxa"/>
          </w:tcPr>
          <w:p w14:paraId="6B7521F8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175.742 Mm³</w:t>
            </w:r>
          </w:p>
        </w:tc>
        <w:tc>
          <w:tcPr>
            <w:tcW w:w="2207" w:type="dxa"/>
          </w:tcPr>
          <w:p w14:paraId="07A522CE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52.73%</w:t>
            </w:r>
          </w:p>
        </w:tc>
      </w:tr>
      <w:tr w:rsidR="0076390D" w:rsidRPr="00D76C7C" w14:paraId="04E6D863" w14:textId="77777777" w:rsidTr="0076390D">
        <w:tc>
          <w:tcPr>
            <w:tcW w:w="2207" w:type="dxa"/>
          </w:tcPr>
          <w:p w14:paraId="39B991FA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 xml:space="preserve">Luis L. </w:t>
            </w:r>
            <w:proofErr w:type="spellStart"/>
            <w:r w:rsidRPr="00D76C7C">
              <w:rPr>
                <w:rFonts w:ascii="Arial" w:hAnsi="Arial" w:cs="Arial"/>
                <w:sz w:val="24"/>
                <w:szCs w:val="24"/>
              </w:rPr>
              <w:t>Leon</w:t>
            </w:r>
            <w:proofErr w:type="spellEnd"/>
            <w:r w:rsidRPr="00D76C7C">
              <w:rPr>
                <w:rFonts w:ascii="Arial" w:hAnsi="Arial" w:cs="Arial"/>
                <w:sz w:val="24"/>
                <w:szCs w:val="24"/>
              </w:rPr>
              <w:t xml:space="preserve"> (El Granero)</w:t>
            </w:r>
          </w:p>
        </w:tc>
        <w:tc>
          <w:tcPr>
            <w:tcW w:w="2207" w:type="dxa"/>
          </w:tcPr>
          <w:p w14:paraId="1F21FDD0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284.382</w:t>
            </w:r>
          </w:p>
        </w:tc>
        <w:tc>
          <w:tcPr>
            <w:tcW w:w="2207" w:type="dxa"/>
          </w:tcPr>
          <w:p w14:paraId="7612CDCE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52.33 Mm³</w:t>
            </w:r>
          </w:p>
        </w:tc>
        <w:tc>
          <w:tcPr>
            <w:tcW w:w="2207" w:type="dxa"/>
          </w:tcPr>
          <w:p w14:paraId="4A6E4F59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18.40%</w:t>
            </w:r>
          </w:p>
        </w:tc>
      </w:tr>
      <w:tr w:rsidR="0076390D" w:rsidRPr="00D76C7C" w14:paraId="5052F236" w14:textId="77777777" w:rsidTr="0076390D">
        <w:tc>
          <w:tcPr>
            <w:tcW w:w="2207" w:type="dxa"/>
          </w:tcPr>
          <w:p w14:paraId="2707F348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 xml:space="preserve">Abraham </w:t>
            </w:r>
            <w:proofErr w:type="spellStart"/>
            <w:r w:rsidRPr="00D76C7C">
              <w:rPr>
                <w:rFonts w:ascii="Arial" w:hAnsi="Arial" w:cs="Arial"/>
                <w:sz w:val="24"/>
                <w:szCs w:val="24"/>
              </w:rPr>
              <w:t>Gonzalez</w:t>
            </w:r>
            <w:proofErr w:type="spellEnd"/>
            <w:r w:rsidRPr="00D76C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07" w:type="dxa"/>
          </w:tcPr>
          <w:p w14:paraId="770CD62A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79.354</w:t>
            </w:r>
          </w:p>
        </w:tc>
        <w:tc>
          <w:tcPr>
            <w:tcW w:w="2207" w:type="dxa"/>
          </w:tcPr>
          <w:p w14:paraId="4280EE43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51.01 Mm³</w:t>
            </w:r>
          </w:p>
        </w:tc>
        <w:tc>
          <w:tcPr>
            <w:tcW w:w="2207" w:type="dxa"/>
          </w:tcPr>
          <w:p w14:paraId="6741547B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64.24%</w:t>
            </w:r>
          </w:p>
        </w:tc>
      </w:tr>
      <w:tr w:rsidR="0076390D" w:rsidRPr="00D76C7C" w14:paraId="52372B26" w14:textId="77777777" w:rsidTr="0076390D">
        <w:tc>
          <w:tcPr>
            <w:tcW w:w="2207" w:type="dxa"/>
          </w:tcPr>
          <w:p w14:paraId="1922E14E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Las Lajas</w:t>
            </w:r>
          </w:p>
        </w:tc>
        <w:tc>
          <w:tcPr>
            <w:tcW w:w="2207" w:type="dxa"/>
          </w:tcPr>
          <w:p w14:paraId="6A2A1F16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83.266</w:t>
            </w:r>
          </w:p>
        </w:tc>
        <w:tc>
          <w:tcPr>
            <w:tcW w:w="2207" w:type="dxa"/>
          </w:tcPr>
          <w:p w14:paraId="6CF78035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31.09 Mm³</w:t>
            </w:r>
          </w:p>
        </w:tc>
        <w:tc>
          <w:tcPr>
            <w:tcW w:w="2207" w:type="dxa"/>
          </w:tcPr>
          <w:p w14:paraId="6DFE5CB3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37.33%</w:t>
            </w:r>
          </w:p>
        </w:tc>
      </w:tr>
      <w:tr w:rsidR="0076390D" w:rsidRPr="00D76C7C" w14:paraId="3D9D9F12" w14:textId="77777777" w:rsidTr="0076390D">
        <w:tc>
          <w:tcPr>
            <w:tcW w:w="2207" w:type="dxa"/>
          </w:tcPr>
          <w:p w14:paraId="297F2ED7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El tintero</w:t>
            </w:r>
          </w:p>
        </w:tc>
        <w:tc>
          <w:tcPr>
            <w:tcW w:w="2207" w:type="dxa"/>
          </w:tcPr>
          <w:p w14:paraId="0F34C660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125.075</w:t>
            </w:r>
          </w:p>
        </w:tc>
        <w:tc>
          <w:tcPr>
            <w:tcW w:w="2207" w:type="dxa"/>
          </w:tcPr>
          <w:p w14:paraId="76AB034C" w14:textId="77777777" w:rsidR="0076390D" w:rsidRPr="00D76C7C" w:rsidRDefault="00C62D9C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56.38 Mm³</w:t>
            </w:r>
          </w:p>
        </w:tc>
        <w:tc>
          <w:tcPr>
            <w:tcW w:w="2207" w:type="dxa"/>
          </w:tcPr>
          <w:p w14:paraId="19AA842E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45.08%</w:t>
            </w:r>
          </w:p>
        </w:tc>
      </w:tr>
      <w:tr w:rsidR="0076390D" w:rsidRPr="00D76C7C" w14:paraId="5873D9DD" w14:textId="77777777" w:rsidTr="0076390D">
        <w:tc>
          <w:tcPr>
            <w:tcW w:w="2207" w:type="dxa"/>
          </w:tcPr>
          <w:p w14:paraId="62EC3E84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Chihuahua</w:t>
            </w:r>
          </w:p>
        </w:tc>
        <w:tc>
          <w:tcPr>
            <w:tcW w:w="2207" w:type="dxa"/>
          </w:tcPr>
          <w:p w14:paraId="1C274B03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23.383</w:t>
            </w:r>
          </w:p>
        </w:tc>
        <w:tc>
          <w:tcPr>
            <w:tcW w:w="2207" w:type="dxa"/>
          </w:tcPr>
          <w:p w14:paraId="2A756BA3" w14:textId="77777777" w:rsidR="0076390D" w:rsidRPr="00D76C7C" w:rsidRDefault="00C62D9C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9.10 Mm³</w:t>
            </w:r>
          </w:p>
        </w:tc>
        <w:tc>
          <w:tcPr>
            <w:tcW w:w="2207" w:type="dxa"/>
          </w:tcPr>
          <w:p w14:paraId="75AF12DF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38.95%</w:t>
            </w:r>
          </w:p>
        </w:tc>
      </w:tr>
      <w:tr w:rsidR="0076390D" w:rsidRPr="00D76C7C" w14:paraId="3B2D7A98" w14:textId="77777777" w:rsidTr="0076390D">
        <w:tc>
          <w:tcPr>
            <w:tcW w:w="2207" w:type="dxa"/>
          </w:tcPr>
          <w:p w14:paraId="6F79E001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 xml:space="preserve">El </w:t>
            </w:r>
            <w:proofErr w:type="spellStart"/>
            <w:r w:rsidRPr="00D76C7C">
              <w:rPr>
                <w:rFonts w:ascii="Arial" w:hAnsi="Arial" w:cs="Arial"/>
                <w:sz w:val="24"/>
                <w:szCs w:val="24"/>
              </w:rPr>
              <w:t>Rejon</w:t>
            </w:r>
            <w:proofErr w:type="spellEnd"/>
          </w:p>
        </w:tc>
        <w:tc>
          <w:tcPr>
            <w:tcW w:w="2207" w:type="dxa"/>
          </w:tcPr>
          <w:p w14:paraId="319375B5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6.528</w:t>
            </w:r>
          </w:p>
        </w:tc>
        <w:tc>
          <w:tcPr>
            <w:tcW w:w="2207" w:type="dxa"/>
          </w:tcPr>
          <w:p w14:paraId="0117779A" w14:textId="77777777" w:rsidR="0076390D" w:rsidRPr="00D76C7C" w:rsidRDefault="00C62D9C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2.23 Mm³</w:t>
            </w:r>
          </w:p>
        </w:tc>
        <w:tc>
          <w:tcPr>
            <w:tcW w:w="2207" w:type="dxa"/>
          </w:tcPr>
          <w:p w14:paraId="7C53F00F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34.24%</w:t>
            </w:r>
          </w:p>
        </w:tc>
      </w:tr>
      <w:tr w:rsidR="0076390D" w:rsidRPr="00D76C7C" w14:paraId="1CA18526" w14:textId="77777777" w:rsidTr="0076390D">
        <w:tc>
          <w:tcPr>
            <w:tcW w:w="2207" w:type="dxa"/>
          </w:tcPr>
          <w:p w14:paraId="5AC4E412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San Gabriel</w:t>
            </w:r>
          </w:p>
        </w:tc>
        <w:tc>
          <w:tcPr>
            <w:tcW w:w="2207" w:type="dxa"/>
          </w:tcPr>
          <w:p w14:paraId="4E6E71FC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245.431</w:t>
            </w:r>
          </w:p>
        </w:tc>
        <w:tc>
          <w:tcPr>
            <w:tcW w:w="2207" w:type="dxa"/>
          </w:tcPr>
          <w:p w14:paraId="7E17BC84" w14:textId="77777777" w:rsidR="0076390D" w:rsidRPr="00D76C7C" w:rsidRDefault="00C62D9C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53.84 Mm³</w:t>
            </w:r>
          </w:p>
        </w:tc>
        <w:tc>
          <w:tcPr>
            <w:tcW w:w="2207" w:type="dxa"/>
          </w:tcPr>
          <w:p w14:paraId="6FA80A56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21.94%</w:t>
            </w:r>
          </w:p>
        </w:tc>
      </w:tr>
      <w:tr w:rsidR="0076390D" w:rsidRPr="00D76C7C" w14:paraId="63F4D711" w14:textId="77777777" w:rsidTr="0076390D">
        <w:tc>
          <w:tcPr>
            <w:tcW w:w="2207" w:type="dxa"/>
          </w:tcPr>
          <w:p w14:paraId="7B7DB8AD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 xml:space="preserve">Pico de </w:t>
            </w:r>
            <w:proofErr w:type="spellStart"/>
            <w:r w:rsidRPr="00D76C7C">
              <w:rPr>
                <w:rFonts w:ascii="Arial" w:hAnsi="Arial" w:cs="Arial"/>
                <w:sz w:val="24"/>
                <w:szCs w:val="24"/>
              </w:rPr>
              <w:t>Aguila</w:t>
            </w:r>
            <w:proofErr w:type="spellEnd"/>
          </w:p>
        </w:tc>
        <w:tc>
          <w:tcPr>
            <w:tcW w:w="2207" w:type="dxa"/>
          </w:tcPr>
          <w:p w14:paraId="2122B5B1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48.276</w:t>
            </w:r>
          </w:p>
        </w:tc>
        <w:tc>
          <w:tcPr>
            <w:tcW w:w="2207" w:type="dxa"/>
          </w:tcPr>
          <w:p w14:paraId="4BA1100E" w14:textId="77777777" w:rsidR="0076390D" w:rsidRPr="00D76C7C" w:rsidRDefault="00C62D9C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26.03 Mm³</w:t>
            </w:r>
          </w:p>
        </w:tc>
        <w:tc>
          <w:tcPr>
            <w:tcW w:w="2207" w:type="dxa"/>
          </w:tcPr>
          <w:p w14:paraId="7CF1D13C" w14:textId="77777777" w:rsidR="0076390D" w:rsidRPr="00D76C7C" w:rsidRDefault="0076390D" w:rsidP="00D76C7C">
            <w:pPr>
              <w:spacing w:line="36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C7C">
              <w:rPr>
                <w:rFonts w:ascii="Arial" w:hAnsi="Arial" w:cs="Arial"/>
                <w:sz w:val="24"/>
                <w:szCs w:val="24"/>
              </w:rPr>
              <w:t>53.92%</w:t>
            </w:r>
          </w:p>
        </w:tc>
      </w:tr>
      <w:tr w:rsidR="0076390D" w:rsidRPr="00D76C7C" w14:paraId="4A0CD643" w14:textId="77777777" w:rsidTr="0076390D">
        <w:tc>
          <w:tcPr>
            <w:tcW w:w="2207" w:type="dxa"/>
          </w:tcPr>
          <w:p w14:paraId="42EB9326" w14:textId="77777777" w:rsidR="0076390D" w:rsidRPr="00D76C7C" w:rsidRDefault="0076390D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2207" w:type="dxa"/>
          </w:tcPr>
          <w:p w14:paraId="6278E8D4" w14:textId="77777777" w:rsidR="0076390D" w:rsidRPr="00D76C7C" w:rsidRDefault="00C62D9C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4,075.793</w:t>
            </w:r>
          </w:p>
        </w:tc>
        <w:tc>
          <w:tcPr>
            <w:tcW w:w="2207" w:type="dxa"/>
          </w:tcPr>
          <w:p w14:paraId="5388E68E" w14:textId="77777777" w:rsidR="0076390D" w:rsidRPr="00D76C7C" w:rsidRDefault="00C62D9C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1,084.256 Mm³</w:t>
            </w:r>
          </w:p>
        </w:tc>
        <w:tc>
          <w:tcPr>
            <w:tcW w:w="2207" w:type="dxa"/>
          </w:tcPr>
          <w:p w14:paraId="4601B1BF" w14:textId="77777777" w:rsidR="0076390D" w:rsidRPr="00D76C7C" w:rsidRDefault="0076390D" w:rsidP="00D76C7C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C7C">
              <w:rPr>
                <w:rFonts w:ascii="Arial" w:hAnsi="Arial" w:cs="Arial"/>
                <w:b/>
                <w:sz w:val="24"/>
                <w:szCs w:val="24"/>
              </w:rPr>
              <w:t>26.60%</w:t>
            </w:r>
          </w:p>
        </w:tc>
      </w:tr>
    </w:tbl>
    <w:p w14:paraId="69849510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EE37621" w14:textId="5D43B0CA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Los datos evidencian que el problema no se concent</w:t>
      </w:r>
      <w:r w:rsidR="00C62D9C" w:rsidRPr="00D76C7C">
        <w:rPr>
          <w:rFonts w:ascii="Arial" w:hAnsi="Arial" w:cs="Arial"/>
          <w:sz w:val="24"/>
          <w:szCs w:val="24"/>
        </w:rPr>
        <w:t>ra exclusivamente en una presa, m</w:t>
      </w:r>
      <w:r w:rsidRPr="00D76C7C">
        <w:rPr>
          <w:rFonts w:ascii="Arial" w:hAnsi="Arial" w:cs="Arial"/>
          <w:sz w:val="24"/>
          <w:szCs w:val="24"/>
        </w:rPr>
        <w:t>ientras algunas presentan niveles superiores al 50%, otras se encuentran por debajo del 25%, como La Boqu</w:t>
      </w:r>
      <w:r w:rsidR="009C3466" w:rsidRPr="00D76C7C">
        <w:rPr>
          <w:rFonts w:ascii="Arial" w:hAnsi="Arial" w:cs="Arial"/>
          <w:sz w:val="24"/>
          <w:szCs w:val="24"/>
        </w:rPr>
        <w:t xml:space="preserve">illa, El Granero y San Gabriel. </w:t>
      </w:r>
      <w:r w:rsidRPr="00D76C7C">
        <w:rPr>
          <w:rFonts w:ascii="Arial" w:hAnsi="Arial" w:cs="Arial"/>
          <w:sz w:val="24"/>
          <w:szCs w:val="24"/>
        </w:rPr>
        <w:t>En particular, La Boquilla representa aproximadamente el 70% de la capacidad conjunta de las diez presas consideradas, por lo que su comportamiento tiene una enorme releva</w:t>
      </w:r>
      <w:r w:rsidR="00D76C7C">
        <w:rPr>
          <w:rFonts w:ascii="Arial" w:hAnsi="Arial" w:cs="Arial"/>
          <w:sz w:val="24"/>
          <w:szCs w:val="24"/>
        </w:rPr>
        <w:t>n</w:t>
      </w:r>
      <w:r w:rsidRPr="00D76C7C">
        <w:rPr>
          <w:rFonts w:ascii="Arial" w:hAnsi="Arial" w:cs="Arial"/>
          <w:sz w:val="24"/>
          <w:szCs w:val="24"/>
        </w:rPr>
        <w:t>cia para el sector agrícola de la región centro-sur.</w:t>
      </w:r>
    </w:p>
    <w:p w14:paraId="47A9FEAE" w14:textId="08E22F5F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 xml:space="preserve">La presa La Boquilla constituye una infraestructura hidráulica estratégica para la agricultura de la </w:t>
      </w:r>
      <w:r w:rsidR="009C3466" w:rsidRPr="00D76C7C">
        <w:rPr>
          <w:rFonts w:ascii="Arial" w:hAnsi="Arial" w:cs="Arial"/>
          <w:sz w:val="24"/>
          <w:szCs w:val="24"/>
        </w:rPr>
        <w:t xml:space="preserve">región centro-sur de Chihuahua. </w:t>
      </w:r>
      <w:r w:rsidRPr="00D76C7C">
        <w:rPr>
          <w:rFonts w:ascii="Arial" w:hAnsi="Arial" w:cs="Arial"/>
          <w:sz w:val="24"/>
          <w:szCs w:val="24"/>
        </w:rPr>
        <w:t>Al 31 de agosto de 2026 presentaba aproximadamente 626.5 millones de metros cúbicos, equiv</w:t>
      </w:r>
      <w:r w:rsidR="009C3466" w:rsidRPr="00D76C7C">
        <w:rPr>
          <w:rFonts w:ascii="Arial" w:hAnsi="Arial" w:cs="Arial"/>
          <w:sz w:val="24"/>
          <w:szCs w:val="24"/>
        </w:rPr>
        <w:t xml:space="preserve">alentes al 22% de su capacidad. </w:t>
      </w:r>
      <w:r w:rsidRPr="00D76C7C">
        <w:rPr>
          <w:rFonts w:ascii="Arial" w:hAnsi="Arial" w:cs="Arial"/>
          <w:sz w:val="24"/>
          <w:szCs w:val="24"/>
        </w:rPr>
        <w:t>Durante los primeros días de septiembre el nivel continuó descendiendo y se reportó aproximadamente 21.17% de almacenamiento, equivalente a cerca de 602</w:t>
      </w:r>
      <w:r w:rsidR="009C3466" w:rsidRPr="00D76C7C">
        <w:rPr>
          <w:rFonts w:ascii="Arial" w:hAnsi="Arial" w:cs="Arial"/>
          <w:sz w:val="24"/>
          <w:szCs w:val="24"/>
        </w:rPr>
        <w:t>.57 millones de metros cúbicos, e</w:t>
      </w:r>
      <w:r w:rsidRPr="00D76C7C">
        <w:rPr>
          <w:rFonts w:ascii="Arial" w:hAnsi="Arial" w:cs="Arial"/>
          <w:sz w:val="24"/>
          <w:szCs w:val="24"/>
        </w:rPr>
        <w:t>sta disminución adquiere especial relevancia porque La Boquilla es una de las principales fuentes de agua para la actividad agrícola de la región.</w:t>
      </w:r>
    </w:p>
    <w:p w14:paraId="5F9C24F6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La situación repercute particularmente en municipios como Camargo, San Francisco de Conchos, La Cruz, Saucillo y Jiménez, donde miles de hectáreas y numerosas familias dependen directa o indirecta</w:t>
      </w:r>
      <w:r w:rsidR="00E50131" w:rsidRPr="00D76C7C">
        <w:rPr>
          <w:rFonts w:ascii="Arial" w:hAnsi="Arial" w:cs="Arial"/>
          <w:sz w:val="24"/>
          <w:szCs w:val="24"/>
        </w:rPr>
        <w:t>mente de la actividad agrícola.</w:t>
      </w:r>
    </w:p>
    <w:p w14:paraId="152677A4" w14:textId="683FF7E5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Cuando no existe suficiente disponibilidad de agua para establecer un cultivo, la afecta</w:t>
      </w:r>
      <w:r w:rsidR="007A1876" w:rsidRPr="00D76C7C">
        <w:rPr>
          <w:rFonts w:ascii="Arial" w:hAnsi="Arial" w:cs="Arial"/>
          <w:sz w:val="24"/>
          <w:szCs w:val="24"/>
        </w:rPr>
        <w:t>ción no se limita al productor, s</w:t>
      </w:r>
      <w:r w:rsidRPr="00D76C7C">
        <w:rPr>
          <w:rFonts w:ascii="Arial" w:hAnsi="Arial" w:cs="Arial"/>
          <w:sz w:val="24"/>
          <w:szCs w:val="24"/>
        </w:rPr>
        <w:t>e reduce la co</w:t>
      </w:r>
      <w:r w:rsidR="007A1876" w:rsidRPr="00D76C7C">
        <w:rPr>
          <w:rFonts w:ascii="Arial" w:hAnsi="Arial" w:cs="Arial"/>
          <w:sz w:val="24"/>
          <w:szCs w:val="24"/>
        </w:rPr>
        <w:t>ntratación de trabajadores para el campo, p</w:t>
      </w:r>
      <w:r w:rsidRPr="00D76C7C">
        <w:rPr>
          <w:rFonts w:ascii="Arial" w:hAnsi="Arial" w:cs="Arial"/>
          <w:sz w:val="24"/>
          <w:szCs w:val="24"/>
        </w:rPr>
        <w:t>or lo tanto, una reducción significativa de la superficie sembrada puede generar una disminución considerable del empleo rural y afectar directamente a las economías de las comunidades.</w:t>
      </w:r>
    </w:p>
    <w:p w14:paraId="49660DF1" w14:textId="791608B8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lastRenderedPageBreak/>
        <w:t>La situación representa un riesgo particularmente elevado para los pequeños productores, quienes generalmente cuentan con menor capacidad económica para abso</w:t>
      </w:r>
      <w:r w:rsidR="00983917" w:rsidRPr="00D76C7C">
        <w:rPr>
          <w:rFonts w:ascii="Arial" w:hAnsi="Arial" w:cs="Arial"/>
          <w:sz w:val="24"/>
          <w:szCs w:val="24"/>
        </w:rPr>
        <w:t xml:space="preserve">rber un ciclo agrícola perdido. </w:t>
      </w:r>
      <w:r w:rsidRPr="00D76C7C">
        <w:rPr>
          <w:rFonts w:ascii="Arial" w:hAnsi="Arial" w:cs="Arial"/>
          <w:sz w:val="24"/>
          <w:szCs w:val="24"/>
        </w:rPr>
        <w:t>No sembrar significa dejar de generar ingresos para las familias productoras y también para cientos o miles de trabajadores que dependen de las labores agrícolas.</w:t>
      </w:r>
    </w:p>
    <w:p w14:paraId="6A155758" w14:textId="5D5976B3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La respuesta de las autoridades no puede limitarse a espera</w:t>
      </w:r>
      <w:r w:rsidR="00983917" w:rsidRPr="00D76C7C">
        <w:rPr>
          <w:rFonts w:ascii="Arial" w:hAnsi="Arial" w:cs="Arial"/>
          <w:sz w:val="24"/>
          <w:szCs w:val="24"/>
        </w:rPr>
        <w:t xml:space="preserve">r la llegada de nuevas lluvias. </w:t>
      </w:r>
      <w:r w:rsidRPr="00D76C7C">
        <w:rPr>
          <w:rFonts w:ascii="Arial" w:hAnsi="Arial" w:cs="Arial"/>
          <w:sz w:val="24"/>
          <w:szCs w:val="24"/>
        </w:rPr>
        <w:t>La infraestructura hidráulica requiere planeación, estudios técnicos, permisos, recursos presupuest</w:t>
      </w:r>
      <w:r w:rsidR="00983917" w:rsidRPr="00D76C7C">
        <w:rPr>
          <w:rFonts w:ascii="Arial" w:hAnsi="Arial" w:cs="Arial"/>
          <w:sz w:val="24"/>
          <w:szCs w:val="24"/>
        </w:rPr>
        <w:t xml:space="preserve">ales, contratación y ejecución. </w:t>
      </w:r>
      <w:r w:rsidRPr="00D76C7C">
        <w:rPr>
          <w:rFonts w:ascii="Arial" w:hAnsi="Arial" w:cs="Arial"/>
          <w:sz w:val="24"/>
          <w:szCs w:val="24"/>
        </w:rPr>
        <w:t>Por ello, resulta necesario comenzar desde ahora con los estudios y proyectos que permitan contar con fuentes alternativas de agua para el próximo ciclo agrícola.</w:t>
      </w:r>
    </w:p>
    <w:p w14:paraId="4BF8258D" w14:textId="4C2B949B" w:rsidR="009B5E4B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Una de las alternativas consiste en incrementar, donde técnicamente sea posible, el aprovechami</w:t>
      </w:r>
      <w:r w:rsidR="00983917" w:rsidRPr="00D76C7C">
        <w:rPr>
          <w:rFonts w:ascii="Arial" w:hAnsi="Arial" w:cs="Arial"/>
          <w:sz w:val="24"/>
          <w:szCs w:val="24"/>
        </w:rPr>
        <w:t xml:space="preserve">ento de las aguas subterráneas. </w:t>
      </w:r>
      <w:r w:rsidRPr="00D76C7C">
        <w:rPr>
          <w:rFonts w:ascii="Arial" w:hAnsi="Arial" w:cs="Arial"/>
          <w:sz w:val="24"/>
          <w:szCs w:val="24"/>
        </w:rPr>
        <w:t>Sin embargo, esta medida debe r</w:t>
      </w:r>
      <w:r w:rsidR="00983917" w:rsidRPr="00D76C7C">
        <w:rPr>
          <w:rFonts w:ascii="Arial" w:hAnsi="Arial" w:cs="Arial"/>
          <w:sz w:val="24"/>
          <w:szCs w:val="24"/>
        </w:rPr>
        <w:t>ealizarse de manera responsable, p</w:t>
      </w:r>
      <w:r w:rsidRPr="00D76C7C">
        <w:rPr>
          <w:rFonts w:ascii="Arial" w:hAnsi="Arial" w:cs="Arial"/>
          <w:sz w:val="24"/>
          <w:szCs w:val="24"/>
        </w:rPr>
        <w:t>or ello, el planteamiento de este Punto de Acuerdo no consiste en perforar indiscriminadamente, sino en solicitar a las autoridades competentes que determinen, mediante estudios hidrogeológicos, las zonas donde resulte técnica y legalmente viable construir nuevos aprovechamientos.</w:t>
      </w:r>
    </w:p>
    <w:p w14:paraId="782B1853" w14:textId="3EF0E782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Un elemento fundamental de la presente propuesta consiste en que los nuevos pozos que resulten técnica y legalmente viables no sean concebidos como aprovechamientos individuales, sino como infraestructura hi</w:t>
      </w:r>
      <w:r w:rsidR="009B5E4B" w:rsidRPr="00D76C7C">
        <w:rPr>
          <w:rFonts w:ascii="Arial" w:hAnsi="Arial" w:cs="Arial"/>
          <w:sz w:val="24"/>
          <w:szCs w:val="24"/>
        </w:rPr>
        <w:t xml:space="preserve">dráulica de carácter colectivo. </w:t>
      </w:r>
      <w:r w:rsidRPr="00D76C7C">
        <w:rPr>
          <w:rFonts w:ascii="Arial" w:hAnsi="Arial" w:cs="Arial"/>
          <w:sz w:val="24"/>
          <w:szCs w:val="24"/>
        </w:rPr>
        <w:t>Particularmente, se propone que los proyectos se desarrollen para beneficio de los módulos de riego, asociaciones agrícolas y organizaciones legalmente</w:t>
      </w:r>
      <w:r w:rsidR="009B5E4B" w:rsidRPr="00D76C7C">
        <w:rPr>
          <w:rFonts w:ascii="Arial" w:hAnsi="Arial" w:cs="Arial"/>
          <w:sz w:val="24"/>
          <w:szCs w:val="24"/>
        </w:rPr>
        <w:t xml:space="preserve"> constituidas de productores. </w:t>
      </w:r>
      <w:r w:rsidRPr="00D76C7C">
        <w:rPr>
          <w:rFonts w:ascii="Arial" w:hAnsi="Arial" w:cs="Arial"/>
          <w:sz w:val="24"/>
          <w:szCs w:val="24"/>
        </w:rPr>
        <w:t>La infraestructura deberá ubicarse estratégicamente en las zonas agrícolas que determinen los estudios técnicos y que presenten mayor riesgo de reducción de superficie sembrada.</w:t>
      </w:r>
    </w:p>
    <w:p w14:paraId="2851127A" w14:textId="77777777" w:rsidR="009B5E4B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En la región centro-sur deberán considerarse prioritariamente las zona</w:t>
      </w:r>
      <w:r w:rsidR="009B5E4B" w:rsidRPr="00D76C7C">
        <w:rPr>
          <w:rFonts w:ascii="Arial" w:hAnsi="Arial" w:cs="Arial"/>
          <w:sz w:val="24"/>
          <w:szCs w:val="24"/>
        </w:rPr>
        <w:t xml:space="preserve">s agrícolas correspondientes a Camargo; San Francisco de Conchos; La Cruz; Saucillo; Jiménez; </w:t>
      </w:r>
      <w:r w:rsidRPr="00D76C7C">
        <w:rPr>
          <w:rFonts w:ascii="Arial" w:hAnsi="Arial" w:cs="Arial"/>
          <w:sz w:val="24"/>
          <w:szCs w:val="24"/>
        </w:rPr>
        <w:t>y las comunidades y zonas agrícolas</w:t>
      </w:r>
      <w:r w:rsidR="009B5E4B" w:rsidRPr="00D76C7C">
        <w:rPr>
          <w:rFonts w:ascii="Arial" w:hAnsi="Arial" w:cs="Arial"/>
          <w:sz w:val="24"/>
          <w:szCs w:val="24"/>
        </w:rPr>
        <w:t xml:space="preserve"> vinculadas a estos municipios. </w:t>
      </w:r>
    </w:p>
    <w:p w14:paraId="02EF8320" w14:textId="3AEE40F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El objetivo es que los pozos, cuando exista disponibilidad de agua subterránea y resulte viable su autorización, puedan constituir fuentes colectivas de respaldo para el riego agrícola.</w:t>
      </w:r>
    </w:p>
    <w:p w14:paraId="39860C10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Asimismo, se propone que la administración, operación, mantenimiento y vigilancia de dicha infraestructur</w:t>
      </w:r>
      <w:r w:rsidR="009B5E4B" w:rsidRPr="00D76C7C">
        <w:rPr>
          <w:rFonts w:ascii="Arial" w:hAnsi="Arial" w:cs="Arial"/>
          <w:sz w:val="24"/>
          <w:szCs w:val="24"/>
        </w:rPr>
        <w:t xml:space="preserve">a quede </w:t>
      </w:r>
      <w:r w:rsidRPr="00D76C7C">
        <w:rPr>
          <w:rFonts w:ascii="Arial" w:hAnsi="Arial" w:cs="Arial"/>
          <w:sz w:val="24"/>
          <w:szCs w:val="24"/>
        </w:rPr>
        <w:t>a cargo de los módulos de riego, asociaciones agrícolas u organizaciones de productores beneficiarias.</w:t>
      </w:r>
    </w:p>
    <w:p w14:paraId="66898672" w14:textId="77777777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FFE773B" w14:textId="613F1C4B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Por las consideraciones anter</w:t>
      </w:r>
      <w:r w:rsidR="00A718E9" w:rsidRPr="00D76C7C">
        <w:rPr>
          <w:rFonts w:ascii="Arial" w:hAnsi="Arial" w:cs="Arial"/>
          <w:sz w:val="24"/>
          <w:szCs w:val="24"/>
        </w:rPr>
        <w:t>iormente expuestas, se propone I</w:t>
      </w:r>
      <w:r w:rsidRPr="00D76C7C">
        <w:rPr>
          <w:rFonts w:ascii="Arial" w:hAnsi="Arial" w:cs="Arial"/>
          <w:sz w:val="24"/>
          <w:szCs w:val="24"/>
        </w:rPr>
        <w:t>dentificar las regiones agrícolas con mayor riesgo de reducción de superficie sembrada durante el pró</w:t>
      </w:r>
      <w:r w:rsidR="00A718E9" w:rsidRPr="00D76C7C">
        <w:rPr>
          <w:rFonts w:ascii="Arial" w:hAnsi="Arial" w:cs="Arial"/>
          <w:sz w:val="24"/>
          <w:szCs w:val="24"/>
        </w:rPr>
        <w:t>ximo ciclo agrícola, r</w:t>
      </w:r>
      <w:r w:rsidRPr="00D76C7C">
        <w:rPr>
          <w:rFonts w:ascii="Arial" w:hAnsi="Arial" w:cs="Arial"/>
          <w:sz w:val="24"/>
          <w:szCs w:val="24"/>
        </w:rPr>
        <w:t xml:space="preserve">ealizar estudios hidrogeológicos y de disponibilidad de </w:t>
      </w:r>
      <w:r w:rsidRPr="00D76C7C">
        <w:rPr>
          <w:rFonts w:ascii="Arial" w:hAnsi="Arial" w:cs="Arial"/>
          <w:sz w:val="24"/>
          <w:szCs w:val="24"/>
        </w:rPr>
        <w:lastRenderedPageBreak/>
        <w:t xml:space="preserve">aguas subterráneas en las zonas agrícolas que </w:t>
      </w:r>
      <w:r w:rsidR="00A718E9" w:rsidRPr="00D76C7C">
        <w:rPr>
          <w:rFonts w:ascii="Arial" w:hAnsi="Arial" w:cs="Arial"/>
          <w:sz w:val="24"/>
          <w:szCs w:val="24"/>
        </w:rPr>
        <w:t>presenten condiciones críticas y e</w:t>
      </w:r>
      <w:r w:rsidRPr="00D76C7C">
        <w:rPr>
          <w:rFonts w:ascii="Arial" w:hAnsi="Arial" w:cs="Arial"/>
          <w:sz w:val="24"/>
          <w:szCs w:val="24"/>
        </w:rPr>
        <w:t>laborar un programa emergente de perforación, equipamiento, electrificación y puesta en operación de pozos agrícolas colectivos, sujeto a la disponibilidad y viabilidad técni</w:t>
      </w:r>
      <w:r w:rsidR="00A718E9" w:rsidRPr="00D76C7C">
        <w:rPr>
          <w:rFonts w:ascii="Arial" w:hAnsi="Arial" w:cs="Arial"/>
          <w:sz w:val="24"/>
          <w:szCs w:val="24"/>
        </w:rPr>
        <w:t>ca y jurídica de cada acuífero priorizando</w:t>
      </w:r>
      <w:r w:rsidRPr="00D76C7C">
        <w:rPr>
          <w:rFonts w:ascii="Arial" w:hAnsi="Arial" w:cs="Arial"/>
          <w:sz w:val="24"/>
          <w:szCs w:val="24"/>
        </w:rPr>
        <w:t xml:space="preserve"> para dichos proyectos a los municipios y regiones agrícolas de Camargo, San Francisco de Conchos, La Cruz, Saucillo y Jiménez, así como las comunidades </w:t>
      </w:r>
      <w:r w:rsidR="00A718E9" w:rsidRPr="00D76C7C">
        <w:rPr>
          <w:rFonts w:ascii="Arial" w:hAnsi="Arial" w:cs="Arial"/>
          <w:sz w:val="24"/>
          <w:szCs w:val="24"/>
        </w:rPr>
        <w:t>agrícolas vinculadas con ellos y procurando</w:t>
      </w:r>
      <w:r w:rsidRPr="00D76C7C">
        <w:rPr>
          <w:rFonts w:ascii="Arial" w:hAnsi="Arial" w:cs="Arial"/>
          <w:sz w:val="24"/>
          <w:szCs w:val="24"/>
        </w:rPr>
        <w:t xml:space="preserve"> que los pozos construidos mediante recursos públicos sean destinados a los módulos de riego, asociaciones agrícolas y organizaciones de productores legalmente constituidas.</w:t>
      </w:r>
    </w:p>
    <w:p w14:paraId="4562ABDC" w14:textId="7525A3C3" w:rsidR="00A32882" w:rsidRDefault="000760E9" w:rsidP="00D76C7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>En razón de lo anteriormente expuesto, y con fundamento en las disposiciones constitucionales y legales aplicables, someto a consideración de este Honorable Pleno el siguiente:</w:t>
      </w:r>
    </w:p>
    <w:p w14:paraId="400865ED" w14:textId="77777777" w:rsidR="00D76C7C" w:rsidRPr="00D76C7C" w:rsidRDefault="00D76C7C" w:rsidP="00D76C7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22FBC1F" w14:textId="055D0F02" w:rsidR="00A32882" w:rsidRPr="00657F2B" w:rsidRDefault="00A32882" w:rsidP="00D76C7C">
      <w:pPr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PUNTO DE ACUERDO</w:t>
      </w:r>
    </w:p>
    <w:p w14:paraId="7116C6ED" w14:textId="36AEC0D4" w:rsidR="00A32882" w:rsidRPr="00657F2B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PRIMERO.</w:t>
      </w:r>
      <w:r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 xml:space="preserve">La Sexagésima Octava Legislatura </w:t>
      </w:r>
      <w:r w:rsidRPr="00657F2B">
        <w:rPr>
          <w:rFonts w:ascii="Arial" w:hAnsi="Arial" w:cs="Arial"/>
          <w:sz w:val="24"/>
          <w:szCs w:val="24"/>
        </w:rPr>
        <w:t>exhorta respetuosamente al Gobierno Federal, por conducto de la Comisión Nacional del Agua y las dependencias competentes, para que, en coordinación con el Gobierno del Estado de Chihuahua y los gobiernos municipales, implemente de manera urgente un programa integral de prevención y atención de la sequía que garantice la disponibilidad de agua para el sector agrícola.</w:t>
      </w:r>
    </w:p>
    <w:p w14:paraId="041AC8D4" w14:textId="2F464AC2" w:rsidR="00A32882" w:rsidRPr="00657F2B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SEGUNDO.</w:t>
      </w:r>
      <w:r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 xml:space="preserve">La Sexagésima Octava Legislatura </w:t>
      </w:r>
      <w:r w:rsidRPr="00657F2B">
        <w:rPr>
          <w:rFonts w:ascii="Arial" w:hAnsi="Arial" w:cs="Arial"/>
          <w:sz w:val="24"/>
          <w:szCs w:val="24"/>
        </w:rPr>
        <w:t>exhorta al Gobierno Federal, al Gobierno del Estado de Chihuahua y a los gobiernos municipales para que, dentro del ámbito de sus respectivas competencias, realicen los estudios técnicos, hidrogeológicos y administrativos necesarios para determinar las zonas donde resulte viable la perforación de nuevos pozos agrícolas colectivos, particularmente en las regiones con mayor riesgo de reducción de superficie sembrada.</w:t>
      </w:r>
    </w:p>
    <w:p w14:paraId="49538421" w14:textId="7FE126AE" w:rsidR="00A32882" w:rsidRPr="00657F2B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TERCERO.</w:t>
      </w:r>
      <w:r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>La Sexagésima Octava Legislatura</w:t>
      </w:r>
      <w:r w:rsidRPr="00657F2B">
        <w:rPr>
          <w:rFonts w:ascii="Arial" w:hAnsi="Arial" w:cs="Arial"/>
          <w:sz w:val="24"/>
          <w:szCs w:val="24"/>
        </w:rPr>
        <w:t xml:space="preserve"> exhorta a las autoridades competentes para que, de resultar técnica y legalmente viable, se priorice la construcción de pozos agrícolas destinados a los módulos de riego, asociaciones agrícolas y organizaciones de productores legalmente constituidas, particularmente en las regiones agrícolas de Camargo, San Francisco de Conchos, La Cruz, Saucillo y Jiménez.</w:t>
      </w:r>
    </w:p>
    <w:p w14:paraId="4AE8E3E7" w14:textId="3C07C24D" w:rsidR="00A32882" w:rsidRPr="00657F2B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CUARTO.</w:t>
      </w:r>
      <w:r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>La Sexagésima Octava Legislatura</w:t>
      </w:r>
      <w:r w:rsidRPr="00657F2B">
        <w:rPr>
          <w:rFonts w:ascii="Arial" w:hAnsi="Arial" w:cs="Arial"/>
          <w:sz w:val="24"/>
          <w:szCs w:val="24"/>
        </w:rPr>
        <w:t xml:space="preserve"> exhorta al Gobierno Federal y al Gobierno del Estado de Chihuahua para que gestionen y destinen recursos suficientes para la perforación, equipamiento, electrificación, tecnificación y puesta en operación de los pozos agrícolas que resulten viables.</w:t>
      </w:r>
    </w:p>
    <w:p w14:paraId="273DDAB9" w14:textId="22958C3A" w:rsidR="00A32882" w:rsidRPr="00657F2B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QUINTO.</w:t>
      </w:r>
      <w:r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 xml:space="preserve">La Sexagésima Octava Legislatura </w:t>
      </w:r>
      <w:r w:rsidRPr="00657F2B">
        <w:rPr>
          <w:rFonts w:ascii="Arial" w:hAnsi="Arial" w:cs="Arial"/>
          <w:sz w:val="24"/>
          <w:szCs w:val="24"/>
        </w:rPr>
        <w:t xml:space="preserve">exhorta a las autoridades correspondientes para que los mecanismos de operación y administración de los pozos construidos mediante estos programas permitan, bajo los instrumentos </w:t>
      </w:r>
      <w:r w:rsidRPr="00657F2B">
        <w:rPr>
          <w:rFonts w:ascii="Arial" w:hAnsi="Arial" w:cs="Arial"/>
          <w:sz w:val="24"/>
          <w:szCs w:val="24"/>
        </w:rPr>
        <w:lastRenderedPageBreak/>
        <w:t>jurídicos correspondientes, que los módulos de riego y asociaciones agrícolas beneficiarias sean responsables de su administración, operación, mantenimiento y vigilancia, garantizando la medición y uso eficiente del agua.</w:t>
      </w:r>
    </w:p>
    <w:p w14:paraId="1D7696AA" w14:textId="348534FE" w:rsidR="00A32882" w:rsidRPr="00657F2B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SEXTO.</w:t>
      </w:r>
      <w:r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 xml:space="preserve">La Sexagésima Octava Legislatura </w:t>
      </w:r>
      <w:r w:rsidRPr="00657F2B">
        <w:rPr>
          <w:rFonts w:ascii="Arial" w:hAnsi="Arial" w:cs="Arial"/>
          <w:sz w:val="24"/>
          <w:szCs w:val="24"/>
        </w:rPr>
        <w:t>exhorta a las autoridades federales, estatales y municipales a establecer mecanismos de coordinación con los productores para priorizar las inversiones de acuerdo con el nivel de riesgo hídrico, la superficie agrícola beneficiada, el número de productores y trabajadores beneficiados y la disponibilidad de agua determinada por los estudios técnicos.</w:t>
      </w:r>
    </w:p>
    <w:p w14:paraId="3D5BF8DF" w14:textId="0B572EFA" w:rsidR="00A32882" w:rsidRDefault="00EC0ED8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sz w:val="24"/>
          <w:szCs w:val="24"/>
        </w:rPr>
        <w:t>SEPTIMO</w:t>
      </w:r>
      <w:r w:rsidR="00A32882" w:rsidRPr="00657F2B">
        <w:rPr>
          <w:rFonts w:ascii="Arial" w:hAnsi="Arial" w:cs="Arial"/>
          <w:b/>
          <w:sz w:val="24"/>
          <w:szCs w:val="24"/>
        </w:rPr>
        <w:t>.</w:t>
      </w:r>
      <w:r w:rsidR="00A32882" w:rsidRPr="00657F2B">
        <w:rPr>
          <w:rFonts w:ascii="Arial" w:hAnsi="Arial" w:cs="Arial"/>
          <w:sz w:val="24"/>
          <w:szCs w:val="24"/>
        </w:rPr>
        <w:t xml:space="preserve"> </w:t>
      </w:r>
      <w:r w:rsidR="00D76C7C" w:rsidRPr="00657F2B">
        <w:rPr>
          <w:rFonts w:ascii="Arial" w:hAnsi="Arial" w:cs="Arial"/>
          <w:sz w:val="24"/>
          <w:szCs w:val="24"/>
        </w:rPr>
        <w:t>La Sexagésima Octava Legislatura</w:t>
      </w:r>
      <w:r w:rsidR="00D76C7C" w:rsidRPr="00E5724E">
        <w:rPr>
          <w:rFonts w:ascii="Arial" w:hAnsi="Arial" w:cs="Arial"/>
          <w:sz w:val="24"/>
          <w:szCs w:val="24"/>
        </w:rPr>
        <w:t xml:space="preserve"> </w:t>
      </w:r>
      <w:r w:rsidR="00A32882" w:rsidRPr="00D76C7C">
        <w:rPr>
          <w:rFonts w:ascii="Arial" w:hAnsi="Arial" w:cs="Arial"/>
          <w:sz w:val="24"/>
          <w:szCs w:val="24"/>
        </w:rPr>
        <w:t>solicita a las autoridades competentes que informen sobre las acciones, programas, recursos y proyectos que serán implementados para prevenir una reducción significativa de la superficie agrícola y evitar afectaciones mayores al empleo y a la economía de las comunidades rurales del Estado.</w:t>
      </w:r>
    </w:p>
    <w:p w14:paraId="2AB1DAFA" w14:textId="1C0CD07E" w:rsidR="006133BD" w:rsidRPr="00D76C7C" w:rsidRDefault="006133BD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7F2B">
        <w:rPr>
          <w:rFonts w:ascii="Arial" w:hAnsi="Arial" w:cs="Arial"/>
          <w:b/>
          <w:bCs/>
          <w:sz w:val="24"/>
          <w:szCs w:val="24"/>
        </w:rPr>
        <w:t>OCTAVO.</w:t>
      </w:r>
      <w:r w:rsidRPr="00657F2B">
        <w:rPr>
          <w:rFonts w:ascii="Arial" w:hAnsi="Arial" w:cs="Arial"/>
          <w:sz w:val="24"/>
          <w:szCs w:val="24"/>
        </w:rPr>
        <w:t xml:space="preserve"> La Sexagésima Octava Legislatura </w:t>
      </w:r>
      <w:r w:rsidR="00DA4550" w:rsidRPr="00657F2B">
        <w:rPr>
          <w:rFonts w:ascii="Arial" w:hAnsi="Arial" w:cs="Arial"/>
          <w:sz w:val="24"/>
          <w:szCs w:val="24"/>
        </w:rPr>
        <w:t xml:space="preserve">exhorta a la Comisión Nacional de Agua, la tecnificación del Distrito de Riego número 113 “Alto Río Conchos”, </w:t>
      </w:r>
      <w:r w:rsidR="005D21EA" w:rsidRPr="00657F2B">
        <w:rPr>
          <w:rFonts w:ascii="Arial" w:hAnsi="Arial" w:cs="Arial"/>
          <w:sz w:val="24"/>
          <w:szCs w:val="24"/>
        </w:rPr>
        <w:t>a efecto de solventar la crisis de agua y sequía de la zona.</w:t>
      </w:r>
    </w:p>
    <w:p w14:paraId="74A9C5A2" w14:textId="72F41A50" w:rsidR="00A32882" w:rsidRPr="00D76C7C" w:rsidRDefault="00A32882" w:rsidP="00D76C7C">
      <w:pPr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76C7C">
        <w:rPr>
          <w:rFonts w:ascii="Arial" w:hAnsi="Arial" w:cs="Arial"/>
          <w:b/>
          <w:sz w:val="24"/>
          <w:szCs w:val="24"/>
        </w:rPr>
        <w:t>TRANSITORIO</w:t>
      </w:r>
    </w:p>
    <w:p w14:paraId="66DE3113" w14:textId="19A26082" w:rsidR="00A32882" w:rsidRPr="00D76C7C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b/>
          <w:sz w:val="24"/>
          <w:szCs w:val="24"/>
        </w:rPr>
        <w:t>ÚNICO</w:t>
      </w:r>
      <w:r w:rsidRPr="00D76C7C">
        <w:rPr>
          <w:rFonts w:ascii="Arial" w:hAnsi="Arial" w:cs="Arial"/>
          <w:sz w:val="24"/>
          <w:szCs w:val="24"/>
        </w:rPr>
        <w:t>. El presente Punto de Acuerdo entrará en vigor al momento de su aprobación.</w:t>
      </w:r>
    </w:p>
    <w:p w14:paraId="750D9AA3" w14:textId="78D0BD22" w:rsidR="00DB1A4F" w:rsidRDefault="00A32882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C7C">
        <w:rPr>
          <w:rFonts w:ascii="Arial" w:hAnsi="Arial" w:cs="Arial"/>
          <w:sz w:val="24"/>
          <w:szCs w:val="24"/>
        </w:rPr>
        <w:t xml:space="preserve">Dado en el Recinto Oficial de la </w:t>
      </w:r>
      <w:r w:rsidR="00657F2B">
        <w:rPr>
          <w:rFonts w:ascii="Arial" w:hAnsi="Arial" w:cs="Arial"/>
          <w:sz w:val="24"/>
          <w:szCs w:val="24"/>
        </w:rPr>
        <w:t>Sexagésima Octava Legislatura</w:t>
      </w:r>
      <w:r w:rsidRPr="00D76C7C">
        <w:rPr>
          <w:rFonts w:ascii="Arial" w:hAnsi="Arial" w:cs="Arial"/>
          <w:sz w:val="24"/>
          <w:szCs w:val="24"/>
        </w:rPr>
        <w:t xml:space="preserve"> a los </w:t>
      </w:r>
      <w:r w:rsidR="00657F2B">
        <w:rPr>
          <w:rFonts w:ascii="Arial" w:hAnsi="Arial" w:cs="Arial"/>
          <w:sz w:val="24"/>
          <w:szCs w:val="24"/>
        </w:rPr>
        <w:t>24</w:t>
      </w:r>
      <w:r w:rsidRPr="00D76C7C">
        <w:rPr>
          <w:rFonts w:ascii="Arial" w:hAnsi="Arial" w:cs="Arial"/>
          <w:sz w:val="24"/>
          <w:szCs w:val="24"/>
        </w:rPr>
        <w:t xml:space="preserve"> días</w:t>
      </w:r>
      <w:r w:rsidR="00EC0ED8" w:rsidRPr="00D76C7C">
        <w:rPr>
          <w:rFonts w:ascii="Arial" w:hAnsi="Arial" w:cs="Arial"/>
          <w:sz w:val="24"/>
          <w:szCs w:val="24"/>
        </w:rPr>
        <w:t xml:space="preserve"> del mes de </w:t>
      </w:r>
      <w:proofErr w:type="gramStart"/>
      <w:r w:rsidR="00657F2B">
        <w:rPr>
          <w:rFonts w:ascii="Arial" w:hAnsi="Arial" w:cs="Arial"/>
          <w:sz w:val="24"/>
          <w:szCs w:val="24"/>
        </w:rPr>
        <w:t>Septiembre</w:t>
      </w:r>
      <w:proofErr w:type="gramEnd"/>
      <w:r w:rsidR="00657F2B">
        <w:rPr>
          <w:rFonts w:ascii="Arial" w:hAnsi="Arial" w:cs="Arial"/>
          <w:sz w:val="24"/>
          <w:szCs w:val="24"/>
        </w:rPr>
        <w:t xml:space="preserve"> del</w:t>
      </w:r>
      <w:r w:rsidR="00EC0ED8" w:rsidRPr="00D76C7C">
        <w:rPr>
          <w:rFonts w:ascii="Arial" w:hAnsi="Arial" w:cs="Arial"/>
          <w:sz w:val="24"/>
          <w:szCs w:val="24"/>
        </w:rPr>
        <w:t xml:space="preserve"> 2026.</w:t>
      </w:r>
    </w:p>
    <w:p w14:paraId="7AF4B112" w14:textId="1839E9B7" w:rsidR="00287E0B" w:rsidRDefault="00287E0B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D14E313" w14:textId="77777777" w:rsidR="00287E0B" w:rsidRPr="000E7026" w:rsidRDefault="00287E0B" w:rsidP="00287E0B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0E7026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A LA FECHA DE SU PRESENTACIÓN</w:t>
      </w:r>
    </w:p>
    <w:p w14:paraId="7557F896" w14:textId="77777777" w:rsidR="00287E0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4AE89009" w14:textId="7DD85B48" w:rsidR="00287E0B" w:rsidRPr="00841A4B" w:rsidRDefault="00287E0B" w:rsidP="00287E0B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Arturo Zubia Fernández</w:t>
      </w:r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br/>
        <w:t xml:space="preserve"> GRUPO PARLAMENTARIO ACCIÓN NACIONAL</w:t>
      </w:r>
    </w:p>
    <w:p w14:paraId="56EA7CF7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7CC8E572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42173ED3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10D1FA99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Edna Xóchitl Contreras Herrera                      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. Ismael Pérez Pavía</w:t>
      </w:r>
    </w:p>
    <w:p w14:paraId="6287802B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034CE17E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37735985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lastRenderedPageBreak/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Nancy Janeth Frías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Frías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                                 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. Saúl Mireles Corral</w:t>
      </w:r>
    </w:p>
    <w:p w14:paraId="5F3E0661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69879785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11CCB2D2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Joceline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 Vega Vargas                           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. Carla Yamileth Rivas Martínez</w:t>
      </w:r>
    </w:p>
    <w:p w14:paraId="74F4CC2C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6E49A26D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19E925E9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Carlos Alfredo Olson San Vicente            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. José Alfredo Chávez Madrid</w:t>
      </w:r>
    </w:p>
    <w:p w14:paraId="20602E4B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24DCB423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41F761BB" w14:textId="19533783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Roberto Marcelino Carreón Huitrón             </w:t>
      </w: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Jorge Carlos Soto Prieto</w:t>
      </w:r>
    </w:p>
    <w:p w14:paraId="4A6D138E" w14:textId="77777777" w:rsidR="00287E0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55941982" w14:textId="77777777" w:rsidR="00287E0B" w:rsidRPr="00841A4B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2DA371C9" w14:textId="77777777" w:rsidR="00287E0B" w:rsidRPr="004112F3" w:rsidRDefault="00287E0B" w:rsidP="00287E0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proofErr w:type="spellStart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 w:rsidRPr="00841A4B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Yessenia Guadalupe Reyes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Calzadías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        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Dip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. Jaime Torres Amaya</w:t>
      </w:r>
    </w:p>
    <w:p w14:paraId="7250F286" w14:textId="77777777" w:rsidR="00287E0B" w:rsidRDefault="00287E0B" w:rsidP="00287E0B"/>
    <w:p w14:paraId="00C7D3CC" w14:textId="77777777" w:rsidR="00287E0B" w:rsidRPr="00D76C7C" w:rsidRDefault="00287E0B" w:rsidP="00D76C7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87E0B" w:rsidRPr="00D76C7C" w:rsidSect="00A32882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882"/>
    <w:rsid w:val="000321F8"/>
    <w:rsid w:val="0005076A"/>
    <w:rsid w:val="000760E9"/>
    <w:rsid w:val="001C4887"/>
    <w:rsid w:val="00287E0B"/>
    <w:rsid w:val="005D21EA"/>
    <w:rsid w:val="006133BD"/>
    <w:rsid w:val="00657F2B"/>
    <w:rsid w:val="00714726"/>
    <w:rsid w:val="0076390D"/>
    <w:rsid w:val="007A1876"/>
    <w:rsid w:val="007F3056"/>
    <w:rsid w:val="008D161B"/>
    <w:rsid w:val="00923267"/>
    <w:rsid w:val="00983917"/>
    <w:rsid w:val="009A293D"/>
    <w:rsid w:val="009B5E4B"/>
    <w:rsid w:val="009C3466"/>
    <w:rsid w:val="00A32882"/>
    <w:rsid w:val="00A718E9"/>
    <w:rsid w:val="00C62D9C"/>
    <w:rsid w:val="00D46BFB"/>
    <w:rsid w:val="00D76C7C"/>
    <w:rsid w:val="00DA4550"/>
    <w:rsid w:val="00E17D8B"/>
    <w:rsid w:val="00E50131"/>
    <w:rsid w:val="00EC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D9DE0"/>
  <w15:chartTrackingRefBased/>
  <w15:docId w15:val="{F5D0969B-BC2B-43B5-AEB0-459F2833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14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2065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Andrea Daniela Flores Chacon</cp:lastModifiedBy>
  <cp:revision>2</cp:revision>
  <dcterms:created xsi:type="dcterms:W3CDTF">2026-09-28T17:47:00Z</dcterms:created>
  <dcterms:modified xsi:type="dcterms:W3CDTF">2026-09-28T17:47:00Z</dcterms:modified>
</cp:coreProperties>
</file>