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BE420" w14:textId="77777777" w:rsidR="002545BC" w:rsidRDefault="002545BC">
      <w:pPr>
        <w:spacing w:after="120" w:line="360" w:lineRule="auto"/>
        <w:jc w:val="both"/>
        <w:rPr>
          <w:b/>
          <w:bCs/>
          <w:sz w:val="24"/>
          <w:szCs w:val="24"/>
        </w:rPr>
      </w:pPr>
    </w:p>
    <w:p w14:paraId="4E0B8C58" w14:textId="77777777" w:rsidR="002545BC" w:rsidRDefault="006D162A">
      <w:pPr>
        <w:spacing w:after="120" w:line="360" w:lineRule="auto"/>
        <w:jc w:val="both"/>
        <w:rPr>
          <w:rFonts w:ascii="Century Gothic" w:eastAsia="Century Gothic" w:hAnsi="Century Gothic" w:cs="Century Gothic"/>
          <w:b/>
          <w:bCs/>
          <w:sz w:val="24"/>
          <w:szCs w:val="24"/>
        </w:rPr>
      </w:pPr>
      <w:r>
        <w:rPr>
          <w:rFonts w:ascii="Century Gothic" w:eastAsia="Century Gothic" w:hAnsi="Century Gothic" w:cs="Century Gothic"/>
          <w:b/>
          <w:bCs/>
          <w:sz w:val="24"/>
          <w:szCs w:val="24"/>
        </w:rPr>
        <w:t>H. CONGRESO DEL ESTADO DE CHIHUAHUA</w:t>
      </w:r>
    </w:p>
    <w:p w14:paraId="2C13FB50" w14:textId="77777777" w:rsidR="002545BC" w:rsidRDefault="006D162A">
      <w:pPr>
        <w:spacing w:after="120" w:line="360" w:lineRule="auto"/>
        <w:jc w:val="both"/>
        <w:rPr>
          <w:rFonts w:ascii="Century Gothic" w:eastAsia="Century Gothic" w:hAnsi="Century Gothic" w:cs="Century Gothic"/>
          <w:b/>
          <w:bCs/>
          <w:sz w:val="24"/>
          <w:szCs w:val="24"/>
        </w:rPr>
      </w:pPr>
      <w:r>
        <w:rPr>
          <w:rFonts w:ascii="Century Gothic" w:eastAsia="Century Gothic" w:hAnsi="Century Gothic" w:cs="Century Gothic"/>
          <w:b/>
          <w:bCs/>
          <w:sz w:val="24"/>
          <w:szCs w:val="24"/>
        </w:rPr>
        <w:t>P R E S E N T E.-</w:t>
      </w:r>
    </w:p>
    <w:p w14:paraId="159D02C2" w14:textId="77777777" w:rsidR="002545BC" w:rsidRDefault="006D162A">
      <w:pPr>
        <w:spacing w:after="12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437F8606" w14:textId="77777777" w:rsidR="002545BC" w:rsidRDefault="006D162A">
      <w:pPr>
        <w:spacing w:after="120" w:line="360" w:lineRule="auto"/>
        <w:jc w:val="both"/>
        <w:rPr>
          <w:rFonts w:ascii="Century Gothic" w:eastAsia="Century Gothic" w:hAnsi="Century Gothic" w:cs="Century Gothic"/>
          <w:sz w:val="24"/>
          <w:szCs w:val="24"/>
        </w:rPr>
      </w:pPr>
      <w:r>
        <w:rPr>
          <w:rFonts w:ascii="Century Gothic" w:eastAsia="Century Gothic" w:hAnsi="Century Gothic" w:cs="Century Gothic"/>
          <w:b/>
          <w:bCs/>
          <w:sz w:val="24"/>
          <w:szCs w:val="24"/>
        </w:rPr>
        <w:t>FRANCISCO ADRIÁN SÁNCHEZ VILLEGAS, AMÉRICA VICTORIA AGUILAR GIL, ALMA YESENIA PORTILLO LERMA Y OCTAVIO JAVIER BORUNDA QUEVEDO</w:t>
      </w:r>
      <w:r>
        <w:rPr>
          <w:rFonts w:ascii="Century Gothic" w:eastAsia="Century Gothic" w:hAnsi="Century Gothic" w:cs="Century Gothic"/>
          <w:sz w:val="24"/>
          <w:szCs w:val="24"/>
        </w:rPr>
        <w:t>, todas y todos integrantes de la Sexagésima Octava Legislatura y con fundamento en lo dispuesto en los artículos 68, fracción I, d</w:t>
      </w:r>
      <w:r>
        <w:rPr>
          <w:rFonts w:ascii="Century Gothic" w:eastAsia="Century Gothic" w:hAnsi="Century Gothic" w:cs="Century Gothic"/>
          <w:sz w:val="24"/>
          <w:szCs w:val="24"/>
        </w:rPr>
        <w:t>e la Constitución Política del Estado de Chihuahua; 167, fracción I, y 170 de la Ley Orgánica del Poder Legislativo del Estado de Chihuahua, así como en los numerales 75 y 76 del Reglamento Interior y de Prácticas Parlamentarias del Poder Legislativo, comp</w:t>
      </w:r>
      <w:r>
        <w:rPr>
          <w:rFonts w:ascii="Century Gothic" w:eastAsia="Century Gothic" w:hAnsi="Century Gothic" w:cs="Century Gothic"/>
          <w:sz w:val="24"/>
          <w:szCs w:val="24"/>
        </w:rPr>
        <w:t xml:space="preserve">arezco ante esta Honorable Representación Popular para presentar </w:t>
      </w:r>
      <w:r>
        <w:rPr>
          <w:rFonts w:ascii="Century Gothic" w:eastAsia="Century Gothic" w:hAnsi="Century Gothic" w:cs="Century Gothic"/>
          <w:b/>
          <w:bCs/>
          <w:sz w:val="24"/>
          <w:szCs w:val="24"/>
        </w:rPr>
        <w:t>iniciativa con carácter de Decreto</w:t>
      </w:r>
      <w:r>
        <w:rPr>
          <w:rFonts w:ascii="Century Gothic" w:eastAsia="Century Gothic" w:hAnsi="Century Gothic" w:cs="Century Gothic"/>
          <w:sz w:val="24"/>
          <w:szCs w:val="24"/>
        </w:rPr>
        <w:t xml:space="preserve"> que pretende </w:t>
      </w:r>
      <w:r>
        <w:rPr>
          <w:rFonts w:ascii="Century Gothic" w:eastAsia="Century Gothic" w:hAnsi="Century Gothic" w:cs="Century Gothic"/>
          <w:b/>
          <w:bCs/>
          <w:sz w:val="24"/>
          <w:szCs w:val="24"/>
        </w:rPr>
        <w:t>reformar la fracción I al artículo 179 de la Constitución Política del Estado Libre y Soberano de Chihuahua</w:t>
      </w:r>
      <w:r>
        <w:rPr>
          <w:rFonts w:ascii="Century Gothic" w:eastAsia="Century Gothic" w:hAnsi="Century Gothic" w:cs="Century Gothic"/>
          <w:sz w:val="24"/>
          <w:szCs w:val="24"/>
        </w:rPr>
        <w:t xml:space="preserve"> a efecto de </w:t>
      </w:r>
      <w:r>
        <w:rPr>
          <w:rFonts w:ascii="Century Gothic" w:eastAsia="Century Gothic" w:hAnsi="Century Gothic" w:cs="Century Gothic"/>
          <w:b/>
          <w:bCs/>
          <w:sz w:val="24"/>
          <w:szCs w:val="24"/>
        </w:rPr>
        <w:t>reconocer fuero constit</w:t>
      </w:r>
      <w:r>
        <w:rPr>
          <w:rFonts w:ascii="Century Gothic" w:eastAsia="Century Gothic" w:hAnsi="Century Gothic" w:cs="Century Gothic"/>
          <w:b/>
          <w:bCs/>
          <w:sz w:val="24"/>
          <w:szCs w:val="24"/>
        </w:rPr>
        <w:t>ucional a quien ocupe la titularidad de la Auditoría Superior del Estado, como garantía institucional para la eficaz realización de las funciones de fiscalización superior y no como privilegio personal</w:t>
      </w:r>
      <w:r>
        <w:rPr>
          <w:rFonts w:ascii="Century Gothic" w:eastAsia="Century Gothic" w:hAnsi="Century Gothic" w:cs="Century Gothic"/>
          <w:sz w:val="24"/>
          <w:szCs w:val="24"/>
        </w:rPr>
        <w:t>.</w:t>
      </w:r>
    </w:p>
    <w:p w14:paraId="0E455AD7" w14:textId="77777777" w:rsidR="002545BC" w:rsidRDefault="002545BC">
      <w:pPr>
        <w:spacing w:after="120" w:line="360" w:lineRule="auto"/>
        <w:jc w:val="both"/>
        <w:rPr>
          <w:rFonts w:ascii="Century Gothic" w:eastAsia="Century Gothic" w:hAnsi="Century Gothic" w:cs="Century Gothic"/>
          <w:sz w:val="24"/>
          <w:szCs w:val="24"/>
        </w:rPr>
      </w:pPr>
    </w:p>
    <w:p w14:paraId="15BAA899" w14:textId="77777777" w:rsidR="002545BC" w:rsidRDefault="006D162A">
      <w:pPr>
        <w:spacing w:before="200" w:after="160" w:line="360" w:lineRule="auto"/>
        <w:jc w:val="center"/>
        <w:rPr>
          <w:rFonts w:ascii="Century Gothic" w:eastAsia="Century Gothic" w:hAnsi="Century Gothic" w:cs="Century Gothic"/>
          <w:b/>
          <w:bCs/>
          <w:sz w:val="24"/>
          <w:szCs w:val="24"/>
        </w:rPr>
      </w:pPr>
      <w:r>
        <w:rPr>
          <w:rFonts w:ascii="Century Gothic" w:eastAsia="Century Gothic" w:hAnsi="Century Gothic" w:cs="Century Gothic"/>
          <w:b/>
          <w:bCs/>
          <w:sz w:val="24"/>
          <w:szCs w:val="24"/>
        </w:rPr>
        <w:t>EXPOSICIÓN DE MOTIVOS</w:t>
      </w:r>
    </w:p>
    <w:p w14:paraId="34E2BBCA" w14:textId="77777777" w:rsidR="002545BC" w:rsidRDefault="002545BC">
      <w:pPr>
        <w:spacing w:before="200" w:after="160" w:line="360" w:lineRule="auto"/>
        <w:jc w:val="center"/>
        <w:rPr>
          <w:rFonts w:ascii="Century Gothic" w:eastAsia="Century Gothic" w:hAnsi="Century Gothic" w:cs="Century Gothic"/>
          <w:b/>
          <w:bCs/>
          <w:sz w:val="24"/>
          <w:szCs w:val="24"/>
        </w:rPr>
      </w:pPr>
    </w:p>
    <w:p w14:paraId="794B15C9" w14:textId="77777777" w:rsidR="002545BC" w:rsidRDefault="006D162A">
      <w:pPr>
        <w:spacing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1.     Desde la lógica de la </w:t>
      </w:r>
      <w:r>
        <w:rPr>
          <w:rFonts w:ascii="Century Gothic" w:eastAsia="Century Gothic" w:hAnsi="Century Gothic" w:cs="Century Gothic"/>
          <w:b/>
          <w:bCs/>
          <w:sz w:val="24"/>
          <w:szCs w:val="24"/>
        </w:rPr>
        <w:t>pirámide de Kelsen</w:t>
      </w:r>
      <w:r>
        <w:rPr>
          <w:rFonts w:ascii="Century Gothic" w:eastAsia="Century Gothic" w:hAnsi="Century Gothic" w:cs="Century Gothic"/>
          <w:sz w:val="24"/>
          <w:szCs w:val="24"/>
        </w:rPr>
        <w:t xml:space="preserve">, la Constitución ocupa el vértice del sistema jurídico. Por ello, cuando se pretende establecer una prerrogativa de naturaleza constitucional, como el fuero o inmunidad procesal, </w:t>
      </w:r>
      <w:r>
        <w:rPr>
          <w:rFonts w:ascii="Century Gothic" w:eastAsia="Century Gothic" w:hAnsi="Century Gothic" w:cs="Century Gothic"/>
          <w:b/>
          <w:bCs/>
          <w:sz w:val="24"/>
          <w:szCs w:val="24"/>
        </w:rPr>
        <w:t>no basta una reforma legal ordinaria</w:t>
      </w:r>
      <w:r>
        <w:rPr>
          <w:rFonts w:ascii="Century Gothic" w:eastAsia="Century Gothic" w:hAnsi="Century Gothic" w:cs="Century Gothic"/>
          <w:sz w:val="24"/>
          <w:szCs w:val="24"/>
        </w:rPr>
        <w:t>: debe acudirse al tex</w:t>
      </w:r>
      <w:r>
        <w:rPr>
          <w:rFonts w:ascii="Century Gothic" w:eastAsia="Century Gothic" w:hAnsi="Century Gothic" w:cs="Century Gothic"/>
          <w:sz w:val="24"/>
          <w:szCs w:val="24"/>
        </w:rPr>
        <w:t>to constitucional que organiza el poder público y regula sus garantías institucionales.</w:t>
      </w:r>
    </w:p>
    <w:p w14:paraId="508FC551" w14:textId="77777777" w:rsidR="002545BC" w:rsidRDefault="006D162A">
      <w:pPr>
        <w:spacing w:line="360" w:lineRule="auto"/>
        <w:ind w:left="72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369193A9" w14:textId="77777777" w:rsidR="002545BC" w:rsidRDefault="006D162A">
      <w:pPr>
        <w:spacing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2.     En el ámbito local, la Constitución Política del Estado Libre y Soberano de Chihuahua es la norma superior del régimen interior del Estado. Su artículo 28 disp</w:t>
      </w:r>
      <w:r>
        <w:rPr>
          <w:rFonts w:ascii="Century Gothic" w:eastAsia="Century Gothic" w:hAnsi="Century Gothic" w:cs="Century Gothic"/>
          <w:sz w:val="24"/>
          <w:szCs w:val="24"/>
        </w:rPr>
        <w:t>one que el ejercicio del poder público se limita a las facultades expresamente consignadas en la Constitución, la Constitución Federal y las leyes expedidas de conformidad con ellas, por tanto, toda protección procesal vinculada al ejercicio de una función</w:t>
      </w:r>
      <w:r>
        <w:rPr>
          <w:rFonts w:ascii="Century Gothic" w:eastAsia="Century Gothic" w:hAnsi="Century Gothic" w:cs="Century Gothic"/>
          <w:sz w:val="24"/>
          <w:szCs w:val="24"/>
        </w:rPr>
        <w:t xml:space="preserve"> pública estratégica debe estar prevista de manera expresa, clara y directa en la Constitución local.</w:t>
      </w:r>
    </w:p>
    <w:p w14:paraId="09DA8F11" w14:textId="77777777" w:rsidR="002545BC" w:rsidRDefault="006D162A">
      <w:pPr>
        <w:ind w:left="72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20AF3C65" w14:textId="77777777" w:rsidR="002545BC" w:rsidRDefault="006D162A">
      <w:pPr>
        <w:spacing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3.     La propia Constitución de Chihuahua establece que el fuero se prevé </w:t>
      </w:r>
      <w:r>
        <w:rPr>
          <w:rFonts w:ascii="Century Gothic" w:eastAsia="Century Gothic" w:hAnsi="Century Gothic" w:cs="Century Gothic"/>
          <w:b/>
          <w:bCs/>
          <w:sz w:val="24"/>
          <w:szCs w:val="24"/>
        </w:rPr>
        <w:t>para la eficaz realización de las funciones públicas</w:t>
      </w:r>
      <w:r>
        <w:rPr>
          <w:rFonts w:ascii="Century Gothic" w:eastAsia="Century Gothic" w:hAnsi="Century Gothic" w:cs="Century Gothic"/>
          <w:sz w:val="24"/>
          <w:szCs w:val="24"/>
        </w:rPr>
        <w:t xml:space="preserve"> y que no constituye priv</w:t>
      </w:r>
      <w:r>
        <w:rPr>
          <w:rFonts w:ascii="Century Gothic" w:eastAsia="Century Gothic" w:hAnsi="Century Gothic" w:cs="Century Gothic"/>
          <w:sz w:val="24"/>
          <w:szCs w:val="24"/>
        </w:rPr>
        <w:t>ilegio personal. Esta precisión resulta determinante: el fuero no protege a la persona por su nombre, trayectoria o filiación política; protege el cargo cuando el ejercicio de sus funciones puede ser objeto de presiones, represalias o intentos de paralizac</w:t>
      </w:r>
      <w:r>
        <w:rPr>
          <w:rFonts w:ascii="Century Gothic" w:eastAsia="Century Gothic" w:hAnsi="Century Gothic" w:cs="Century Gothic"/>
          <w:sz w:val="24"/>
          <w:szCs w:val="24"/>
        </w:rPr>
        <w:t>ión institucional.</w:t>
      </w:r>
    </w:p>
    <w:p w14:paraId="7DACB186" w14:textId="77777777" w:rsidR="002545BC" w:rsidRDefault="006D162A">
      <w:pPr>
        <w:ind w:left="72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652362C7" w14:textId="77777777" w:rsidR="002545BC" w:rsidRDefault="006D162A">
      <w:pPr>
        <w:spacing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t>4.     En el derecho constitucional mexicano, la declaración de procedencia opera como un mecanismo de control político-procesal para evitar que determinadas funciones públicas sean interrumpidas por acciones penales de motivación coyu</w:t>
      </w:r>
      <w:r>
        <w:rPr>
          <w:rFonts w:ascii="Century Gothic" w:eastAsia="Century Gothic" w:hAnsi="Century Gothic" w:cs="Century Gothic"/>
          <w:sz w:val="24"/>
          <w:szCs w:val="24"/>
        </w:rPr>
        <w:t>ntural. No cancela la responsabilidad penal, no borra la imputación, no exime de rendición de cuentas y no impide que el procedimiento continúe cuando concluya el encargo; únicamente exige una decisión previa del órgano legislativo competente para proceder</w:t>
      </w:r>
      <w:r>
        <w:rPr>
          <w:rFonts w:ascii="Century Gothic" w:eastAsia="Century Gothic" w:hAnsi="Century Gothic" w:cs="Century Gothic"/>
          <w:sz w:val="24"/>
          <w:szCs w:val="24"/>
        </w:rPr>
        <w:t xml:space="preserve"> durante el ejercicio de la función.</w:t>
      </w:r>
    </w:p>
    <w:p w14:paraId="19916B4D" w14:textId="77777777" w:rsidR="002545BC" w:rsidRDefault="006D162A">
      <w:pPr>
        <w:ind w:left="72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7ACE17E0" w14:textId="77777777" w:rsidR="002545BC" w:rsidRDefault="006D162A">
      <w:pPr>
        <w:spacing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5.     En el derecho constitucional local comparado existen distintos grados de protección institucional para la persona titular de los órganos superiores de fiscalización. </w:t>
      </w:r>
      <w:r>
        <w:rPr>
          <w:rFonts w:ascii="Century Gothic" w:eastAsia="Century Gothic" w:hAnsi="Century Gothic" w:cs="Century Gothic"/>
          <w:b/>
          <w:bCs/>
          <w:sz w:val="24"/>
          <w:szCs w:val="24"/>
        </w:rPr>
        <w:t>San Luis Potosí</w:t>
      </w:r>
      <w:r>
        <w:rPr>
          <w:rFonts w:ascii="Century Gothic" w:eastAsia="Century Gothic" w:hAnsi="Century Gothic" w:cs="Century Gothic"/>
          <w:sz w:val="24"/>
          <w:szCs w:val="24"/>
        </w:rPr>
        <w:t xml:space="preserve"> constituye un ejemplo de rég</w:t>
      </w:r>
      <w:r>
        <w:rPr>
          <w:rFonts w:ascii="Century Gothic" w:eastAsia="Century Gothic" w:hAnsi="Century Gothic" w:cs="Century Gothic"/>
          <w:sz w:val="24"/>
          <w:szCs w:val="24"/>
        </w:rPr>
        <w:t xml:space="preserve">imen reforzado de responsabilidades, pues su artículo 126 incluye </w:t>
      </w:r>
      <w:r>
        <w:rPr>
          <w:rFonts w:ascii="Century Gothic" w:eastAsia="Century Gothic" w:hAnsi="Century Gothic" w:cs="Century Gothic"/>
          <w:sz w:val="24"/>
          <w:szCs w:val="24"/>
        </w:rPr>
        <w:lastRenderedPageBreak/>
        <w:t>expresamente al Auditor Superior del Estado como sujeto de juicio político y prevé que el Congreso aplique las sanciones previa declaración de procedencia aprobada por las dos terceras parte</w:t>
      </w:r>
      <w:r>
        <w:rPr>
          <w:rFonts w:ascii="Century Gothic" w:eastAsia="Century Gothic" w:hAnsi="Century Gothic" w:cs="Century Gothic"/>
          <w:sz w:val="24"/>
          <w:szCs w:val="24"/>
        </w:rPr>
        <w:t>s de sus miembros presentes. Este modelo no equivale necesariamente al fuero penal en sentido estricto, pero sí confirma que la fiscalización superior puede justificar garantías constitucionales especiales frente a presiones políticas indebidas.</w:t>
      </w:r>
    </w:p>
    <w:p w14:paraId="4F76E156" w14:textId="77777777" w:rsidR="002545BC" w:rsidRDefault="006D162A">
      <w:pPr>
        <w:ind w:left="72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1EAF8EEA" w14:textId="77777777" w:rsidR="002545BC" w:rsidRDefault="006D162A">
      <w:pPr>
        <w:spacing w:after="120"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t>6.     E</w:t>
      </w:r>
      <w:r>
        <w:rPr>
          <w:rFonts w:ascii="Century Gothic" w:eastAsia="Century Gothic" w:hAnsi="Century Gothic" w:cs="Century Gothic"/>
          <w:sz w:val="24"/>
          <w:szCs w:val="24"/>
        </w:rPr>
        <w:t xml:space="preserve">l caso de </w:t>
      </w:r>
      <w:r>
        <w:rPr>
          <w:rFonts w:ascii="Century Gothic" w:eastAsia="Century Gothic" w:hAnsi="Century Gothic" w:cs="Century Gothic"/>
          <w:b/>
          <w:bCs/>
          <w:sz w:val="24"/>
          <w:szCs w:val="24"/>
        </w:rPr>
        <w:t>Nuevo León</w:t>
      </w:r>
      <w:r>
        <w:rPr>
          <w:rFonts w:ascii="Century Gothic" w:eastAsia="Century Gothic" w:hAnsi="Century Gothic" w:cs="Century Gothic"/>
          <w:sz w:val="24"/>
          <w:szCs w:val="24"/>
        </w:rPr>
        <w:t xml:space="preserve"> ofrece un referente más directo para la presente iniciativa. Su artículo 204 constitucional </w:t>
      </w:r>
      <w:r>
        <w:rPr>
          <w:rFonts w:ascii="Century Gothic" w:eastAsia="Century Gothic" w:hAnsi="Century Gothic" w:cs="Century Gothic"/>
          <w:b/>
          <w:bCs/>
          <w:sz w:val="24"/>
          <w:szCs w:val="24"/>
        </w:rPr>
        <w:t>contempla expresamente al Auditor General del Estado</w:t>
      </w:r>
      <w:r>
        <w:rPr>
          <w:rFonts w:ascii="Century Gothic" w:eastAsia="Century Gothic" w:hAnsi="Century Gothic" w:cs="Century Gothic"/>
          <w:sz w:val="24"/>
          <w:szCs w:val="24"/>
        </w:rPr>
        <w:t xml:space="preserve"> dentro del catálogo de personas servidoras públicas respecto de las cuales, para proceder </w:t>
      </w:r>
      <w:r>
        <w:rPr>
          <w:rFonts w:ascii="Century Gothic" w:eastAsia="Century Gothic" w:hAnsi="Century Gothic" w:cs="Century Gothic"/>
          <w:sz w:val="24"/>
          <w:szCs w:val="24"/>
        </w:rPr>
        <w:t xml:space="preserve">penalmente durante el tiempo de su encargo, el Congreso debe declarar previamente, por al menos dos terceras partes de sus integrantes, si </w:t>
      </w:r>
      <w:proofErr w:type="spellStart"/>
      <w:r>
        <w:rPr>
          <w:rFonts w:ascii="Century Gothic" w:eastAsia="Century Gothic" w:hAnsi="Century Gothic" w:cs="Century Gothic"/>
          <w:sz w:val="24"/>
          <w:szCs w:val="24"/>
        </w:rPr>
        <w:t>ha</w:t>
      </w:r>
      <w:proofErr w:type="spellEnd"/>
      <w:r>
        <w:rPr>
          <w:rFonts w:ascii="Century Gothic" w:eastAsia="Century Gothic" w:hAnsi="Century Gothic" w:cs="Century Gothic"/>
          <w:sz w:val="24"/>
          <w:szCs w:val="24"/>
        </w:rPr>
        <w:t xml:space="preserve"> o no lugar a proceder. Se trata de un diseño claro de inmunidad procesal o declaración de procedencia, no para gen</w:t>
      </w:r>
      <w:r>
        <w:rPr>
          <w:rFonts w:ascii="Century Gothic" w:eastAsia="Century Gothic" w:hAnsi="Century Gothic" w:cs="Century Gothic"/>
          <w:sz w:val="24"/>
          <w:szCs w:val="24"/>
        </w:rPr>
        <w:t>erar impunidad, sino para impedir que el aparato penal sea utilizado como mecanismo de presión contra quien fiscaliza el ejercicio del poder público.</w:t>
      </w:r>
    </w:p>
    <w:p w14:paraId="500A6559" w14:textId="77777777" w:rsidR="002545BC" w:rsidRDefault="006D162A">
      <w:pPr>
        <w:spacing w:after="12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39DEE5F8" w14:textId="77777777" w:rsidR="002545BC" w:rsidRDefault="006D162A">
      <w:pPr>
        <w:spacing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7.     Chihuahua ya reconoce la relevancia constitucional de la Auditoría Superior del Estado. El artículo 83 Bis dispone que la Auditoría Superior del Estado es un órgano del Congreso con </w:t>
      </w:r>
      <w:r>
        <w:rPr>
          <w:rFonts w:ascii="Century Gothic" w:eastAsia="Century Gothic" w:hAnsi="Century Gothic" w:cs="Century Gothic"/>
          <w:b/>
          <w:bCs/>
          <w:sz w:val="24"/>
          <w:szCs w:val="24"/>
        </w:rPr>
        <w:t>autonomía técnica, presupuestal, orgánica, funcional, normativa y d</w:t>
      </w:r>
      <w:r>
        <w:rPr>
          <w:rFonts w:ascii="Century Gothic" w:eastAsia="Century Gothic" w:hAnsi="Century Gothic" w:cs="Century Gothic"/>
          <w:b/>
          <w:bCs/>
          <w:sz w:val="24"/>
          <w:szCs w:val="24"/>
        </w:rPr>
        <w:t>e gestión</w:t>
      </w:r>
      <w:r>
        <w:rPr>
          <w:rFonts w:ascii="Century Gothic" w:eastAsia="Century Gothic" w:hAnsi="Century Gothic" w:cs="Century Gothic"/>
          <w:sz w:val="24"/>
          <w:szCs w:val="24"/>
        </w:rPr>
        <w:t xml:space="preserve"> en el ejercicio de sus atribuciones y para decidir sobre su organización interna, funcionamiento y resoluciones. Asimismo, su función de fiscalización debe regirse por los principios de legalidad, imparcialidad y definitividad.</w:t>
      </w:r>
    </w:p>
    <w:p w14:paraId="37291E61" w14:textId="77777777" w:rsidR="002545BC" w:rsidRDefault="006D162A">
      <w:pPr>
        <w:ind w:left="72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3F7F4D6C" w14:textId="77777777" w:rsidR="002545BC" w:rsidRDefault="006D162A">
      <w:pPr>
        <w:spacing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8.     La funció</w:t>
      </w:r>
      <w:r>
        <w:rPr>
          <w:rFonts w:ascii="Century Gothic" w:eastAsia="Century Gothic" w:hAnsi="Century Gothic" w:cs="Century Gothic"/>
          <w:sz w:val="24"/>
          <w:szCs w:val="24"/>
        </w:rPr>
        <w:t>n de la Auditoría Superior del Estado no es meramente administrativa. Se trata del órgano constitucionalmente diseñado para fiscalizar recursos públicos, revisar cuentas públicas, formular observaciones, promover acciones, aportar elementos para la determi</w:t>
      </w:r>
      <w:r>
        <w:rPr>
          <w:rFonts w:ascii="Century Gothic" w:eastAsia="Century Gothic" w:hAnsi="Century Gothic" w:cs="Century Gothic"/>
          <w:sz w:val="24"/>
          <w:szCs w:val="24"/>
        </w:rPr>
        <w:t xml:space="preserve">nación de responsabilidades y vigilar, desde la técnica fiscalizadora, el uso del dinero público. En términos institucionales, </w:t>
      </w:r>
      <w:r>
        <w:rPr>
          <w:rFonts w:ascii="Century Gothic" w:eastAsia="Century Gothic" w:hAnsi="Century Gothic" w:cs="Century Gothic"/>
          <w:b/>
          <w:bCs/>
          <w:sz w:val="24"/>
          <w:szCs w:val="24"/>
        </w:rPr>
        <w:t>quien audita al poder requiere garantías para no ser sometido por el poder auditado</w:t>
      </w:r>
      <w:r>
        <w:rPr>
          <w:rFonts w:ascii="Century Gothic" w:eastAsia="Century Gothic" w:hAnsi="Century Gothic" w:cs="Century Gothic"/>
          <w:sz w:val="24"/>
          <w:szCs w:val="24"/>
        </w:rPr>
        <w:t>.</w:t>
      </w:r>
    </w:p>
    <w:p w14:paraId="11CA0E71" w14:textId="77777777" w:rsidR="002545BC" w:rsidRDefault="006D162A">
      <w:pPr>
        <w:ind w:left="72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0F98AF3D" w14:textId="77777777" w:rsidR="002545BC" w:rsidRDefault="006D162A">
      <w:pPr>
        <w:spacing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9.     El problema actual consiste en una </w:t>
      </w:r>
      <w:r>
        <w:rPr>
          <w:rFonts w:ascii="Century Gothic" w:eastAsia="Century Gothic" w:hAnsi="Century Gothic" w:cs="Century Gothic"/>
          <w:sz w:val="24"/>
          <w:szCs w:val="24"/>
        </w:rPr>
        <w:t>asimetría constitucional. La persona titular de la Auditoría Superior del Estado ya puede ser sujeta a juicio político, en términos del régimen de responsabilidades previsto por la Constitución local; sin embargo, no se encuentra incluida en el catálogo de</w:t>
      </w:r>
      <w:r>
        <w:rPr>
          <w:rFonts w:ascii="Century Gothic" w:eastAsia="Century Gothic" w:hAnsi="Century Gothic" w:cs="Century Gothic"/>
          <w:sz w:val="24"/>
          <w:szCs w:val="24"/>
        </w:rPr>
        <w:t>l artículo 179 relativo a las personas servidoras públicas que gozan de fuero. Es decir, el orden constitucional reconoce la importancia del cargo para exigirle responsabilidad política reforzada, pero no le reconoce una garantía procesal mínima para evita</w:t>
      </w:r>
      <w:r>
        <w:rPr>
          <w:rFonts w:ascii="Century Gothic" w:eastAsia="Century Gothic" w:hAnsi="Century Gothic" w:cs="Century Gothic"/>
          <w:sz w:val="24"/>
          <w:szCs w:val="24"/>
        </w:rPr>
        <w:t>r interferencias indebidas durante el ejercicio de sus atribuciones.</w:t>
      </w:r>
    </w:p>
    <w:p w14:paraId="6F8774C0" w14:textId="77777777" w:rsidR="002545BC" w:rsidRDefault="006D162A">
      <w:pPr>
        <w:ind w:left="72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3A96CF6E" w14:textId="77777777" w:rsidR="002545BC" w:rsidRDefault="006D162A">
      <w:pPr>
        <w:spacing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t>10. Esa omisión no es menor. La fiscalización superior suele recaer sobre actos de gobierno, contratación pública, manejo presupuestal, deuda, obra pública, subsidios, transferencias, programas y decisiones administrativas de alto impacto. En consecuencia,</w:t>
      </w:r>
      <w:r>
        <w:rPr>
          <w:rFonts w:ascii="Century Gothic" w:eastAsia="Century Gothic" w:hAnsi="Century Gothic" w:cs="Century Gothic"/>
          <w:sz w:val="24"/>
          <w:szCs w:val="24"/>
        </w:rPr>
        <w:t xml:space="preserve"> el Auditor Superior puede enfrentarse a intereses políticos, económicos o administrativos capaces de intentar neutralizar su función mediante denuncias penales instrumentales, presiones públicas o litigios diseñados para inhibir investigaciones de fiscali</w:t>
      </w:r>
      <w:r>
        <w:rPr>
          <w:rFonts w:ascii="Century Gothic" w:eastAsia="Century Gothic" w:hAnsi="Century Gothic" w:cs="Century Gothic"/>
          <w:sz w:val="24"/>
          <w:szCs w:val="24"/>
        </w:rPr>
        <w:t>zación.</w:t>
      </w:r>
    </w:p>
    <w:p w14:paraId="46A0752B" w14:textId="77777777" w:rsidR="002545BC" w:rsidRDefault="006D162A">
      <w:pPr>
        <w:ind w:left="72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14BBD408" w14:textId="77777777" w:rsidR="002545BC" w:rsidRDefault="006D162A">
      <w:pPr>
        <w:spacing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11. La solución propuesta consiste en reformar la fracción I del artículo 179 constitucional, a fin de incorporar expresamente a quien ocupe la </w:t>
      </w:r>
      <w:r>
        <w:rPr>
          <w:rFonts w:ascii="Century Gothic" w:eastAsia="Century Gothic" w:hAnsi="Century Gothic" w:cs="Century Gothic"/>
          <w:sz w:val="24"/>
          <w:szCs w:val="24"/>
        </w:rPr>
        <w:lastRenderedPageBreak/>
        <w:t>titularidad de la Auditoría Superior del Estado dentro del catálogo de personas servidoras públicas qu</w:t>
      </w:r>
      <w:r>
        <w:rPr>
          <w:rFonts w:ascii="Century Gothic" w:eastAsia="Century Gothic" w:hAnsi="Century Gothic" w:cs="Century Gothic"/>
          <w:sz w:val="24"/>
          <w:szCs w:val="24"/>
        </w:rPr>
        <w:t>e gozan de fuero. No se modifica el Código Penal, no se altera el procedimiento penal, no se cambia la Ley de Fiscalización Superior, no se amplían atribuciones de la Auditoría Superior del Estado y no se crea un privilegio personal. Únicamente se reconoce</w:t>
      </w:r>
      <w:r>
        <w:rPr>
          <w:rFonts w:ascii="Century Gothic" w:eastAsia="Century Gothic" w:hAnsi="Century Gothic" w:cs="Century Gothic"/>
          <w:sz w:val="24"/>
          <w:szCs w:val="24"/>
        </w:rPr>
        <w:t xml:space="preserve"> una garantía funcional dentro del régimen constitucional de declaración de procedencia ya existente, para proteger la independencia de la fiscalización superior frente a presiones penales indebidas. </w:t>
      </w:r>
    </w:p>
    <w:p w14:paraId="04C1EF7B" w14:textId="77777777" w:rsidR="002545BC" w:rsidRDefault="006D162A">
      <w:pPr>
        <w:ind w:left="72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1F0CFA7B" w14:textId="77777777" w:rsidR="002545BC" w:rsidRDefault="006D162A">
      <w:pPr>
        <w:spacing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t>12. La reforma mantiene todos los límites constitucio</w:t>
      </w:r>
      <w:r>
        <w:rPr>
          <w:rFonts w:ascii="Century Gothic" w:eastAsia="Century Gothic" w:hAnsi="Century Gothic" w:cs="Century Gothic"/>
          <w:sz w:val="24"/>
          <w:szCs w:val="24"/>
        </w:rPr>
        <w:t>nales vigentes. Primero, el fuero no opera en demandas del orden civil. Segundo, la licencia suspende el fuero y demás prerrogativas inherentes al cargo. Tercero, si el Congreso declara que ha lugar a proceder penalmente, la persona funcionaria queda separ</w:t>
      </w:r>
      <w:r>
        <w:rPr>
          <w:rFonts w:ascii="Century Gothic" w:eastAsia="Century Gothic" w:hAnsi="Century Gothic" w:cs="Century Gothic"/>
          <w:sz w:val="24"/>
          <w:szCs w:val="24"/>
        </w:rPr>
        <w:t>ada del cargo y a disposición de las autoridades competentes. Cuarto, si la resolución legislativa es negativa, la imputación puede continuar cuando concluya el encargo. Quinto, si el delito se comete durante el tiempo en que la persona se encuentre separa</w:t>
      </w:r>
      <w:r>
        <w:rPr>
          <w:rFonts w:ascii="Century Gothic" w:eastAsia="Century Gothic" w:hAnsi="Century Gothic" w:cs="Century Gothic"/>
          <w:sz w:val="24"/>
          <w:szCs w:val="24"/>
        </w:rPr>
        <w:t>da del cargo, no se requiere declaración de procedencia.</w:t>
      </w:r>
    </w:p>
    <w:p w14:paraId="4FF20E62" w14:textId="77777777" w:rsidR="002545BC" w:rsidRDefault="006D162A">
      <w:pPr>
        <w:ind w:left="72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141EAD4E" w14:textId="77777777" w:rsidR="002545BC" w:rsidRDefault="006D162A">
      <w:pPr>
        <w:spacing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13. En consecuencia, la propuesta ordena la responsabilidad </w:t>
      </w:r>
      <w:proofErr w:type="spellStart"/>
      <w:r>
        <w:rPr>
          <w:rFonts w:ascii="Century Gothic" w:eastAsia="Century Gothic" w:hAnsi="Century Gothic" w:cs="Century Gothic"/>
          <w:sz w:val="24"/>
          <w:szCs w:val="24"/>
        </w:rPr>
        <w:t>publica</w:t>
      </w:r>
      <w:proofErr w:type="spellEnd"/>
      <w:r>
        <w:rPr>
          <w:rFonts w:ascii="Century Gothic" w:eastAsia="Century Gothic" w:hAnsi="Century Gothic" w:cs="Century Gothic"/>
          <w:sz w:val="24"/>
          <w:szCs w:val="24"/>
        </w:rPr>
        <w:t>. El Auditor Superior seguiría sujeto a responsabilidad política, administrativa, penal y civil en los términos constitucionales y</w:t>
      </w:r>
      <w:r>
        <w:rPr>
          <w:rFonts w:ascii="Century Gothic" w:eastAsia="Century Gothic" w:hAnsi="Century Gothic" w:cs="Century Gothic"/>
          <w:sz w:val="24"/>
          <w:szCs w:val="24"/>
        </w:rPr>
        <w:t xml:space="preserve"> legales aplicables. Lo que se evita es que una acusación penal no filtrada institucionalmente sea utilizada como herramienta de intimidación, presión o captura contra el órgano técnico encargado de fiscalizar el uso de los recursos públicos.</w:t>
      </w:r>
    </w:p>
    <w:p w14:paraId="77EB4BCB" w14:textId="77777777" w:rsidR="002545BC" w:rsidRDefault="006D162A">
      <w:pPr>
        <w:ind w:left="72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18C7AF5F" w14:textId="77777777" w:rsidR="002545BC" w:rsidRDefault="006D162A">
      <w:pPr>
        <w:spacing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14. La adic</w:t>
      </w:r>
      <w:r>
        <w:rPr>
          <w:rFonts w:ascii="Century Gothic" w:eastAsia="Century Gothic" w:hAnsi="Century Gothic" w:cs="Century Gothic"/>
          <w:sz w:val="24"/>
          <w:szCs w:val="24"/>
        </w:rPr>
        <w:t>ión propuesta también guarda coherencia con el diseño institucional de Chihuahua. El artículo 179 ya reconoce fuero a cargos que no forman parte exclusivamente de los tres poderes tradicionales, como la Presidencia de la Comisión Estatal de los Derechos Hu</w:t>
      </w:r>
      <w:r>
        <w:rPr>
          <w:rFonts w:ascii="Century Gothic" w:eastAsia="Century Gothic" w:hAnsi="Century Gothic" w:cs="Century Gothic"/>
          <w:sz w:val="24"/>
          <w:szCs w:val="24"/>
        </w:rPr>
        <w:t>manos, la titularidad de la Fiscalía Anticorrupción, la Presidencia del Instituto Estatal Electoral y las personas comisionadas del Instituto Chihuahuense para la Transparencia y Acceso a la Información Pública. Si esas funciones ameritan protección por su</w:t>
      </w:r>
      <w:r>
        <w:rPr>
          <w:rFonts w:ascii="Century Gothic" w:eastAsia="Century Gothic" w:hAnsi="Century Gothic" w:cs="Century Gothic"/>
          <w:sz w:val="24"/>
          <w:szCs w:val="24"/>
        </w:rPr>
        <w:t xml:space="preserve"> relevancia institucional, con mayor razón debe analizarse la inclusión de quien encabeza la fiscalización superior del Estado.</w:t>
      </w:r>
    </w:p>
    <w:p w14:paraId="3F9F9678" w14:textId="77777777" w:rsidR="002545BC" w:rsidRDefault="006D162A">
      <w:pPr>
        <w:ind w:left="72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685C53F5" w14:textId="77777777" w:rsidR="002545BC" w:rsidRDefault="006D162A">
      <w:pPr>
        <w:spacing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t>15. Debe subrayarse que esta iniciativa se limita a un cargo específico, con una función específica y con una razón constituci</w:t>
      </w:r>
      <w:r>
        <w:rPr>
          <w:rFonts w:ascii="Century Gothic" w:eastAsia="Century Gothic" w:hAnsi="Century Gothic" w:cs="Century Gothic"/>
          <w:sz w:val="24"/>
          <w:szCs w:val="24"/>
        </w:rPr>
        <w:t>onal específica: proteger la independencia operativa de quien revisa el ejercicio de los recursos públicos, sin sustraerlo del régimen de responsabilidades.</w:t>
      </w:r>
    </w:p>
    <w:p w14:paraId="390DBA17" w14:textId="77777777" w:rsidR="002545BC" w:rsidRDefault="006D162A">
      <w:pPr>
        <w:ind w:left="72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5EA8E742" w14:textId="77777777" w:rsidR="002545BC" w:rsidRDefault="006D162A">
      <w:pPr>
        <w:spacing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16. En suma, la reforma parte de una premisa sencilla: </w:t>
      </w:r>
      <w:r>
        <w:rPr>
          <w:rFonts w:ascii="Century Gothic" w:eastAsia="Century Gothic" w:hAnsi="Century Gothic" w:cs="Century Gothic"/>
          <w:b/>
          <w:bCs/>
          <w:sz w:val="24"/>
          <w:szCs w:val="24"/>
        </w:rPr>
        <w:t>la fiscalización superior sólo puede servi</w:t>
      </w:r>
      <w:r>
        <w:rPr>
          <w:rFonts w:ascii="Century Gothic" w:eastAsia="Century Gothic" w:hAnsi="Century Gothic" w:cs="Century Gothic"/>
          <w:b/>
          <w:bCs/>
          <w:sz w:val="24"/>
          <w:szCs w:val="24"/>
        </w:rPr>
        <w:t>r a la ciudadanía si no depende del temor político, penal o administrativo frente a los sujetos fiscalizados</w:t>
      </w:r>
      <w:r>
        <w:rPr>
          <w:rFonts w:ascii="Century Gothic" w:eastAsia="Century Gothic" w:hAnsi="Century Gothic" w:cs="Century Gothic"/>
          <w:sz w:val="24"/>
          <w:szCs w:val="24"/>
        </w:rPr>
        <w:t xml:space="preserve">. Quien revisa cuentas públicas debe hacerlo con rigor técnico, independencia funcional y libertad institucional, de lo contrario, la fiscalización </w:t>
      </w:r>
      <w:r>
        <w:rPr>
          <w:rFonts w:ascii="Century Gothic" w:eastAsia="Century Gothic" w:hAnsi="Century Gothic" w:cs="Century Gothic"/>
          <w:sz w:val="24"/>
          <w:szCs w:val="24"/>
        </w:rPr>
        <w:t>se convierte en trámite, la rendición de cuentas en discurso y el combate a la corrupción en una promesa sin dientes.</w:t>
      </w:r>
    </w:p>
    <w:p w14:paraId="10BCC631" w14:textId="77777777" w:rsidR="002545BC" w:rsidRDefault="006D162A">
      <w:pPr>
        <w:ind w:left="72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350BF8E7" w14:textId="77777777" w:rsidR="002545BC" w:rsidRDefault="006D162A">
      <w:pPr>
        <w:spacing w:after="120"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t>17. Por ello, reconocer fuero constitucional al Auditor Superior del Estado no significa colocarlo por encima de la ley. Significa coloc</w:t>
      </w:r>
      <w:r>
        <w:rPr>
          <w:rFonts w:ascii="Century Gothic" w:eastAsia="Century Gothic" w:hAnsi="Century Gothic" w:cs="Century Gothic"/>
          <w:sz w:val="24"/>
          <w:szCs w:val="24"/>
        </w:rPr>
        <w:t xml:space="preserve">arlo dentro del régimen constitucional correcto: con responsabilidad, con control, con posibilidad de procedencia penal cuando el Congreso así lo determine, pero también con una garantía mínima frente a presiones </w:t>
      </w:r>
      <w:r>
        <w:rPr>
          <w:rFonts w:ascii="Century Gothic" w:eastAsia="Century Gothic" w:hAnsi="Century Gothic" w:cs="Century Gothic"/>
          <w:sz w:val="24"/>
          <w:szCs w:val="24"/>
        </w:rPr>
        <w:lastRenderedPageBreak/>
        <w:t xml:space="preserve">indebidas. </w:t>
      </w:r>
      <w:r>
        <w:rPr>
          <w:rFonts w:ascii="Century Gothic" w:eastAsia="Century Gothic" w:hAnsi="Century Gothic" w:cs="Century Gothic"/>
          <w:b/>
          <w:bCs/>
          <w:sz w:val="24"/>
          <w:szCs w:val="24"/>
        </w:rPr>
        <w:t xml:space="preserve">No se protege a una persona; se </w:t>
      </w:r>
      <w:r>
        <w:rPr>
          <w:rFonts w:ascii="Century Gothic" w:eastAsia="Century Gothic" w:hAnsi="Century Gothic" w:cs="Century Gothic"/>
          <w:b/>
          <w:bCs/>
          <w:sz w:val="24"/>
          <w:szCs w:val="24"/>
        </w:rPr>
        <w:t>protege la función pública de fiscalizar al poder</w:t>
      </w:r>
      <w:r>
        <w:rPr>
          <w:rFonts w:ascii="Century Gothic" w:eastAsia="Century Gothic" w:hAnsi="Century Gothic" w:cs="Century Gothic"/>
          <w:sz w:val="24"/>
          <w:szCs w:val="24"/>
        </w:rPr>
        <w:t xml:space="preserve">. </w:t>
      </w:r>
    </w:p>
    <w:p w14:paraId="27588B1D" w14:textId="77777777" w:rsidR="002545BC" w:rsidRDefault="002545BC">
      <w:pPr>
        <w:spacing w:after="120" w:line="360" w:lineRule="auto"/>
        <w:ind w:left="1080" w:hanging="360"/>
        <w:jc w:val="both"/>
        <w:rPr>
          <w:rFonts w:ascii="Century Gothic" w:eastAsia="Century Gothic" w:hAnsi="Century Gothic" w:cs="Century Gothic"/>
          <w:sz w:val="24"/>
          <w:szCs w:val="24"/>
        </w:rPr>
      </w:pPr>
    </w:p>
    <w:tbl>
      <w:tblPr>
        <w:tblStyle w:val="a"/>
        <w:tblW w:w="8280" w:type="dxa"/>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0"/>
        <w:gridCol w:w="2760"/>
        <w:gridCol w:w="2760"/>
      </w:tblGrid>
      <w:tr w:rsidR="002545BC" w14:paraId="4FC4915A" w14:textId="77777777">
        <w:tc>
          <w:tcPr>
            <w:tcW w:w="27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DD9F2C" w14:textId="77777777" w:rsidR="002545BC" w:rsidRDefault="006D162A">
            <w:pPr>
              <w:spacing w:after="120" w:line="360" w:lineRule="auto"/>
              <w:ind w:left="100" w:right="100"/>
              <w:jc w:val="both"/>
              <w:rPr>
                <w:rFonts w:ascii="Century Gothic" w:eastAsia="Century Gothic" w:hAnsi="Century Gothic" w:cs="Century Gothic"/>
                <w:b/>
                <w:bCs/>
                <w:sz w:val="24"/>
                <w:szCs w:val="24"/>
              </w:rPr>
            </w:pPr>
            <w:r>
              <w:rPr>
                <w:rFonts w:ascii="Century Gothic" w:eastAsia="Century Gothic" w:hAnsi="Century Gothic" w:cs="Century Gothic"/>
                <w:b/>
                <w:bCs/>
                <w:sz w:val="24"/>
                <w:szCs w:val="24"/>
              </w:rPr>
              <w:t>Texto vigente</w:t>
            </w:r>
          </w:p>
        </w:tc>
        <w:tc>
          <w:tcPr>
            <w:tcW w:w="27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33000F8" w14:textId="77777777" w:rsidR="002545BC" w:rsidRDefault="006D162A">
            <w:pPr>
              <w:spacing w:after="120" w:line="360" w:lineRule="auto"/>
              <w:ind w:left="100" w:right="100"/>
              <w:jc w:val="both"/>
              <w:rPr>
                <w:rFonts w:ascii="Century Gothic" w:eastAsia="Century Gothic" w:hAnsi="Century Gothic" w:cs="Century Gothic"/>
                <w:b/>
                <w:bCs/>
                <w:sz w:val="24"/>
                <w:szCs w:val="24"/>
              </w:rPr>
            </w:pPr>
            <w:r>
              <w:rPr>
                <w:rFonts w:ascii="Century Gothic" w:eastAsia="Century Gothic" w:hAnsi="Century Gothic" w:cs="Century Gothic"/>
                <w:b/>
                <w:bCs/>
                <w:sz w:val="24"/>
                <w:szCs w:val="24"/>
              </w:rPr>
              <w:t>Propuesta de reforma</w:t>
            </w:r>
          </w:p>
        </w:tc>
        <w:tc>
          <w:tcPr>
            <w:tcW w:w="27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A22DD2" w14:textId="77777777" w:rsidR="002545BC" w:rsidRDefault="006D162A">
            <w:pPr>
              <w:spacing w:after="120" w:line="360" w:lineRule="auto"/>
              <w:ind w:left="100" w:right="100"/>
              <w:jc w:val="both"/>
              <w:rPr>
                <w:rFonts w:ascii="Century Gothic" w:eastAsia="Century Gothic" w:hAnsi="Century Gothic" w:cs="Century Gothic"/>
                <w:b/>
                <w:bCs/>
                <w:sz w:val="24"/>
                <w:szCs w:val="24"/>
              </w:rPr>
            </w:pPr>
            <w:r>
              <w:rPr>
                <w:rFonts w:ascii="Century Gothic" w:eastAsia="Century Gothic" w:hAnsi="Century Gothic" w:cs="Century Gothic"/>
                <w:b/>
                <w:bCs/>
                <w:sz w:val="24"/>
                <w:szCs w:val="24"/>
              </w:rPr>
              <w:t>Observación técnica</w:t>
            </w:r>
          </w:p>
        </w:tc>
      </w:tr>
      <w:tr w:rsidR="002545BC" w14:paraId="4A15F104" w14:textId="77777777">
        <w:tc>
          <w:tcPr>
            <w:tcW w:w="27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090F26"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ARTÍCULO 179. El fuero se establece para la eficaz realización de las funciones públicas y no constituye privilegio alguno de carácter personal. No hay fuero para ningún servidor público en las demandas del orden civil.</w:t>
            </w:r>
          </w:p>
          <w:p w14:paraId="4D96FC65"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345D957E"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Tienen fuero:</w:t>
            </w:r>
          </w:p>
          <w:p w14:paraId="053CE4B5"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0C1EB6BE"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I. Del Poder Legis</w:t>
            </w:r>
            <w:r>
              <w:rPr>
                <w:rFonts w:ascii="Century Gothic" w:eastAsia="Century Gothic" w:hAnsi="Century Gothic" w:cs="Century Gothic"/>
                <w:sz w:val="24"/>
                <w:szCs w:val="24"/>
              </w:rPr>
              <w:t>lativo, las diputadas y los diputados al Congreso del Estado.</w:t>
            </w:r>
          </w:p>
          <w:p w14:paraId="11555957"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 xml:space="preserve"> </w:t>
            </w:r>
          </w:p>
          <w:p w14:paraId="12510892" w14:textId="77777777" w:rsidR="002545BC" w:rsidRDefault="002545BC">
            <w:pPr>
              <w:spacing w:after="40" w:line="360" w:lineRule="auto"/>
              <w:ind w:left="100" w:right="100"/>
              <w:jc w:val="both"/>
              <w:rPr>
                <w:rFonts w:ascii="Century Gothic" w:eastAsia="Century Gothic" w:hAnsi="Century Gothic" w:cs="Century Gothic"/>
                <w:sz w:val="24"/>
                <w:szCs w:val="24"/>
              </w:rPr>
            </w:pPr>
          </w:p>
          <w:p w14:paraId="49C271BA" w14:textId="77777777" w:rsidR="002545BC" w:rsidRDefault="002545BC">
            <w:pPr>
              <w:spacing w:after="40" w:line="360" w:lineRule="auto"/>
              <w:ind w:left="100" w:right="100"/>
              <w:jc w:val="both"/>
              <w:rPr>
                <w:rFonts w:ascii="Century Gothic" w:eastAsia="Century Gothic" w:hAnsi="Century Gothic" w:cs="Century Gothic"/>
                <w:sz w:val="24"/>
                <w:szCs w:val="24"/>
              </w:rPr>
            </w:pPr>
          </w:p>
          <w:p w14:paraId="4391B83F" w14:textId="77777777" w:rsidR="002545BC" w:rsidRDefault="002545BC">
            <w:pPr>
              <w:spacing w:after="40" w:line="360" w:lineRule="auto"/>
              <w:ind w:left="100" w:right="100"/>
              <w:jc w:val="both"/>
              <w:rPr>
                <w:rFonts w:ascii="Century Gothic" w:eastAsia="Century Gothic" w:hAnsi="Century Gothic" w:cs="Century Gothic"/>
                <w:sz w:val="24"/>
                <w:szCs w:val="24"/>
              </w:rPr>
            </w:pPr>
          </w:p>
          <w:p w14:paraId="48563442"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II. Del Poder Ejecutivo, la persona que ocupe su titularidad, quien sea titular de la Secretaría General de Gobierno y de la </w:t>
            </w:r>
            <w:proofErr w:type="gramStart"/>
            <w:r>
              <w:rPr>
                <w:rFonts w:ascii="Century Gothic" w:eastAsia="Century Gothic" w:hAnsi="Century Gothic" w:cs="Century Gothic"/>
                <w:sz w:val="24"/>
                <w:szCs w:val="24"/>
              </w:rPr>
              <w:t>Fiscalía General</w:t>
            </w:r>
            <w:proofErr w:type="gramEnd"/>
            <w:r>
              <w:rPr>
                <w:rFonts w:ascii="Century Gothic" w:eastAsia="Century Gothic" w:hAnsi="Century Gothic" w:cs="Century Gothic"/>
                <w:sz w:val="24"/>
                <w:szCs w:val="24"/>
              </w:rPr>
              <w:t xml:space="preserve"> del Estado.</w:t>
            </w:r>
          </w:p>
          <w:p w14:paraId="2E1FACFB"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103BED55"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III. Del Poder Judicial, las personas juzgadoras, titulares de magistraturas del Tribunal de Discipl</w:t>
            </w:r>
            <w:r>
              <w:rPr>
                <w:rFonts w:ascii="Century Gothic" w:eastAsia="Century Gothic" w:hAnsi="Century Gothic" w:cs="Century Gothic"/>
                <w:sz w:val="24"/>
                <w:szCs w:val="24"/>
              </w:rPr>
              <w:t>ina Judicial e integrantes del Órgano de Administración Judicial.</w:t>
            </w:r>
          </w:p>
          <w:p w14:paraId="660C88AE"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09E45AE6"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IV. De la Comisión Estatal de Derechos </w:t>
            </w:r>
            <w:r>
              <w:rPr>
                <w:rFonts w:ascii="Century Gothic" w:eastAsia="Century Gothic" w:hAnsi="Century Gothic" w:cs="Century Gothic"/>
                <w:sz w:val="24"/>
                <w:szCs w:val="24"/>
              </w:rPr>
              <w:lastRenderedPageBreak/>
              <w:t xml:space="preserve">Humanos, su </w:t>
            </w:r>
            <w:proofErr w:type="gramStart"/>
            <w:r>
              <w:rPr>
                <w:rFonts w:ascii="Century Gothic" w:eastAsia="Century Gothic" w:hAnsi="Century Gothic" w:cs="Century Gothic"/>
                <w:sz w:val="24"/>
                <w:szCs w:val="24"/>
              </w:rPr>
              <w:t>Presidente</w:t>
            </w:r>
            <w:proofErr w:type="gramEnd"/>
            <w:r>
              <w:rPr>
                <w:rFonts w:ascii="Century Gothic" w:eastAsia="Century Gothic" w:hAnsi="Century Gothic" w:cs="Century Gothic"/>
                <w:sz w:val="24"/>
                <w:szCs w:val="24"/>
              </w:rPr>
              <w:t>;</w:t>
            </w:r>
          </w:p>
          <w:p w14:paraId="187FDB4F"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7C0D308D"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V. De la Fiscalía Anticorrupción, su titular.</w:t>
            </w:r>
          </w:p>
          <w:p w14:paraId="210C7CAC"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7717983D"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VI. Del Instituto Estatal Electoral, su presidente.</w:t>
            </w:r>
          </w:p>
          <w:p w14:paraId="5F38607B"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10DA467F"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VII. Del Instituto Chihuahuense para la Transparencia y Acceso a la Información Pública, las personas comisionadas.</w:t>
            </w:r>
          </w:p>
        </w:tc>
        <w:tc>
          <w:tcPr>
            <w:tcW w:w="2760" w:type="dxa"/>
            <w:tcBorders>
              <w:top w:val="nil"/>
              <w:left w:val="nil"/>
              <w:bottom w:val="single" w:sz="4" w:space="0" w:color="000000"/>
              <w:right w:val="single" w:sz="4" w:space="0" w:color="000000"/>
            </w:tcBorders>
            <w:tcMar>
              <w:top w:w="0" w:type="dxa"/>
              <w:left w:w="100" w:type="dxa"/>
              <w:bottom w:w="0" w:type="dxa"/>
              <w:right w:w="100" w:type="dxa"/>
            </w:tcMar>
          </w:tcPr>
          <w:p w14:paraId="20CF3AA0"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ARTÍCULO 179. El fuero se establece para la eficaz realización de las funciones públicas y no constituye privilegio alguno de carácter perso</w:t>
            </w:r>
            <w:r>
              <w:rPr>
                <w:rFonts w:ascii="Century Gothic" w:eastAsia="Century Gothic" w:hAnsi="Century Gothic" w:cs="Century Gothic"/>
                <w:sz w:val="24"/>
                <w:szCs w:val="24"/>
              </w:rPr>
              <w:t>nal. No hay fuero para ningún servidor público en las demandas del orden civil.</w:t>
            </w:r>
          </w:p>
          <w:p w14:paraId="4908C05A"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6FC80752"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Tienen fuero:</w:t>
            </w:r>
          </w:p>
          <w:p w14:paraId="67CDD1B1"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5DF26BB6"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I. Del Poder Legislativo, las diputadas y los diputados al Congreso del Estado</w:t>
            </w:r>
            <w:r>
              <w:rPr>
                <w:rFonts w:ascii="Century Gothic" w:eastAsia="Century Gothic" w:hAnsi="Century Gothic" w:cs="Century Gothic"/>
                <w:b/>
                <w:bCs/>
                <w:sz w:val="24"/>
                <w:szCs w:val="24"/>
              </w:rPr>
              <w:t xml:space="preserve">; y de la Auditoría Superior </w:t>
            </w:r>
            <w:r>
              <w:rPr>
                <w:rFonts w:ascii="Century Gothic" w:eastAsia="Century Gothic" w:hAnsi="Century Gothic" w:cs="Century Gothic"/>
                <w:b/>
                <w:bCs/>
                <w:sz w:val="24"/>
                <w:szCs w:val="24"/>
              </w:rPr>
              <w:lastRenderedPageBreak/>
              <w:t>del Estado, quien ocupe su titularidad.</w:t>
            </w:r>
          </w:p>
          <w:p w14:paraId="381AFAFC"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II. Del Pod</w:t>
            </w:r>
            <w:r>
              <w:rPr>
                <w:rFonts w:ascii="Century Gothic" w:eastAsia="Century Gothic" w:hAnsi="Century Gothic" w:cs="Century Gothic"/>
                <w:sz w:val="24"/>
                <w:szCs w:val="24"/>
              </w:rPr>
              <w:t xml:space="preserve">er Ejecutivo, la persona que ocupe su titularidad, quien sea titular de la Secretaría General de Gobierno y de la </w:t>
            </w:r>
            <w:proofErr w:type="gramStart"/>
            <w:r>
              <w:rPr>
                <w:rFonts w:ascii="Century Gothic" w:eastAsia="Century Gothic" w:hAnsi="Century Gothic" w:cs="Century Gothic"/>
                <w:sz w:val="24"/>
                <w:szCs w:val="24"/>
              </w:rPr>
              <w:t>Fiscalía General</w:t>
            </w:r>
            <w:proofErr w:type="gramEnd"/>
            <w:r>
              <w:rPr>
                <w:rFonts w:ascii="Century Gothic" w:eastAsia="Century Gothic" w:hAnsi="Century Gothic" w:cs="Century Gothic"/>
                <w:sz w:val="24"/>
                <w:szCs w:val="24"/>
              </w:rPr>
              <w:t xml:space="preserve"> del Estado.</w:t>
            </w:r>
          </w:p>
          <w:p w14:paraId="7E1B7587"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7E78B007"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III. Del Poder Judicial, las personas juzgadoras, titulares de magistraturas del Tribunal de Disciplina Judicia</w:t>
            </w:r>
            <w:r>
              <w:rPr>
                <w:rFonts w:ascii="Century Gothic" w:eastAsia="Century Gothic" w:hAnsi="Century Gothic" w:cs="Century Gothic"/>
                <w:sz w:val="24"/>
                <w:szCs w:val="24"/>
              </w:rPr>
              <w:t>l e integrantes del Órgano de Administración Judicial.</w:t>
            </w:r>
          </w:p>
          <w:p w14:paraId="770603A3"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3CC6713C"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IV. De la Comisión Estatal de Derechos Humanos, su </w:t>
            </w:r>
            <w:proofErr w:type="gramStart"/>
            <w:r>
              <w:rPr>
                <w:rFonts w:ascii="Century Gothic" w:eastAsia="Century Gothic" w:hAnsi="Century Gothic" w:cs="Century Gothic"/>
                <w:sz w:val="24"/>
                <w:szCs w:val="24"/>
              </w:rPr>
              <w:t>Presidente</w:t>
            </w:r>
            <w:proofErr w:type="gramEnd"/>
            <w:r>
              <w:rPr>
                <w:rFonts w:ascii="Century Gothic" w:eastAsia="Century Gothic" w:hAnsi="Century Gothic" w:cs="Century Gothic"/>
                <w:sz w:val="24"/>
                <w:szCs w:val="24"/>
              </w:rPr>
              <w:t>;</w:t>
            </w:r>
          </w:p>
          <w:p w14:paraId="23F2EFBA"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 xml:space="preserve"> </w:t>
            </w:r>
          </w:p>
          <w:p w14:paraId="39E37FBF"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V. De la Fiscalía Anticorrupción, su titular.</w:t>
            </w:r>
          </w:p>
          <w:p w14:paraId="67A89FAC"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4B0268CB"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VI. Del Instituto Estatal Electoral, su presidente.</w:t>
            </w:r>
          </w:p>
          <w:p w14:paraId="367B0F62"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2A0A0210" w14:textId="77777777" w:rsidR="002545BC" w:rsidRDefault="006D162A">
            <w:pPr>
              <w:spacing w:after="40" w:line="360" w:lineRule="auto"/>
              <w:ind w:left="100" w:right="100"/>
              <w:jc w:val="both"/>
              <w:rPr>
                <w:rFonts w:ascii="Century Gothic" w:eastAsia="Century Gothic" w:hAnsi="Century Gothic" w:cs="Century Gothic"/>
                <w:sz w:val="24"/>
                <w:szCs w:val="24"/>
              </w:rPr>
            </w:pPr>
            <w:r>
              <w:rPr>
                <w:rFonts w:ascii="Century Gothic" w:eastAsia="Century Gothic" w:hAnsi="Century Gothic" w:cs="Century Gothic"/>
                <w:sz w:val="24"/>
                <w:szCs w:val="24"/>
              </w:rPr>
              <w:t>VII. Del Instituto Chihuahuense para la Transparencia y Acceso a la Información Pública, las personas comisionadas.</w:t>
            </w:r>
          </w:p>
          <w:p w14:paraId="5CFDE306" w14:textId="77777777" w:rsidR="002545BC" w:rsidRDefault="006D162A">
            <w:pPr>
              <w:spacing w:after="40" w:line="360" w:lineRule="auto"/>
              <w:ind w:left="100" w:right="100"/>
              <w:jc w:val="both"/>
              <w:rPr>
                <w:rFonts w:ascii="Century Gothic" w:eastAsia="Century Gothic" w:hAnsi="Century Gothic" w:cs="Century Gothic"/>
                <w:b/>
                <w:bCs/>
                <w:sz w:val="24"/>
                <w:szCs w:val="24"/>
              </w:rPr>
            </w:pPr>
            <w:r>
              <w:rPr>
                <w:rFonts w:ascii="Century Gothic" w:eastAsia="Century Gothic" w:hAnsi="Century Gothic" w:cs="Century Gothic"/>
                <w:sz w:val="24"/>
                <w:szCs w:val="24"/>
              </w:rPr>
              <w:t xml:space="preserve"> </w:t>
            </w:r>
          </w:p>
        </w:tc>
        <w:tc>
          <w:tcPr>
            <w:tcW w:w="2760" w:type="dxa"/>
            <w:tcBorders>
              <w:top w:val="nil"/>
              <w:left w:val="nil"/>
              <w:bottom w:val="single" w:sz="4" w:space="0" w:color="000000"/>
              <w:right w:val="single" w:sz="4" w:space="0" w:color="000000"/>
            </w:tcBorders>
            <w:tcMar>
              <w:top w:w="0" w:type="dxa"/>
              <w:left w:w="100" w:type="dxa"/>
              <w:bottom w:w="0" w:type="dxa"/>
              <w:right w:w="100" w:type="dxa"/>
            </w:tcMar>
          </w:tcPr>
          <w:p w14:paraId="12FB3466" w14:textId="77777777" w:rsidR="002545BC" w:rsidRDefault="006D162A">
            <w:pPr>
              <w:spacing w:after="40" w:line="360" w:lineRule="auto"/>
              <w:ind w:left="100" w:right="100"/>
              <w:jc w:val="both"/>
              <w:rPr>
                <w:rFonts w:ascii="Century Gothic" w:eastAsia="Century Gothic" w:hAnsi="Century Gothic" w:cs="Century Gothic"/>
                <w:b/>
                <w:bCs/>
                <w:sz w:val="24"/>
                <w:szCs w:val="24"/>
              </w:rPr>
            </w:pPr>
            <w:r>
              <w:rPr>
                <w:rFonts w:ascii="Century Gothic" w:eastAsia="Century Gothic" w:hAnsi="Century Gothic" w:cs="Century Gothic"/>
                <w:sz w:val="24"/>
                <w:szCs w:val="24"/>
              </w:rPr>
              <w:lastRenderedPageBreak/>
              <w:t>Se reforma una sola fracción al artículo 179 constitucional. No se modifica el régimen de procedencia, juicio político, responsabilidad pe</w:t>
            </w:r>
            <w:r>
              <w:rPr>
                <w:rFonts w:ascii="Century Gothic" w:eastAsia="Century Gothic" w:hAnsi="Century Gothic" w:cs="Century Gothic"/>
                <w:sz w:val="24"/>
                <w:szCs w:val="24"/>
              </w:rPr>
              <w:t xml:space="preserve">nal, responsabilidad civil ni los efectos de la licencia. </w:t>
            </w:r>
            <w:r>
              <w:rPr>
                <w:rFonts w:ascii="Century Gothic" w:eastAsia="Century Gothic" w:hAnsi="Century Gothic" w:cs="Century Gothic"/>
                <w:b/>
                <w:bCs/>
                <w:sz w:val="24"/>
                <w:szCs w:val="24"/>
              </w:rPr>
              <w:t xml:space="preserve">La finalidad es incorporar a la persona titular de la Auditoría Superior del Estado al catálogo de cargos con fuero, bajo la misma lógica constitucional vigente: protección </w:t>
            </w:r>
            <w:r>
              <w:rPr>
                <w:rFonts w:ascii="Century Gothic" w:eastAsia="Century Gothic" w:hAnsi="Century Gothic" w:cs="Century Gothic"/>
                <w:b/>
                <w:bCs/>
                <w:sz w:val="24"/>
                <w:szCs w:val="24"/>
              </w:rPr>
              <w:lastRenderedPageBreak/>
              <w:t xml:space="preserve">funcional, no privilegio </w:t>
            </w:r>
            <w:r>
              <w:rPr>
                <w:rFonts w:ascii="Century Gothic" w:eastAsia="Century Gothic" w:hAnsi="Century Gothic" w:cs="Century Gothic"/>
                <w:b/>
                <w:bCs/>
                <w:sz w:val="24"/>
                <w:szCs w:val="24"/>
              </w:rPr>
              <w:t>personal.</w:t>
            </w:r>
          </w:p>
        </w:tc>
      </w:tr>
    </w:tbl>
    <w:p w14:paraId="46CBF6A0" w14:textId="77777777" w:rsidR="002545BC" w:rsidRDefault="002545BC">
      <w:pPr>
        <w:spacing w:after="120" w:line="360" w:lineRule="auto"/>
        <w:ind w:left="1080" w:hanging="360"/>
        <w:jc w:val="both"/>
        <w:rPr>
          <w:rFonts w:ascii="Century Gothic" w:eastAsia="Century Gothic" w:hAnsi="Century Gothic" w:cs="Century Gothic"/>
          <w:sz w:val="24"/>
          <w:szCs w:val="24"/>
        </w:rPr>
      </w:pPr>
    </w:p>
    <w:p w14:paraId="19C13F9B" w14:textId="77777777" w:rsidR="002545BC" w:rsidRDefault="006D162A">
      <w:pPr>
        <w:spacing w:after="120" w:line="360" w:lineRule="auto"/>
        <w:ind w:left="1080" w:hanging="360"/>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25B1CADE" w14:textId="77777777" w:rsidR="002545BC" w:rsidRDefault="006D162A">
      <w:pPr>
        <w:spacing w:after="12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Por lo expuesto, nos permitimos someter a la consideración de esta Representación Popular, la siguiente iniciativa con carácter de:</w:t>
      </w:r>
    </w:p>
    <w:p w14:paraId="30C06AE9" w14:textId="77777777" w:rsidR="002545BC" w:rsidRDefault="006D162A">
      <w:pPr>
        <w:spacing w:after="12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60D23253" w14:textId="77777777" w:rsidR="002545BC" w:rsidRDefault="006D162A">
      <w:pPr>
        <w:spacing w:before="200" w:after="160" w:line="360" w:lineRule="auto"/>
        <w:jc w:val="center"/>
        <w:rPr>
          <w:rFonts w:ascii="Century Gothic" w:eastAsia="Century Gothic" w:hAnsi="Century Gothic" w:cs="Century Gothic"/>
          <w:b/>
          <w:bCs/>
          <w:sz w:val="24"/>
          <w:szCs w:val="24"/>
        </w:rPr>
      </w:pPr>
      <w:r>
        <w:rPr>
          <w:rFonts w:ascii="Century Gothic" w:eastAsia="Century Gothic" w:hAnsi="Century Gothic" w:cs="Century Gothic"/>
          <w:b/>
          <w:bCs/>
          <w:sz w:val="24"/>
          <w:szCs w:val="24"/>
        </w:rPr>
        <w:t>DECRETO:</w:t>
      </w:r>
    </w:p>
    <w:p w14:paraId="7AE19781" w14:textId="77777777" w:rsidR="002545BC" w:rsidRDefault="006D162A">
      <w:pPr>
        <w:spacing w:after="120" w:line="360" w:lineRule="auto"/>
        <w:jc w:val="both"/>
        <w:rPr>
          <w:rFonts w:ascii="Century Gothic" w:eastAsia="Century Gothic" w:hAnsi="Century Gothic" w:cs="Century Gothic"/>
          <w:sz w:val="24"/>
          <w:szCs w:val="24"/>
        </w:rPr>
      </w:pPr>
      <w:r>
        <w:rPr>
          <w:rFonts w:ascii="Century Gothic" w:eastAsia="Century Gothic" w:hAnsi="Century Gothic" w:cs="Century Gothic"/>
          <w:b/>
          <w:bCs/>
          <w:sz w:val="24"/>
          <w:szCs w:val="24"/>
        </w:rPr>
        <w:lastRenderedPageBreak/>
        <w:t xml:space="preserve">ARTÍCULO </w:t>
      </w:r>
      <w:proofErr w:type="gramStart"/>
      <w:r>
        <w:rPr>
          <w:rFonts w:ascii="Century Gothic" w:eastAsia="Century Gothic" w:hAnsi="Century Gothic" w:cs="Century Gothic"/>
          <w:b/>
          <w:bCs/>
          <w:sz w:val="24"/>
          <w:szCs w:val="24"/>
        </w:rPr>
        <w:t>ÚNICO.-</w:t>
      </w:r>
      <w:proofErr w:type="gramEnd"/>
      <w:r>
        <w:rPr>
          <w:rFonts w:ascii="Century Gothic" w:eastAsia="Century Gothic" w:hAnsi="Century Gothic" w:cs="Century Gothic"/>
          <w:b/>
          <w:bCs/>
          <w:sz w:val="24"/>
          <w:szCs w:val="24"/>
        </w:rPr>
        <w:t xml:space="preserve"> </w:t>
      </w:r>
      <w:r>
        <w:rPr>
          <w:rFonts w:ascii="Century Gothic" w:eastAsia="Century Gothic" w:hAnsi="Century Gothic" w:cs="Century Gothic"/>
          <w:sz w:val="24"/>
          <w:szCs w:val="24"/>
        </w:rPr>
        <w:t xml:space="preserve">Se </w:t>
      </w:r>
      <w:r>
        <w:rPr>
          <w:rFonts w:ascii="Century Gothic" w:eastAsia="Century Gothic" w:hAnsi="Century Gothic" w:cs="Century Gothic"/>
          <w:b/>
          <w:bCs/>
          <w:sz w:val="24"/>
          <w:szCs w:val="24"/>
        </w:rPr>
        <w:t>reforma la fracción I al artículo 179 de la Constitución Política del Estado Li</w:t>
      </w:r>
      <w:r>
        <w:rPr>
          <w:rFonts w:ascii="Century Gothic" w:eastAsia="Century Gothic" w:hAnsi="Century Gothic" w:cs="Century Gothic"/>
          <w:b/>
          <w:bCs/>
          <w:sz w:val="24"/>
          <w:szCs w:val="24"/>
        </w:rPr>
        <w:t>bre y Soberano de Chihuahua</w:t>
      </w:r>
      <w:r>
        <w:rPr>
          <w:rFonts w:ascii="Century Gothic" w:eastAsia="Century Gothic" w:hAnsi="Century Gothic" w:cs="Century Gothic"/>
          <w:sz w:val="24"/>
          <w:szCs w:val="24"/>
        </w:rPr>
        <w:t>, para quedar redactado de la siguiente manera:</w:t>
      </w:r>
    </w:p>
    <w:p w14:paraId="3B7E2BA5" w14:textId="77777777" w:rsidR="002545BC" w:rsidRDefault="006D162A">
      <w:pPr>
        <w:spacing w:after="120" w:line="360" w:lineRule="auto"/>
        <w:jc w:val="both"/>
        <w:rPr>
          <w:rFonts w:ascii="Century Gothic" w:eastAsia="Century Gothic" w:hAnsi="Century Gothic" w:cs="Century Gothic"/>
          <w:sz w:val="24"/>
          <w:szCs w:val="24"/>
        </w:rPr>
      </w:pPr>
      <w:r>
        <w:rPr>
          <w:rFonts w:ascii="Century Gothic" w:eastAsia="Century Gothic" w:hAnsi="Century Gothic" w:cs="Century Gothic"/>
          <w:b/>
          <w:bCs/>
          <w:sz w:val="24"/>
          <w:szCs w:val="24"/>
        </w:rPr>
        <w:t xml:space="preserve">ARTÍCULO 179. </w:t>
      </w:r>
      <w:r>
        <w:rPr>
          <w:rFonts w:ascii="Century Gothic" w:eastAsia="Century Gothic" w:hAnsi="Century Gothic" w:cs="Century Gothic"/>
          <w:sz w:val="24"/>
          <w:szCs w:val="24"/>
        </w:rPr>
        <w:t>El fuero se establece para la eficaz realización de las funciones públicas y no constituye privilegio alguno de carácter personal. No hay fuero para ningún servidor público en las demandas del orden civil.</w:t>
      </w:r>
    </w:p>
    <w:p w14:paraId="725D357A" w14:textId="77777777" w:rsidR="002545BC" w:rsidRDefault="006D162A">
      <w:pPr>
        <w:spacing w:after="12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Tienen fuero:</w:t>
      </w:r>
    </w:p>
    <w:p w14:paraId="7CD96FAB" w14:textId="77777777" w:rsidR="002545BC" w:rsidRDefault="006D162A">
      <w:pPr>
        <w:spacing w:after="12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w:t>
      </w:r>
    </w:p>
    <w:p w14:paraId="3C9DF81F" w14:textId="77777777" w:rsidR="002545BC" w:rsidRDefault="006D162A">
      <w:pPr>
        <w:spacing w:after="120" w:line="360" w:lineRule="auto"/>
        <w:jc w:val="both"/>
        <w:rPr>
          <w:rFonts w:ascii="Century Gothic" w:eastAsia="Century Gothic" w:hAnsi="Century Gothic" w:cs="Century Gothic"/>
          <w:b/>
          <w:bCs/>
          <w:sz w:val="24"/>
          <w:szCs w:val="24"/>
        </w:rPr>
      </w:pPr>
      <w:r>
        <w:rPr>
          <w:rFonts w:ascii="Century Gothic" w:eastAsia="Century Gothic" w:hAnsi="Century Gothic" w:cs="Century Gothic"/>
          <w:sz w:val="24"/>
          <w:szCs w:val="24"/>
        </w:rPr>
        <w:t>I. Del Poder Legislativo, las di</w:t>
      </w:r>
      <w:r>
        <w:rPr>
          <w:rFonts w:ascii="Century Gothic" w:eastAsia="Century Gothic" w:hAnsi="Century Gothic" w:cs="Century Gothic"/>
          <w:sz w:val="24"/>
          <w:szCs w:val="24"/>
        </w:rPr>
        <w:t>putadas y los diputados al Congreso del Estado; y</w:t>
      </w:r>
      <w:r>
        <w:rPr>
          <w:rFonts w:ascii="Century Gothic" w:eastAsia="Century Gothic" w:hAnsi="Century Gothic" w:cs="Century Gothic"/>
          <w:b/>
          <w:bCs/>
          <w:sz w:val="24"/>
          <w:szCs w:val="24"/>
        </w:rPr>
        <w:t xml:space="preserve"> de la Auditoría Superior del Estado, quien ocupe su titularidad.</w:t>
      </w:r>
    </w:p>
    <w:p w14:paraId="134480A0" w14:textId="77777777" w:rsidR="002545BC" w:rsidRDefault="002545BC">
      <w:pPr>
        <w:spacing w:before="200" w:after="160" w:line="360" w:lineRule="auto"/>
        <w:jc w:val="center"/>
        <w:rPr>
          <w:rFonts w:ascii="Century Gothic" w:eastAsia="Century Gothic" w:hAnsi="Century Gothic" w:cs="Century Gothic"/>
          <w:b/>
          <w:bCs/>
          <w:sz w:val="24"/>
          <w:szCs w:val="24"/>
        </w:rPr>
      </w:pPr>
    </w:p>
    <w:p w14:paraId="460738EA" w14:textId="77777777" w:rsidR="002545BC" w:rsidRDefault="002545BC">
      <w:pPr>
        <w:spacing w:before="200" w:after="160" w:line="360" w:lineRule="auto"/>
        <w:jc w:val="center"/>
        <w:rPr>
          <w:rFonts w:ascii="Century Gothic" w:eastAsia="Century Gothic" w:hAnsi="Century Gothic" w:cs="Century Gothic"/>
          <w:b/>
          <w:bCs/>
          <w:sz w:val="24"/>
          <w:szCs w:val="24"/>
        </w:rPr>
      </w:pPr>
    </w:p>
    <w:p w14:paraId="1E1F4B17" w14:textId="77777777" w:rsidR="002545BC" w:rsidRDefault="002545BC">
      <w:pPr>
        <w:spacing w:before="200" w:after="160" w:line="360" w:lineRule="auto"/>
        <w:jc w:val="center"/>
        <w:rPr>
          <w:rFonts w:ascii="Century Gothic" w:eastAsia="Century Gothic" w:hAnsi="Century Gothic" w:cs="Century Gothic"/>
          <w:b/>
          <w:bCs/>
          <w:sz w:val="24"/>
          <w:szCs w:val="24"/>
        </w:rPr>
      </w:pPr>
    </w:p>
    <w:p w14:paraId="31908247" w14:textId="77777777" w:rsidR="002545BC" w:rsidRDefault="002545BC">
      <w:pPr>
        <w:spacing w:before="200" w:after="160" w:line="360" w:lineRule="auto"/>
        <w:rPr>
          <w:rFonts w:ascii="Century Gothic" w:eastAsia="Century Gothic" w:hAnsi="Century Gothic" w:cs="Century Gothic"/>
          <w:b/>
          <w:bCs/>
          <w:sz w:val="24"/>
          <w:szCs w:val="24"/>
        </w:rPr>
      </w:pPr>
    </w:p>
    <w:p w14:paraId="0FE2BE3B" w14:textId="77777777" w:rsidR="002545BC" w:rsidRDefault="006D162A">
      <w:pPr>
        <w:spacing w:before="200" w:after="160" w:line="360" w:lineRule="auto"/>
        <w:jc w:val="center"/>
        <w:rPr>
          <w:rFonts w:ascii="Century Gothic" w:eastAsia="Century Gothic" w:hAnsi="Century Gothic" w:cs="Century Gothic"/>
          <w:b/>
          <w:bCs/>
          <w:sz w:val="24"/>
          <w:szCs w:val="24"/>
        </w:rPr>
      </w:pPr>
      <w:r>
        <w:rPr>
          <w:rFonts w:ascii="Century Gothic" w:eastAsia="Century Gothic" w:hAnsi="Century Gothic" w:cs="Century Gothic"/>
          <w:b/>
          <w:bCs/>
          <w:sz w:val="24"/>
          <w:szCs w:val="24"/>
        </w:rPr>
        <w:t>TRANSITORIOS</w:t>
      </w:r>
    </w:p>
    <w:p w14:paraId="08A88825" w14:textId="77777777" w:rsidR="002545BC" w:rsidRDefault="002545BC">
      <w:pPr>
        <w:spacing w:before="200" w:after="160" w:line="360" w:lineRule="auto"/>
        <w:jc w:val="center"/>
        <w:rPr>
          <w:rFonts w:ascii="Century Gothic" w:eastAsia="Century Gothic" w:hAnsi="Century Gothic" w:cs="Century Gothic"/>
          <w:b/>
          <w:bCs/>
          <w:sz w:val="24"/>
          <w:szCs w:val="24"/>
        </w:rPr>
      </w:pPr>
    </w:p>
    <w:p w14:paraId="447BBB73" w14:textId="77777777" w:rsidR="002545BC" w:rsidRDefault="006D162A">
      <w:pPr>
        <w:spacing w:after="120" w:line="360" w:lineRule="auto"/>
        <w:jc w:val="both"/>
        <w:rPr>
          <w:rFonts w:ascii="Century Gothic" w:eastAsia="Century Gothic" w:hAnsi="Century Gothic" w:cs="Century Gothic"/>
          <w:sz w:val="24"/>
          <w:szCs w:val="24"/>
        </w:rPr>
      </w:pPr>
      <w:r>
        <w:rPr>
          <w:rFonts w:ascii="Century Gothic" w:eastAsia="Century Gothic" w:hAnsi="Century Gothic" w:cs="Century Gothic"/>
          <w:b/>
          <w:bCs/>
          <w:sz w:val="24"/>
          <w:szCs w:val="24"/>
        </w:rPr>
        <w:t xml:space="preserve">ARTÍCULO </w:t>
      </w:r>
      <w:proofErr w:type="gramStart"/>
      <w:r>
        <w:rPr>
          <w:rFonts w:ascii="Century Gothic" w:eastAsia="Century Gothic" w:hAnsi="Century Gothic" w:cs="Century Gothic"/>
          <w:b/>
          <w:bCs/>
          <w:sz w:val="24"/>
          <w:szCs w:val="24"/>
        </w:rPr>
        <w:t>PRIMERO.-</w:t>
      </w:r>
      <w:proofErr w:type="gramEnd"/>
      <w:r>
        <w:rPr>
          <w:rFonts w:ascii="Century Gothic" w:eastAsia="Century Gothic" w:hAnsi="Century Gothic" w:cs="Century Gothic"/>
          <w:b/>
          <w:bCs/>
          <w:sz w:val="24"/>
          <w:szCs w:val="24"/>
        </w:rPr>
        <w:t xml:space="preserve"> </w:t>
      </w:r>
      <w:r>
        <w:rPr>
          <w:rFonts w:ascii="Century Gothic" w:eastAsia="Century Gothic" w:hAnsi="Century Gothic" w:cs="Century Gothic"/>
          <w:sz w:val="24"/>
          <w:szCs w:val="24"/>
        </w:rPr>
        <w:t>Conforme a lo dispuesto por el artículo 202 de la Constitución Política del Estado Libre y Soberano de C</w:t>
      </w:r>
      <w:r>
        <w:rPr>
          <w:rFonts w:ascii="Century Gothic" w:eastAsia="Century Gothic" w:hAnsi="Century Gothic" w:cs="Century Gothic"/>
          <w:sz w:val="24"/>
          <w:szCs w:val="24"/>
        </w:rPr>
        <w:t>hihuahua, remítase copia de la iniciativa, del dictamen y del Diario de los Debates del Congreso a los sesenta y siete Ayuntamientos que integran la Entidad, para los efectos constitucionales correspondientes.</w:t>
      </w:r>
    </w:p>
    <w:p w14:paraId="59D2F39B" w14:textId="77777777" w:rsidR="002545BC" w:rsidRDefault="002545BC">
      <w:pPr>
        <w:spacing w:after="120" w:line="360" w:lineRule="auto"/>
        <w:jc w:val="both"/>
        <w:rPr>
          <w:rFonts w:ascii="Century Gothic" w:eastAsia="Century Gothic" w:hAnsi="Century Gothic" w:cs="Century Gothic"/>
          <w:sz w:val="24"/>
          <w:szCs w:val="24"/>
        </w:rPr>
      </w:pPr>
    </w:p>
    <w:p w14:paraId="0CD8706E" w14:textId="77777777" w:rsidR="002545BC" w:rsidRDefault="006D162A">
      <w:pPr>
        <w:spacing w:after="120" w:line="360" w:lineRule="auto"/>
        <w:jc w:val="both"/>
        <w:rPr>
          <w:rFonts w:ascii="Century Gothic" w:eastAsia="Century Gothic" w:hAnsi="Century Gothic" w:cs="Century Gothic"/>
          <w:sz w:val="24"/>
          <w:szCs w:val="24"/>
        </w:rPr>
      </w:pPr>
      <w:r>
        <w:rPr>
          <w:rFonts w:ascii="Century Gothic" w:eastAsia="Century Gothic" w:hAnsi="Century Gothic" w:cs="Century Gothic"/>
          <w:b/>
          <w:bCs/>
          <w:sz w:val="24"/>
          <w:szCs w:val="24"/>
        </w:rPr>
        <w:t xml:space="preserve">ARTÍCULO </w:t>
      </w:r>
      <w:proofErr w:type="gramStart"/>
      <w:r>
        <w:rPr>
          <w:rFonts w:ascii="Century Gothic" w:eastAsia="Century Gothic" w:hAnsi="Century Gothic" w:cs="Century Gothic"/>
          <w:b/>
          <w:bCs/>
          <w:sz w:val="24"/>
          <w:szCs w:val="24"/>
        </w:rPr>
        <w:t>SEGUNDO.-</w:t>
      </w:r>
      <w:proofErr w:type="gramEnd"/>
      <w:r>
        <w:rPr>
          <w:rFonts w:ascii="Century Gothic" w:eastAsia="Century Gothic" w:hAnsi="Century Gothic" w:cs="Century Gothic"/>
          <w:b/>
          <w:bCs/>
          <w:sz w:val="24"/>
          <w:szCs w:val="24"/>
        </w:rPr>
        <w:t xml:space="preserve"> </w:t>
      </w:r>
      <w:r>
        <w:rPr>
          <w:rFonts w:ascii="Century Gothic" w:eastAsia="Century Gothic" w:hAnsi="Century Gothic" w:cs="Century Gothic"/>
          <w:sz w:val="24"/>
          <w:szCs w:val="24"/>
        </w:rPr>
        <w:t xml:space="preserve">El Congreso del Estado o la Diputación Permanente, en su caso, hará el cómputo de los votos de los Ayuntamientos y la declaración de </w:t>
      </w:r>
      <w:r>
        <w:rPr>
          <w:rFonts w:ascii="Century Gothic" w:eastAsia="Century Gothic" w:hAnsi="Century Gothic" w:cs="Century Gothic"/>
          <w:sz w:val="24"/>
          <w:szCs w:val="24"/>
        </w:rPr>
        <w:lastRenderedPageBreak/>
        <w:t>haber sido aprobada la presente reforma constitucional, en términos del artículo 202 de la Constitución Política del Estado</w:t>
      </w:r>
      <w:r>
        <w:rPr>
          <w:rFonts w:ascii="Century Gothic" w:eastAsia="Century Gothic" w:hAnsi="Century Gothic" w:cs="Century Gothic"/>
          <w:sz w:val="24"/>
          <w:szCs w:val="24"/>
        </w:rPr>
        <w:t xml:space="preserve"> Libre y Soberano de Chihuahua.</w:t>
      </w:r>
    </w:p>
    <w:p w14:paraId="665DEDBF" w14:textId="77777777" w:rsidR="002545BC" w:rsidRDefault="002545BC">
      <w:pPr>
        <w:spacing w:after="120" w:line="360" w:lineRule="auto"/>
        <w:jc w:val="both"/>
        <w:rPr>
          <w:rFonts w:ascii="Century Gothic" w:eastAsia="Century Gothic" w:hAnsi="Century Gothic" w:cs="Century Gothic"/>
          <w:sz w:val="24"/>
          <w:szCs w:val="24"/>
        </w:rPr>
      </w:pPr>
    </w:p>
    <w:p w14:paraId="3C76A4A9" w14:textId="77777777" w:rsidR="002545BC" w:rsidRDefault="006D162A">
      <w:pPr>
        <w:spacing w:after="120" w:line="360" w:lineRule="auto"/>
        <w:jc w:val="both"/>
        <w:rPr>
          <w:rFonts w:ascii="Century Gothic" w:eastAsia="Century Gothic" w:hAnsi="Century Gothic" w:cs="Century Gothic"/>
          <w:sz w:val="24"/>
          <w:szCs w:val="24"/>
        </w:rPr>
      </w:pPr>
      <w:r>
        <w:rPr>
          <w:rFonts w:ascii="Century Gothic" w:eastAsia="Century Gothic" w:hAnsi="Century Gothic" w:cs="Century Gothic"/>
          <w:b/>
          <w:bCs/>
          <w:sz w:val="24"/>
          <w:szCs w:val="24"/>
        </w:rPr>
        <w:t xml:space="preserve">ARTÍCULO </w:t>
      </w:r>
      <w:proofErr w:type="gramStart"/>
      <w:r>
        <w:rPr>
          <w:rFonts w:ascii="Century Gothic" w:eastAsia="Century Gothic" w:hAnsi="Century Gothic" w:cs="Century Gothic"/>
          <w:b/>
          <w:bCs/>
          <w:sz w:val="24"/>
          <w:szCs w:val="24"/>
        </w:rPr>
        <w:t>TERCERO.-</w:t>
      </w:r>
      <w:proofErr w:type="gramEnd"/>
      <w:r>
        <w:rPr>
          <w:rFonts w:ascii="Century Gothic" w:eastAsia="Century Gothic" w:hAnsi="Century Gothic" w:cs="Century Gothic"/>
          <w:b/>
          <w:bCs/>
          <w:sz w:val="24"/>
          <w:szCs w:val="24"/>
        </w:rPr>
        <w:t xml:space="preserve"> </w:t>
      </w:r>
      <w:r>
        <w:rPr>
          <w:rFonts w:ascii="Century Gothic" w:eastAsia="Century Gothic" w:hAnsi="Century Gothic" w:cs="Century Gothic"/>
          <w:sz w:val="24"/>
          <w:szCs w:val="24"/>
        </w:rPr>
        <w:t>El presente Decreto entrará en vigor al día siguiente de su publicación en el Periódico Oficial del Estado, una vez agotado el procedimiento previsto para las reformas y adiciones a la Constitución local.</w:t>
      </w:r>
    </w:p>
    <w:p w14:paraId="2E97ACEE" w14:textId="77777777" w:rsidR="002545BC" w:rsidRDefault="002545BC">
      <w:pPr>
        <w:spacing w:after="120" w:line="360" w:lineRule="auto"/>
        <w:jc w:val="both"/>
        <w:rPr>
          <w:rFonts w:ascii="Century Gothic" w:eastAsia="Century Gothic" w:hAnsi="Century Gothic" w:cs="Century Gothic"/>
          <w:sz w:val="24"/>
          <w:szCs w:val="24"/>
        </w:rPr>
      </w:pPr>
    </w:p>
    <w:p w14:paraId="0BD1EF85" w14:textId="77777777" w:rsidR="002545BC" w:rsidRDefault="006D162A">
      <w:pPr>
        <w:spacing w:after="120" w:line="360" w:lineRule="auto"/>
        <w:jc w:val="both"/>
        <w:rPr>
          <w:rFonts w:ascii="Century Gothic" w:eastAsia="Century Gothic" w:hAnsi="Century Gothic" w:cs="Century Gothic"/>
          <w:sz w:val="24"/>
          <w:szCs w:val="24"/>
        </w:rPr>
      </w:pPr>
      <w:r>
        <w:rPr>
          <w:rFonts w:ascii="Century Gothic" w:eastAsia="Century Gothic" w:hAnsi="Century Gothic" w:cs="Century Gothic"/>
          <w:b/>
          <w:bCs/>
          <w:sz w:val="24"/>
          <w:szCs w:val="24"/>
        </w:rPr>
        <w:t xml:space="preserve">ARTÍCULO </w:t>
      </w:r>
      <w:proofErr w:type="gramStart"/>
      <w:r>
        <w:rPr>
          <w:rFonts w:ascii="Century Gothic" w:eastAsia="Century Gothic" w:hAnsi="Century Gothic" w:cs="Century Gothic"/>
          <w:b/>
          <w:bCs/>
          <w:sz w:val="24"/>
          <w:szCs w:val="24"/>
        </w:rPr>
        <w:t>CUARTO.-</w:t>
      </w:r>
      <w:proofErr w:type="gramEnd"/>
      <w:r>
        <w:rPr>
          <w:rFonts w:ascii="Century Gothic" w:eastAsia="Century Gothic" w:hAnsi="Century Gothic" w:cs="Century Gothic"/>
          <w:b/>
          <w:bCs/>
          <w:sz w:val="24"/>
          <w:szCs w:val="24"/>
        </w:rPr>
        <w:t xml:space="preserve"> </w:t>
      </w:r>
      <w:r>
        <w:rPr>
          <w:rFonts w:ascii="Century Gothic" w:eastAsia="Century Gothic" w:hAnsi="Century Gothic" w:cs="Century Gothic"/>
          <w:sz w:val="24"/>
          <w:szCs w:val="24"/>
        </w:rPr>
        <w:t>Se derogan todas las disposiciones que se opongan al presente Decreto.</w:t>
      </w:r>
    </w:p>
    <w:p w14:paraId="0FDE789E" w14:textId="77777777" w:rsidR="002545BC" w:rsidRDefault="002545BC">
      <w:pPr>
        <w:spacing w:after="120" w:line="360" w:lineRule="auto"/>
        <w:jc w:val="both"/>
        <w:rPr>
          <w:rFonts w:ascii="Century Gothic" w:eastAsia="Century Gothic" w:hAnsi="Century Gothic" w:cs="Century Gothic"/>
          <w:sz w:val="24"/>
          <w:szCs w:val="24"/>
        </w:rPr>
      </w:pPr>
    </w:p>
    <w:p w14:paraId="64C5FAD2" w14:textId="77777777" w:rsidR="002545BC" w:rsidRDefault="006D162A">
      <w:pPr>
        <w:spacing w:after="120" w:line="360" w:lineRule="auto"/>
        <w:jc w:val="both"/>
        <w:rPr>
          <w:rFonts w:ascii="Century Gothic" w:eastAsia="Century Gothic" w:hAnsi="Century Gothic" w:cs="Century Gothic"/>
          <w:sz w:val="24"/>
          <w:szCs w:val="24"/>
        </w:rPr>
      </w:pPr>
      <w:proofErr w:type="gramStart"/>
      <w:r>
        <w:rPr>
          <w:rFonts w:ascii="Century Gothic" w:eastAsia="Century Gothic" w:hAnsi="Century Gothic" w:cs="Century Gothic"/>
          <w:b/>
          <w:bCs/>
          <w:sz w:val="24"/>
          <w:szCs w:val="24"/>
        </w:rPr>
        <w:t>ECONÓMICO.-</w:t>
      </w:r>
      <w:proofErr w:type="gramEnd"/>
      <w:r>
        <w:rPr>
          <w:rFonts w:ascii="Century Gothic" w:eastAsia="Century Gothic" w:hAnsi="Century Gothic" w:cs="Century Gothic"/>
          <w:b/>
          <w:bCs/>
          <w:sz w:val="24"/>
          <w:szCs w:val="24"/>
        </w:rPr>
        <w:t xml:space="preserve"> </w:t>
      </w:r>
      <w:r>
        <w:rPr>
          <w:rFonts w:ascii="Century Gothic" w:eastAsia="Century Gothic" w:hAnsi="Century Gothic" w:cs="Century Gothic"/>
          <w:sz w:val="24"/>
          <w:szCs w:val="24"/>
        </w:rPr>
        <w:t>Aprobado que sea, túrnese a la Secretaría para que se elaboren las minutas correspondientes.</w:t>
      </w:r>
    </w:p>
    <w:p w14:paraId="1A3437B0" w14:textId="77777777" w:rsidR="002545BC" w:rsidRDefault="002545BC">
      <w:pPr>
        <w:spacing w:after="120" w:line="360" w:lineRule="auto"/>
        <w:jc w:val="both"/>
        <w:rPr>
          <w:rFonts w:ascii="Century Gothic" w:eastAsia="Century Gothic" w:hAnsi="Century Gothic" w:cs="Century Gothic"/>
          <w:b/>
          <w:bCs/>
          <w:sz w:val="24"/>
          <w:szCs w:val="24"/>
        </w:rPr>
      </w:pPr>
    </w:p>
    <w:p w14:paraId="604915E8" w14:textId="77777777" w:rsidR="002545BC" w:rsidRDefault="006D162A">
      <w:pPr>
        <w:spacing w:after="120" w:line="360" w:lineRule="auto"/>
        <w:jc w:val="both"/>
        <w:rPr>
          <w:rFonts w:ascii="Century Gothic" w:eastAsia="Century Gothic" w:hAnsi="Century Gothic" w:cs="Century Gothic"/>
          <w:sz w:val="24"/>
          <w:szCs w:val="24"/>
        </w:rPr>
      </w:pPr>
      <w:r>
        <w:rPr>
          <w:rFonts w:ascii="Century Gothic" w:eastAsia="Century Gothic" w:hAnsi="Century Gothic" w:cs="Century Gothic"/>
          <w:b/>
          <w:bCs/>
          <w:sz w:val="24"/>
          <w:szCs w:val="24"/>
        </w:rPr>
        <w:t xml:space="preserve">DADO </w:t>
      </w:r>
      <w:r>
        <w:rPr>
          <w:rFonts w:ascii="Century Gothic" w:eastAsia="Century Gothic" w:hAnsi="Century Gothic" w:cs="Century Gothic"/>
          <w:sz w:val="24"/>
          <w:szCs w:val="24"/>
        </w:rPr>
        <w:t>en la ciudad de Chihuahua, Chihuahua, a los 11 días d</w:t>
      </w:r>
      <w:r>
        <w:rPr>
          <w:rFonts w:ascii="Century Gothic" w:eastAsia="Century Gothic" w:hAnsi="Century Gothic" w:cs="Century Gothic"/>
          <w:sz w:val="24"/>
          <w:szCs w:val="24"/>
        </w:rPr>
        <w:t>el mes de agosto del año 2026.</w:t>
      </w:r>
    </w:p>
    <w:p w14:paraId="6EDA3D3F" w14:textId="77777777" w:rsidR="002545BC" w:rsidRDefault="006D162A">
      <w:pPr>
        <w:spacing w:after="12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456C7D2B" w14:textId="77777777" w:rsidR="002545BC" w:rsidRDefault="002545BC">
      <w:pPr>
        <w:spacing w:line="261" w:lineRule="auto"/>
        <w:rPr>
          <w:rFonts w:ascii="Century Gothic" w:eastAsia="Century Gothic" w:hAnsi="Century Gothic" w:cs="Century Gothic"/>
          <w:b/>
          <w:bCs/>
          <w:sz w:val="24"/>
          <w:szCs w:val="24"/>
        </w:rPr>
      </w:pP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545BC" w14:paraId="119DADBF" w14:textId="77777777">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E0AA805" w14:textId="77777777" w:rsidR="002545BC" w:rsidRDefault="006D162A">
            <w:pPr>
              <w:spacing w:line="240" w:lineRule="auto"/>
              <w:jc w:val="center"/>
              <w:rPr>
                <w:rFonts w:ascii="Century Gothic" w:eastAsia="Century Gothic" w:hAnsi="Century Gothic" w:cs="Century Gothic"/>
                <w:b/>
                <w:bCs/>
                <w:sz w:val="24"/>
                <w:szCs w:val="24"/>
                <w:highlight w:val="white"/>
              </w:rPr>
            </w:pPr>
            <w:r>
              <w:rPr>
                <w:rFonts w:ascii="Century Gothic" w:eastAsia="Century Gothic" w:hAnsi="Century Gothic" w:cs="Century Gothic"/>
                <w:b/>
                <w:bCs/>
                <w:sz w:val="24"/>
                <w:szCs w:val="24"/>
                <w:highlight w:val="white"/>
              </w:rPr>
              <w:t>FRANCISCO ADRIÁN SÁNCHEZ VILLEGAS</w:t>
            </w:r>
          </w:p>
          <w:p w14:paraId="29DCBA02" w14:textId="77777777" w:rsidR="002545BC" w:rsidRDefault="006D162A">
            <w:pPr>
              <w:spacing w:line="240" w:lineRule="auto"/>
              <w:jc w:val="center"/>
              <w:rPr>
                <w:rFonts w:ascii="Century Gothic" w:eastAsia="Century Gothic" w:hAnsi="Century Gothic" w:cs="Century Gothic"/>
                <w:b/>
                <w:bCs/>
                <w:sz w:val="24"/>
                <w:szCs w:val="24"/>
                <w:highlight w:val="white"/>
              </w:rPr>
            </w:pPr>
            <w:r>
              <w:rPr>
                <w:rFonts w:ascii="Century Gothic" w:eastAsia="Century Gothic" w:hAnsi="Century Gothic" w:cs="Century Gothic"/>
                <w:b/>
                <w:bCs/>
                <w:sz w:val="24"/>
                <w:szCs w:val="24"/>
                <w:highlight w:val="white"/>
              </w:rPr>
              <w:t>COORDINADOR DEL GRUPO PARLAMENTARIO DE MOVIMIENTO CIUDADANO</w:t>
            </w:r>
          </w:p>
          <w:p w14:paraId="13D8B1AD" w14:textId="77777777" w:rsidR="002545BC" w:rsidRDefault="002545BC">
            <w:pPr>
              <w:spacing w:after="120" w:line="360" w:lineRule="auto"/>
              <w:jc w:val="center"/>
              <w:rPr>
                <w:rFonts w:ascii="Century Gothic" w:eastAsia="Century Gothic" w:hAnsi="Century Gothic" w:cs="Century Gothic"/>
                <w:b/>
                <w:bCs/>
                <w:sz w:val="24"/>
                <w:szCs w:val="24"/>
                <w:highlight w:val="white"/>
              </w:rPr>
            </w:pPr>
          </w:p>
          <w:p w14:paraId="7B24F03E" w14:textId="77777777" w:rsidR="002545BC" w:rsidRDefault="002545BC">
            <w:pPr>
              <w:spacing w:after="120" w:line="360" w:lineRule="auto"/>
              <w:jc w:val="center"/>
              <w:rPr>
                <w:rFonts w:ascii="Century Gothic" w:eastAsia="Century Gothic" w:hAnsi="Century Gothic" w:cs="Century Gothic"/>
                <w:b/>
                <w:bCs/>
                <w:sz w:val="24"/>
                <w:szCs w:val="24"/>
                <w:highlight w:val="white"/>
              </w:rPr>
            </w:pPr>
          </w:p>
          <w:p w14:paraId="532175C8" w14:textId="77777777" w:rsidR="002545BC" w:rsidRDefault="002545BC">
            <w:pPr>
              <w:spacing w:after="120" w:line="360" w:lineRule="auto"/>
              <w:jc w:val="center"/>
              <w:rPr>
                <w:rFonts w:ascii="Century Gothic" w:eastAsia="Century Gothic" w:hAnsi="Century Gothic" w:cs="Century Gothic"/>
                <w:b/>
                <w:bCs/>
                <w:sz w:val="24"/>
                <w:szCs w:val="24"/>
                <w:highlight w:val="white"/>
              </w:rPr>
            </w:pPr>
          </w:p>
        </w:tc>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5B04BDA" w14:textId="77777777" w:rsidR="002545BC" w:rsidRDefault="006D162A">
            <w:pPr>
              <w:spacing w:line="240" w:lineRule="auto"/>
              <w:jc w:val="center"/>
              <w:rPr>
                <w:rFonts w:ascii="Century Gothic" w:eastAsia="Century Gothic" w:hAnsi="Century Gothic" w:cs="Century Gothic"/>
                <w:b/>
                <w:bCs/>
                <w:sz w:val="24"/>
                <w:szCs w:val="24"/>
                <w:highlight w:val="white"/>
              </w:rPr>
            </w:pPr>
            <w:r>
              <w:rPr>
                <w:rFonts w:ascii="Century Gothic" w:eastAsia="Century Gothic" w:hAnsi="Century Gothic" w:cs="Century Gothic"/>
                <w:b/>
                <w:bCs/>
                <w:sz w:val="24"/>
                <w:szCs w:val="24"/>
                <w:highlight w:val="white"/>
              </w:rPr>
              <w:t>AMÉRICA VICTORIA AGUILAR GIL</w:t>
            </w:r>
          </w:p>
          <w:p w14:paraId="175ACE01" w14:textId="77777777" w:rsidR="002545BC" w:rsidRDefault="006D162A">
            <w:pPr>
              <w:spacing w:line="240" w:lineRule="auto"/>
              <w:jc w:val="center"/>
              <w:rPr>
                <w:rFonts w:ascii="Century Gothic" w:eastAsia="Century Gothic" w:hAnsi="Century Gothic" w:cs="Century Gothic"/>
                <w:b/>
                <w:bCs/>
                <w:sz w:val="24"/>
                <w:szCs w:val="24"/>
                <w:highlight w:val="white"/>
              </w:rPr>
            </w:pPr>
            <w:r>
              <w:rPr>
                <w:rFonts w:ascii="Century Gothic" w:eastAsia="Century Gothic" w:hAnsi="Century Gothic" w:cs="Century Gothic"/>
                <w:b/>
                <w:bCs/>
                <w:sz w:val="24"/>
                <w:szCs w:val="24"/>
                <w:highlight w:val="white"/>
              </w:rPr>
              <w:t>DIPUTADA</w:t>
            </w:r>
          </w:p>
        </w:tc>
      </w:tr>
      <w:tr w:rsidR="002545BC" w14:paraId="3B85DFEB" w14:textId="77777777">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91F2065" w14:textId="77777777" w:rsidR="002545BC" w:rsidRDefault="006D162A">
            <w:pPr>
              <w:spacing w:line="240" w:lineRule="auto"/>
              <w:jc w:val="center"/>
              <w:rPr>
                <w:rFonts w:ascii="Century Gothic" w:eastAsia="Century Gothic" w:hAnsi="Century Gothic" w:cs="Century Gothic"/>
                <w:b/>
                <w:bCs/>
                <w:sz w:val="24"/>
                <w:szCs w:val="24"/>
                <w:highlight w:val="white"/>
              </w:rPr>
            </w:pPr>
            <w:r>
              <w:rPr>
                <w:rFonts w:ascii="Century Gothic" w:eastAsia="Century Gothic" w:hAnsi="Century Gothic" w:cs="Century Gothic"/>
                <w:b/>
                <w:bCs/>
                <w:sz w:val="24"/>
                <w:szCs w:val="24"/>
                <w:highlight w:val="white"/>
              </w:rPr>
              <w:t>ALMA YESENIA PORTILLO LERMA</w:t>
            </w:r>
          </w:p>
          <w:p w14:paraId="6A2AC2BE" w14:textId="77777777" w:rsidR="002545BC" w:rsidRDefault="006D162A">
            <w:pPr>
              <w:spacing w:line="240" w:lineRule="auto"/>
              <w:jc w:val="center"/>
              <w:rPr>
                <w:rFonts w:ascii="Century Gothic" w:eastAsia="Century Gothic" w:hAnsi="Century Gothic" w:cs="Century Gothic"/>
                <w:b/>
                <w:bCs/>
                <w:sz w:val="24"/>
                <w:szCs w:val="24"/>
                <w:highlight w:val="white"/>
              </w:rPr>
            </w:pPr>
            <w:r>
              <w:rPr>
                <w:rFonts w:ascii="Century Gothic" w:eastAsia="Century Gothic" w:hAnsi="Century Gothic" w:cs="Century Gothic"/>
                <w:b/>
                <w:bCs/>
                <w:sz w:val="24"/>
                <w:szCs w:val="24"/>
                <w:highlight w:val="white"/>
              </w:rPr>
              <w:lastRenderedPageBreak/>
              <w:t>INTEGRANTE GRUPO PARLAMENTARIO DE MOVIMIENTO CIUDADANO</w:t>
            </w:r>
          </w:p>
          <w:p w14:paraId="057DDD20" w14:textId="77777777" w:rsidR="002545BC" w:rsidRDefault="002545BC">
            <w:pPr>
              <w:spacing w:after="120" w:line="360" w:lineRule="auto"/>
              <w:jc w:val="center"/>
              <w:rPr>
                <w:rFonts w:ascii="Century Gothic" w:eastAsia="Century Gothic" w:hAnsi="Century Gothic" w:cs="Century Gothic"/>
                <w:b/>
                <w:bCs/>
                <w:sz w:val="24"/>
                <w:szCs w:val="24"/>
                <w:highlight w:val="white"/>
              </w:rPr>
            </w:pPr>
          </w:p>
        </w:tc>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898CFE5" w14:textId="77777777" w:rsidR="002545BC" w:rsidRDefault="006D162A">
            <w:pPr>
              <w:spacing w:line="240" w:lineRule="auto"/>
              <w:jc w:val="center"/>
              <w:rPr>
                <w:rFonts w:ascii="Century Gothic" w:eastAsia="Century Gothic" w:hAnsi="Century Gothic" w:cs="Century Gothic"/>
                <w:b/>
                <w:bCs/>
                <w:sz w:val="24"/>
                <w:szCs w:val="24"/>
                <w:highlight w:val="white"/>
              </w:rPr>
            </w:pPr>
            <w:r>
              <w:rPr>
                <w:rFonts w:ascii="Century Gothic" w:eastAsia="Century Gothic" w:hAnsi="Century Gothic" w:cs="Century Gothic"/>
                <w:b/>
                <w:bCs/>
                <w:sz w:val="24"/>
                <w:szCs w:val="24"/>
                <w:highlight w:val="white"/>
              </w:rPr>
              <w:lastRenderedPageBreak/>
              <w:t>OCTAVIO JAVIER BORUNDA QUEVEDO</w:t>
            </w:r>
          </w:p>
          <w:p w14:paraId="296C51AB" w14:textId="77777777" w:rsidR="002545BC" w:rsidRDefault="006D162A">
            <w:pPr>
              <w:spacing w:line="240" w:lineRule="auto"/>
              <w:jc w:val="center"/>
              <w:rPr>
                <w:rFonts w:ascii="Century Gothic" w:eastAsia="Century Gothic" w:hAnsi="Century Gothic" w:cs="Century Gothic"/>
                <w:b/>
                <w:bCs/>
                <w:sz w:val="24"/>
                <w:szCs w:val="24"/>
                <w:highlight w:val="white"/>
              </w:rPr>
            </w:pPr>
            <w:r>
              <w:rPr>
                <w:rFonts w:ascii="Century Gothic" w:eastAsia="Century Gothic" w:hAnsi="Century Gothic" w:cs="Century Gothic"/>
                <w:b/>
                <w:bCs/>
                <w:sz w:val="24"/>
                <w:szCs w:val="24"/>
                <w:highlight w:val="white"/>
              </w:rPr>
              <w:lastRenderedPageBreak/>
              <w:t>REPRESENTANTE PARLAMENTARIO DEL PARTIDO VERDE ECOLOGISTA DE MÉXICO</w:t>
            </w:r>
          </w:p>
        </w:tc>
      </w:tr>
    </w:tbl>
    <w:p w14:paraId="19EC0933" w14:textId="77777777" w:rsidR="002545BC" w:rsidRDefault="002545BC">
      <w:pPr>
        <w:spacing w:line="261" w:lineRule="auto"/>
        <w:rPr>
          <w:rFonts w:ascii="Century Gothic" w:eastAsia="Century Gothic" w:hAnsi="Century Gothic" w:cs="Century Gothic"/>
          <w:b/>
          <w:bCs/>
          <w:sz w:val="24"/>
          <w:szCs w:val="24"/>
        </w:rPr>
      </w:pPr>
    </w:p>
    <w:p w14:paraId="0F29A04E" w14:textId="77777777" w:rsidR="002545BC" w:rsidRDefault="002545BC"/>
    <w:sectPr w:rsidR="002545B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1" w:fontKey="{28F990FB-1DB4-4AA0-8C4B-CE37D741C20E}"/>
    <w:embedBold r:id="rId2" w:fontKey="{66889224-09F8-4364-96FD-E1B28253D4D1}"/>
  </w:font>
  <w:font w:name="Calibri">
    <w:panose1 w:val="020F0502020204030204"/>
    <w:charset w:val="00"/>
    <w:family w:val="swiss"/>
    <w:pitch w:val="variable"/>
    <w:sig w:usb0="E4002EFF" w:usb1="C200247B" w:usb2="00000009" w:usb3="00000000" w:csb0="000001FF" w:csb1="00000000"/>
    <w:embedRegular r:id="rId3" w:fontKey="{63A95D5F-A991-4861-8CCA-7A87EB7D755C}"/>
  </w:font>
  <w:font w:name="Cambria">
    <w:panose1 w:val="02040503050406030204"/>
    <w:charset w:val="00"/>
    <w:family w:val="roman"/>
    <w:pitch w:val="variable"/>
    <w:sig w:usb0="E00006FF" w:usb1="420024FF" w:usb2="02000000" w:usb3="00000000" w:csb0="0000019F" w:csb1="00000000"/>
    <w:embedRegular r:id="rId4" w:fontKey="{4281F4EE-33A6-452F-85F4-AD537F696A9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5BC"/>
    <w:rsid w:val="002545BC"/>
    <w:rsid w:val="006D16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3C2DA"/>
  <w15:docId w15:val="{17811ED2-7510-4AEB-9B2B-ECEF31787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2253</Words>
  <Characters>12392</Characters>
  <Application>Microsoft Office Word</Application>
  <DocSecurity>0</DocSecurity>
  <Lines>103</Lines>
  <Paragraphs>29</Paragraphs>
  <ScaleCrop>false</ScaleCrop>
  <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Daniela Flores Chacon</dc:creator>
  <cp:lastModifiedBy>Andrea Daniela Flores Chacon</cp:lastModifiedBy>
  <cp:revision>2</cp:revision>
  <dcterms:created xsi:type="dcterms:W3CDTF">2026-08-14T15:41:00Z</dcterms:created>
  <dcterms:modified xsi:type="dcterms:W3CDTF">2026-08-14T15:41:00Z</dcterms:modified>
</cp:coreProperties>
</file>