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4FA4B166" w14:textId="77777777" w:rsidR="002360EA" w:rsidRPr="002360EA" w:rsidRDefault="002360EA" w:rsidP="002360EA">
      <w:pPr>
        <w:jc w:val="both"/>
        <w:rPr>
          <w:rFonts w:ascii="Century Gothic" w:hAnsi="Century Gothic"/>
          <w:b/>
          <w:sz w:val="28"/>
          <w:szCs w:val="28"/>
        </w:rPr>
      </w:pPr>
      <w:bookmarkStart w:id="0" w:name="_Hlk196750993"/>
      <w:r w:rsidRPr="002360EA">
        <w:rPr>
          <w:rFonts w:ascii="Century Gothic" w:hAnsi="Century Gothic"/>
          <w:b/>
          <w:sz w:val="28"/>
          <w:szCs w:val="28"/>
        </w:rPr>
        <w:t xml:space="preserve">H. CONGRESO DEL ESTADO DE CHIHUAHUA </w:t>
      </w:r>
    </w:p>
    <w:p w14:paraId="7C3666F9" w14:textId="77777777" w:rsidR="002360EA" w:rsidRPr="002360EA" w:rsidRDefault="002360EA" w:rsidP="002360EA">
      <w:pPr>
        <w:jc w:val="both"/>
        <w:rPr>
          <w:rFonts w:ascii="Century Gothic" w:hAnsi="Century Gothic"/>
          <w:b/>
          <w:sz w:val="28"/>
          <w:szCs w:val="28"/>
        </w:rPr>
      </w:pPr>
      <w:proofErr w:type="gramStart"/>
      <w:r w:rsidRPr="002360EA">
        <w:rPr>
          <w:rFonts w:ascii="Century Gothic" w:hAnsi="Century Gothic"/>
          <w:b/>
          <w:sz w:val="28"/>
          <w:szCs w:val="28"/>
        </w:rPr>
        <w:t>PRESENTE.-</w:t>
      </w:r>
      <w:proofErr w:type="gramEnd"/>
    </w:p>
    <w:bookmarkEnd w:id="0"/>
    <w:p w14:paraId="08318C3B" w14:textId="0F17971E" w:rsidR="00A126E3" w:rsidRDefault="00A126E3" w:rsidP="00A126E3">
      <w:pPr>
        <w:jc w:val="both"/>
        <w:rPr>
          <w:rFonts w:ascii="Century Gothic" w:hAnsi="Century Gothic"/>
          <w:sz w:val="28"/>
          <w:szCs w:val="28"/>
        </w:rPr>
      </w:pPr>
      <w:r w:rsidRPr="00A126E3">
        <w:rPr>
          <w:rFonts w:ascii="Century Gothic" w:hAnsi="Century Gothic"/>
          <w:sz w:val="28"/>
          <w:szCs w:val="28"/>
        </w:rPr>
        <w:t xml:space="preserve">Los suscritos en nuestro carácter de diputadas y diputados de la Sexagésima Octava Legislatura de H. Congreso del Estado de Chihuahua integrantes del Grupo Parlamentario de </w:t>
      </w:r>
      <w:r w:rsidRPr="00256DD7">
        <w:rPr>
          <w:rFonts w:ascii="Century Gothic" w:hAnsi="Century Gothic"/>
          <w:b/>
          <w:sz w:val="28"/>
          <w:szCs w:val="28"/>
        </w:rPr>
        <w:t>MORENA</w:t>
      </w:r>
      <w:r w:rsidRPr="00A126E3">
        <w:rPr>
          <w:rFonts w:ascii="Century Gothic" w:hAnsi="Century Gothic"/>
          <w:sz w:val="28"/>
          <w:szCs w:val="28"/>
        </w:rPr>
        <w:t xml:space="preserve"> con fundamento en lo dispuesto por los </w:t>
      </w:r>
      <w:r w:rsidRPr="00256DD7">
        <w:rPr>
          <w:rFonts w:ascii="Century Gothic" w:hAnsi="Century Gothic"/>
          <w:b/>
          <w:sz w:val="28"/>
          <w:szCs w:val="28"/>
        </w:rPr>
        <w:t>artículos 68 fracción I de la Constitución Política; 167 fracción I, 168 de la Ley Orgánica del Poder Legislativo; 75, 76 y 77 del Reglamento Interior de Prácticas Parlamentarias del Poder Legislativo;</w:t>
      </w:r>
      <w:r w:rsidRPr="00A126E3">
        <w:rPr>
          <w:rFonts w:ascii="Century Gothic" w:hAnsi="Century Gothic"/>
          <w:sz w:val="28"/>
          <w:szCs w:val="28"/>
        </w:rPr>
        <w:t xml:space="preserve"> todos ordenamientos del Estado de Chihuahua, comparecemos ante esta Soberanía, a fin de someter a consideración del Pleno el siguiente proyecto con carácter de </w:t>
      </w:r>
      <w:r w:rsidRPr="00256DD7">
        <w:rPr>
          <w:rFonts w:ascii="Century Gothic" w:hAnsi="Century Gothic"/>
          <w:b/>
          <w:sz w:val="28"/>
          <w:szCs w:val="28"/>
        </w:rPr>
        <w:t>DECRETO</w:t>
      </w:r>
      <w:r w:rsidRPr="00A126E3">
        <w:rPr>
          <w:rFonts w:ascii="Century Gothic" w:hAnsi="Century Gothic"/>
          <w:sz w:val="28"/>
          <w:szCs w:val="28"/>
        </w:rPr>
        <w:t xml:space="preserve">, a fin de </w:t>
      </w:r>
      <w:r w:rsidRPr="00256DD7">
        <w:rPr>
          <w:rFonts w:ascii="Century Gothic" w:hAnsi="Century Gothic"/>
          <w:b/>
          <w:sz w:val="28"/>
          <w:szCs w:val="28"/>
        </w:rPr>
        <w:t>reformar</w:t>
      </w:r>
      <w:r w:rsidRPr="00A126E3">
        <w:rPr>
          <w:rFonts w:ascii="Century Gothic" w:hAnsi="Century Gothic"/>
          <w:sz w:val="28"/>
          <w:szCs w:val="28"/>
        </w:rPr>
        <w:t xml:space="preserve"> </w:t>
      </w:r>
      <w:r w:rsidRPr="00256DD7">
        <w:rPr>
          <w:rFonts w:ascii="Century Gothic" w:hAnsi="Century Gothic"/>
          <w:b/>
          <w:sz w:val="28"/>
          <w:szCs w:val="28"/>
        </w:rPr>
        <w:t>el artículo 129 fracción XXIV de la Ley Orgánica del Poder Legislativo del Estado de Chihuahua</w:t>
      </w:r>
      <w:r w:rsidRPr="00A126E3">
        <w:rPr>
          <w:rFonts w:ascii="Century Gothic" w:hAnsi="Century Gothic"/>
          <w:sz w:val="28"/>
          <w:szCs w:val="28"/>
        </w:rPr>
        <w:t xml:space="preserve"> </w:t>
      </w:r>
      <w:r w:rsidRPr="00256DD7">
        <w:rPr>
          <w:rFonts w:ascii="Century Gothic" w:hAnsi="Century Gothic"/>
          <w:b/>
          <w:sz w:val="28"/>
          <w:szCs w:val="28"/>
        </w:rPr>
        <w:t>en materia de accesibilidad en la información que difunde el Congreso</w:t>
      </w:r>
      <w:r w:rsidRPr="00A126E3">
        <w:rPr>
          <w:rFonts w:ascii="Century Gothic" w:hAnsi="Century Gothic"/>
          <w:sz w:val="28"/>
          <w:szCs w:val="28"/>
        </w:rPr>
        <w:t xml:space="preserve"> del Estado, con sustento en la siguiente: </w:t>
      </w:r>
    </w:p>
    <w:p w14:paraId="170D24C1" w14:textId="77777777" w:rsidR="00256DD7" w:rsidRDefault="00256DD7" w:rsidP="00A126E3">
      <w:pPr>
        <w:jc w:val="both"/>
        <w:rPr>
          <w:rFonts w:ascii="Century Gothic" w:hAnsi="Century Gothic"/>
          <w:sz w:val="28"/>
          <w:szCs w:val="28"/>
        </w:rPr>
      </w:pPr>
    </w:p>
    <w:p w14:paraId="3F4E3FC3" w14:textId="1778967A" w:rsidR="002360EA" w:rsidRPr="002360EA" w:rsidRDefault="002360EA" w:rsidP="002360EA">
      <w:pPr>
        <w:jc w:val="center"/>
        <w:rPr>
          <w:rFonts w:ascii="Century Gothic" w:hAnsi="Century Gothic" w:cs="Arial"/>
          <w:b/>
          <w:sz w:val="28"/>
          <w:szCs w:val="28"/>
        </w:rPr>
      </w:pPr>
      <w:r w:rsidRPr="002360EA">
        <w:rPr>
          <w:rFonts w:ascii="Century Gothic" w:hAnsi="Century Gothic" w:cs="Arial"/>
          <w:b/>
          <w:sz w:val="28"/>
          <w:szCs w:val="28"/>
        </w:rPr>
        <w:t>EXPOSICIÓN DE MOTIVOS</w:t>
      </w:r>
    </w:p>
    <w:p w14:paraId="07D4A495" w14:textId="4D6F8DDA" w:rsidR="00770B27" w:rsidRPr="00770B27" w:rsidRDefault="00770B27" w:rsidP="00770B27">
      <w:pPr>
        <w:jc w:val="both"/>
        <w:rPr>
          <w:rFonts w:ascii="Century Gothic" w:hAnsi="Century Gothic" w:cs="Arial"/>
          <w:sz w:val="28"/>
          <w:szCs w:val="28"/>
        </w:rPr>
      </w:pPr>
      <w:r w:rsidRPr="00770B27">
        <w:rPr>
          <w:rFonts w:ascii="Century Gothic" w:hAnsi="Century Gothic" w:cs="Arial"/>
          <w:sz w:val="28"/>
          <w:szCs w:val="28"/>
        </w:rPr>
        <w:t>La democracia representativa exige no sólo la existencia de instituciones públicas transparentes, sino también accesibles, incluyentes y cercanas a toda la población, sin distinción alguna. En ese sentido, el Congreso del Estado de Chihuahua, como órgano fundamental del poder público, debe garantizar que su comunicación, convocatorias, actividades y documentos estén disponibles para todas las personas en formatos comprensibles, culturalmente pertinentes y técnicamente accesibles.</w:t>
      </w:r>
    </w:p>
    <w:p w14:paraId="1890DF19" w14:textId="77777777" w:rsidR="00770B27" w:rsidRDefault="00770B27" w:rsidP="00770B27">
      <w:pPr>
        <w:jc w:val="both"/>
        <w:rPr>
          <w:rFonts w:ascii="Century Gothic" w:hAnsi="Century Gothic" w:cs="Arial"/>
          <w:sz w:val="28"/>
          <w:szCs w:val="28"/>
        </w:rPr>
      </w:pPr>
    </w:p>
    <w:p w14:paraId="015B35C3" w14:textId="77777777" w:rsidR="00770B27" w:rsidRDefault="00770B27" w:rsidP="00770B27">
      <w:pPr>
        <w:jc w:val="both"/>
        <w:rPr>
          <w:rFonts w:ascii="Century Gothic" w:hAnsi="Century Gothic" w:cs="Arial"/>
          <w:sz w:val="28"/>
          <w:szCs w:val="28"/>
        </w:rPr>
      </w:pPr>
    </w:p>
    <w:p w14:paraId="03BAA340" w14:textId="08CB7BDB" w:rsidR="00770B27" w:rsidRPr="00770B27" w:rsidRDefault="00770B27" w:rsidP="00770B27">
      <w:pPr>
        <w:jc w:val="both"/>
        <w:rPr>
          <w:rFonts w:ascii="Century Gothic" w:hAnsi="Century Gothic" w:cs="Arial"/>
          <w:sz w:val="28"/>
          <w:szCs w:val="28"/>
        </w:rPr>
      </w:pPr>
      <w:r w:rsidRPr="00770B27">
        <w:rPr>
          <w:rFonts w:ascii="Century Gothic" w:hAnsi="Century Gothic" w:cs="Arial"/>
          <w:sz w:val="28"/>
          <w:szCs w:val="28"/>
        </w:rPr>
        <w:t xml:space="preserve">Este cambio debe iniciar con la toma de conciencia de todas y todos los que integramos el poder legislativo en cuanto a que nuestro trabajo llegue a todas las personas sin importar las diferencias, y sobre todo reconocer que la inclusión es un tema de todos, que no hay acción pequeña.  </w:t>
      </w:r>
    </w:p>
    <w:p w14:paraId="527C7FF5" w14:textId="23E5906E" w:rsidR="00770B27" w:rsidRPr="00770B27" w:rsidRDefault="00770B27" w:rsidP="00770B27">
      <w:pPr>
        <w:jc w:val="both"/>
        <w:rPr>
          <w:rFonts w:ascii="Century Gothic" w:hAnsi="Century Gothic" w:cs="Arial"/>
          <w:sz w:val="28"/>
          <w:szCs w:val="28"/>
        </w:rPr>
      </w:pPr>
      <w:r w:rsidRPr="00770B27">
        <w:rPr>
          <w:rFonts w:ascii="Century Gothic" w:hAnsi="Century Gothic" w:cs="Arial"/>
          <w:sz w:val="28"/>
          <w:szCs w:val="28"/>
        </w:rPr>
        <w:t xml:space="preserve">Si bien la Ley Orgánica del Poder Legislativo ya contempla acciones de comunicación social y ha dado pasos importantes al reconocer el uso del lenguaje de señas para personas con discapacidad auditiva,  el Artículo 1º de la Constitución Política de los Estados Unidos Mexicanos establece la obligación de todas las autoridades de promover, respetar, proteger y garantizar los derechos humanos, bajo los principios de universalidad, interdependencia, indivisibilidad y progresividad, en el mismo orden de ideas,  los artículos 2º y 6º del citado ordenamiento, reconoce el derecho de acceso a la información y los derechos de los pueblos y comunidades indígenas,  por lo que es necesario ampliar esta visión y armonizar la multicitada ley con los lineamientos internacionales  desde un enfoque de derechos humanos, inclusión y accesibilidad universal, donde también se considere a las personas con discapacidad, personas </w:t>
      </w:r>
      <w:r>
        <w:rPr>
          <w:rFonts w:ascii="Century Gothic" w:hAnsi="Century Gothic" w:cs="Arial"/>
          <w:sz w:val="28"/>
          <w:szCs w:val="28"/>
        </w:rPr>
        <w:t xml:space="preserve"> </w:t>
      </w:r>
      <w:r w:rsidRPr="00770B27">
        <w:rPr>
          <w:rFonts w:ascii="Century Gothic" w:hAnsi="Century Gothic" w:cs="Arial"/>
          <w:sz w:val="28"/>
          <w:szCs w:val="28"/>
        </w:rPr>
        <w:t>neurodivergentes, de pueblos y comunidades indígenas así como personas adultas mayores.</w:t>
      </w:r>
    </w:p>
    <w:p w14:paraId="0D45BA24" w14:textId="77777777" w:rsidR="00770B27" w:rsidRPr="00770B27" w:rsidRDefault="00770B27" w:rsidP="00770B27">
      <w:pPr>
        <w:jc w:val="both"/>
        <w:rPr>
          <w:rFonts w:ascii="Century Gothic" w:hAnsi="Century Gothic" w:cs="Arial"/>
          <w:sz w:val="28"/>
          <w:szCs w:val="28"/>
        </w:rPr>
      </w:pPr>
      <w:r w:rsidRPr="00770B27">
        <w:rPr>
          <w:rFonts w:ascii="Century Gothic" w:hAnsi="Century Gothic" w:cs="Arial"/>
          <w:sz w:val="28"/>
          <w:szCs w:val="28"/>
        </w:rPr>
        <w:t>En este contexto, la presente iniciativa propone reformar la fracción XXIV del artículo 129 de la Ley Orgánica del Poder Legislativo del Estado de Chihuahua, con el objetivo de incorporar una obligación expresa de adoptar formatos accesibles en toda la comunicación institucional del Congreso, considerando las necesidades de diversos grupos históricamente discriminados o en situación de vulnerabilidad, como las personas con discapacidad, personas neurodivergentes, integrantes de pueblos y comunidades indígenas, y personas adultas mayores.</w:t>
      </w:r>
    </w:p>
    <w:p w14:paraId="6585FEAE" w14:textId="77777777" w:rsidR="00770B27" w:rsidRDefault="00770B27" w:rsidP="00770B27">
      <w:pPr>
        <w:jc w:val="both"/>
        <w:rPr>
          <w:rFonts w:ascii="Century Gothic" w:hAnsi="Century Gothic" w:cs="Arial"/>
          <w:sz w:val="28"/>
          <w:szCs w:val="28"/>
        </w:rPr>
      </w:pPr>
    </w:p>
    <w:p w14:paraId="4702AC47" w14:textId="60883E5D" w:rsidR="00770B27" w:rsidRPr="00770B27" w:rsidRDefault="00770B27" w:rsidP="00770B27">
      <w:pPr>
        <w:jc w:val="both"/>
        <w:rPr>
          <w:rFonts w:ascii="Century Gothic" w:hAnsi="Century Gothic" w:cs="Arial"/>
          <w:sz w:val="28"/>
          <w:szCs w:val="28"/>
        </w:rPr>
      </w:pPr>
      <w:r w:rsidRPr="00770B27">
        <w:rPr>
          <w:rFonts w:ascii="Century Gothic" w:hAnsi="Century Gothic" w:cs="Arial"/>
          <w:sz w:val="28"/>
          <w:szCs w:val="28"/>
        </w:rPr>
        <w:t xml:space="preserve">Se establece también una definición de “formatos accesibles”, alineada con los estándares nacionales e internacionales, incluyendo, entre otros, el uso de: braille, lectura fácil, Lengua de Señas Mexicana, </w:t>
      </w:r>
      <w:proofErr w:type="spellStart"/>
      <w:r w:rsidRPr="00770B27">
        <w:rPr>
          <w:rFonts w:ascii="Century Gothic" w:hAnsi="Century Gothic" w:cs="Arial"/>
          <w:sz w:val="28"/>
          <w:szCs w:val="28"/>
        </w:rPr>
        <w:t>audiodescripción</w:t>
      </w:r>
      <w:proofErr w:type="spellEnd"/>
      <w:r w:rsidRPr="00770B27">
        <w:rPr>
          <w:rFonts w:ascii="Century Gothic" w:hAnsi="Century Gothic" w:cs="Arial"/>
          <w:sz w:val="28"/>
          <w:szCs w:val="28"/>
        </w:rPr>
        <w:t xml:space="preserve">, subtítulos, formatos aumentativos y traducción a lenguas indígenas del estado de Chihuahua. </w:t>
      </w:r>
    </w:p>
    <w:p w14:paraId="0BCB0530" w14:textId="11B0B093" w:rsidR="00770B27" w:rsidRPr="00770B27" w:rsidRDefault="00770B27" w:rsidP="00770B27">
      <w:pPr>
        <w:jc w:val="both"/>
        <w:rPr>
          <w:rFonts w:ascii="Century Gothic" w:hAnsi="Century Gothic" w:cs="Arial"/>
          <w:sz w:val="28"/>
          <w:szCs w:val="28"/>
        </w:rPr>
      </w:pPr>
      <w:r w:rsidRPr="00770B27">
        <w:rPr>
          <w:rFonts w:ascii="Century Gothic" w:hAnsi="Century Gothic" w:cs="Arial"/>
          <w:sz w:val="28"/>
          <w:szCs w:val="28"/>
        </w:rPr>
        <w:t>Con esto damos cumplimiento a lo señalado en el artículo 9 de la Convención sobre los Derechos de las Personas con Discapacidad al identificar y eliminar obstáculos y barreras, garantizando el acceso a la información y a la comunicación, eliminando la práctica discriminatoria sobre accesibilidad para personas con discapacidad o para otros grupos en situación de vulnerabilidad.</w:t>
      </w:r>
    </w:p>
    <w:p w14:paraId="0692BD8F" w14:textId="77777777" w:rsidR="00770B27" w:rsidRPr="00770B27" w:rsidRDefault="00770B27" w:rsidP="00770B27">
      <w:pPr>
        <w:jc w:val="both"/>
        <w:rPr>
          <w:rFonts w:ascii="Century Gothic" w:hAnsi="Century Gothic" w:cs="Arial"/>
          <w:sz w:val="28"/>
          <w:szCs w:val="28"/>
        </w:rPr>
      </w:pPr>
      <w:r w:rsidRPr="00770B27">
        <w:rPr>
          <w:rFonts w:ascii="Century Gothic" w:hAnsi="Century Gothic" w:cs="Arial"/>
          <w:sz w:val="28"/>
          <w:szCs w:val="28"/>
        </w:rPr>
        <w:t xml:space="preserve">En lo relacionado a la traducción de lenguas indígenas del estado de Chihuahua, será importante promover convenios de colaboración con instituciones y organizaciones civiles que faciliten el logro de esta meta en un periodo oportuno para su realización. </w:t>
      </w:r>
    </w:p>
    <w:p w14:paraId="467ED67D" w14:textId="77777777" w:rsidR="00770B27" w:rsidRPr="00770B27" w:rsidRDefault="00770B27" w:rsidP="00770B27">
      <w:pPr>
        <w:jc w:val="both"/>
        <w:rPr>
          <w:rFonts w:ascii="Century Gothic" w:hAnsi="Century Gothic" w:cs="Arial"/>
          <w:sz w:val="28"/>
          <w:szCs w:val="28"/>
        </w:rPr>
      </w:pPr>
      <w:r w:rsidRPr="00770B27">
        <w:rPr>
          <w:rFonts w:ascii="Century Gothic" w:hAnsi="Century Gothic" w:cs="Arial"/>
          <w:sz w:val="28"/>
          <w:szCs w:val="28"/>
        </w:rPr>
        <w:t xml:space="preserve">Fortalecer la accesibilidad en la comunicación institucional del Congreso nos coloca en la vanguardia nacional en materia de inclusión legislativa, consolidando su compromiso con los principios de igualdad, no discriminación y accesibilidad, conforme a los más altos estándares de derechos humanos. </w:t>
      </w:r>
    </w:p>
    <w:p w14:paraId="2D8C2391" w14:textId="0AF75474" w:rsidR="00A126E3" w:rsidRPr="00A126E3" w:rsidRDefault="00770B27" w:rsidP="00770B27">
      <w:pPr>
        <w:jc w:val="both"/>
        <w:rPr>
          <w:rFonts w:ascii="Century Gothic" w:hAnsi="Century Gothic" w:cs="Arial"/>
          <w:sz w:val="28"/>
          <w:szCs w:val="28"/>
        </w:rPr>
      </w:pPr>
      <w:r w:rsidRPr="00770B27">
        <w:rPr>
          <w:rFonts w:ascii="Century Gothic" w:hAnsi="Century Gothic" w:cs="Arial"/>
          <w:sz w:val="28"/>
          <w:szCs w:val="28"/>
        </w:rPr>
        <w:t>Por lo anteriormente expuesto nos permitimos poner a consideración del Pleno el siguiente:</w:t>
      </w:r>
      <w:r w:rsidR="00A126E3" w:rsidRPr="00A126E3">
        <w:rPr>
          <w:rFonts w:ascii="Century Gothic" w:hAnsi="Century Gothic" w:cs="Arial"/>
          <w:sz w:val="28"/>
          <w:szCs w:val="28"/>
        </w:rPr>
        <w:t xml:space="preserve"> </w:t>
      </w:r>
    </w:p>
    <w:p w14:paraId="743D3495" w14:textId="77777777" w:rsidR="00A126E3" w:rsidRPr="00A126E3" w:rsidRDefault="00A126E3" w:rsidP="00A126E3">
      <w:pPr>
        <w:jc w:val="both"/>
        <w:rPr>
          <w:rFonts w:ascii="Century Gothic" w:hAnsi="Century Gothic" w:cs="Arial"/>
          <w:sz w:val="28"/>
          <w:szCs w:val="28"/>
        </w:rPr>
      </w:pPr>
      <w:r w:rsidRPr="00A126E3">
        <w:rPr>
          <w:rFonts w:ascii="Century Gothic" w:hAnsi="Century Gothic" w:cs="Arial"/>
          <w:sz w:val="28"/>
          <w:szCs w:val="28"/>
        </w:rPr>
        <w:t>Por lo anteriormente expuesto nos permitimos poner a consideración del Pleno el siguiente:</w:t>
      </w:r>
    </w:p>
    <w:p w14:paraId="76F71218" w14:textId="77777777" w:rsidR="00770B27" w:rsidRDefault="00770B27" w:rsidP="00A126E3">
      <w:pPr>
        <w:jc w:val="center"/>
        <w:rPr>
          <w:rFonts w:ascii="Century Gothic" w:hAnsi="Century Gothic" w:cs="Arial"/>
          <w:b/>
          <w:sz w:val="28"/>
          <w:szCs w:val="28"/>
        </w:rPr>
      </w:pPr>
    </w:p>
    <w:p w14:paraId="228AA674" w14:textId="77777777" w:rsidR="00770B27" w:rsidRDefault="00770B27" w:rsidP="00A126E3">
      <w:pPr>
        <w:jc w:val="center"/>
        <w:rPr>
          <w:rFonts w:ascii="Century Gothic" w:hAnsi="Century Gothic" w:cs="Arial"/>
          <w:b/>
          <w:sz w:val="28"/>
          <w:szCs w:val="28"/>
        </w:rPr>
      </w:pPr>
    </w:p>
    <w:p w14:paraId="42F3668D" w14:textId="77777777" w:rsidR="00770B27" w:rsidRDefault="00770B27" w:rsidP="00A126E3">
      <w:pPr>
        <w:jc w:val="center"/>
        <w:rPr>
          <w:rFonts w:ascii="Century Gothic" w:hAnsi="Century Gothic" w:cs="Arial"/>
          <w:b/>
          <w:sz w:val="28"/>
          <w:szCs w:val="28"/>
        </w:rPr>
      </w:pPr>
    </w:p>
    <w:p w14:paraId="40166313" w14:textId="0EB20CD0" w:rsidR="00770B27" w:rsidRDefault="00A126E3" w:rsidP="00770B27">
      <w:pPr>
        <w:jc w:val="center"/>
        <w:rPr>
          <w:rFonts w:ascii="Century Gothic" w:hAnsi="Century Gothic" w:cs="Arial"/>
          <w:b/>
          <w:sz w:val="28"/>
          <w:szCs w:val="28"/>
        </w:rPr>
      </w:pPr>
      <w:r w:rsidRPr="00A126E3">
        <w:rPr>
          <w:rFonts w:ascii="Century Gothic" w:hAnsi="Century Gothic" w:cs="Arial"/>
          <w:b/>
          <w:sz w:val="28"/>
          <w:szCs w:val="28"/>
        </w:rPr>
        <w:lastRenderedPageBreak/>
        <w:t>DECRETO</w:t>
      </w:r>
    </w:p>
    <w:p w14:paraId="4A9E1C64" w14:textId="5FA23604" w:rsidR="00256DD7" w:rsidRPr="00770B27" w:rsidRDefault="00A126E3" w:rsidP="00A126E3">
      <w:pPr>
        <w:jc w:val="both"/>
        <w:rPr>
          <w:rFonts w:ascii="Century Gothic" w:hAnsi="Century Gothic" w:cs="Arial"/>
          <w:sz w:val="28"/>
          <w:szCs w:val="28"/>
        </w:rPr>
      </w:pPr>
      <w:r w:rsidRPr="00683759">
        <w:rPr>
          <w:rFonts w:ascii="Century Gothic" w:hAnsi="Century Gothic" w:cs="Arial"/>
          <w:b/>
          <w:sz w:val="28"/>
          <w:szCs w:val="28"/>
        </w:rPr>
        <w:t>ARTÍCULO ÚNICO.</w:t>
      </w:r>
      <w:r w:rsidRPr="00A126E3">
        <w:rPr>
          <w:rFonts w:ascii="Century Gothic" w:hAnsi="Century Gothic" w:cs="Arial"/>
          <w:sz w:val="28"/>
          <w:szCs w:val="28"/>
        </w:rPr>
        <w:t xml:space="preserve"> Se reforma el artículo 129 fracción XXIV de la Ley Orgánica del Poder Legislativo del Estado de Chihuahua para quedar redactados de la siguiente manera:  </w:t>
      </w:r>
    </w:p>
    <w:p w14:paraId="118692D7" w14:textId="2EB3FE7F" w:rsidR="00A126E3" w:rsidRPr="00A126E3" w:rsidRDefault="00A126E3" w:rsidP="00A126E3">
      <w:pPr>
        <w:jc w:val="both"/>
        <w:rPr>
          <w:rFonts w:ascii="Century Gothic" w:hAnsi="Century Gothic" w:cs="Arial"/>
          <w:sz w:val="28"/>
          <w:szCs w:val="28"/>
        </w:rPr>
      </w:pPr>
      <w:r w:rsidRPr="00683759">
        <w:rPr>
          <w:rFonts w:ascii="Century Gothic" w:hAnsi="Century Gothic" w:cs="Arial"/>
          <w:b/>
          <w:sz w:val="28"/>
          <w:szCs w:val="28"/>
        </w:rPr>
        <w:t>ARTÍCULO 129.</w:t>
      </w:r>
      <w:r w:rsidRPr="00A126E3">
        <w:rPr>
          <w:rFonts w:ascii="Century Gothic" w:hAnsi="Century Gothic" w:cs="Arial"/>
          <w:sz w:val="28"/>
          <w:szCs w:val="28"/>
        </w:rPr>
        <w:t xml:space="preserve"> A la Secretaría de Administración corresponde el despacho de lo siguiente:</w:t>
      </w:r>
    </w:p>
    <w:p w14:paraId="72BBFA39" w14:textId="77777777" w:rsidR="00A126E3" w:rsidRPr="00A126E3" w:rsidRDefault="00A126E3" w:rsidP="00A126E3">
      <w:pPr>
        <w:jc w:val="both"/>
        <w:rPr>
          <w:rFonts w:ascii="Century Gothic" w:hAnsi="Century Gothic" w:cs="Arial"/>
          <w:sz w:val="28"/>
          <w:szCs w:val="28"/>
        </w:rPr>
      </w:pPr>
      <w:r w:rsidRPr="00683759">
        <w:rPr>
          <w:rFonts w:ascii="Century Gothic" w:hAnsi="Century Gothic" w:cs="Arial"/>
          <w:b/>
          <w:sz w:val="28"/>
          <w:szCs w:val="28"/>
        </w:rPr>
        <w:t>XXIV.</w:t>
      </w:r>
      <w:r w:rsidRPr="00A126E3">
        <w:rPr>
          <w:rFonts w:ascii="Century Gothic" w:hAnsi="Century Gothic" w:cs="Arial"/>
          <w:sz w:val="28"/>
          <w:szCs w:val="28"/>
        </w:rPr>
        <w:t xml:space="preserve"> Difundir, impulsar y supervisar las actividades del Congreso y de sus órganos, por los medios disponibles, en asuntos de comunicación social; así como coordinar la relación con los medios de comunicación masiva y llevar a cabo las acciones para su adecuado funcionamiento.</w:t>
      </w:r>
    </w:p>
    <w:p w14:paraId="307B5EC9" w14:textId="77777777" w:rsidR="00A126E3" w:rsidRPr="00A126E3" w:rsidRDefault="00A126E3" w:rsidP="00A126E3">
      <w:pPr>
        <w:jc w:val="both"/>
        <w:rPr>
          <w:rFonts w:ascii="Century Gothic" w:hAnsi="Century Gothic" w:cs="Arial"/>
          <w:sz w:val="28"/>
          <w:szCs w:val="28"/>
        </w:rPr>
      </w:pPr>
      <w:r w:rsidRPr="00A126E3">
        <w:rPr>
          <w:rFonts w:ascii="Century Gothic" w:hAnsi="Century Gothic" w:cs="Arial"/>
          <w:sz w:val="28"/>
          <w:szCs w:val="28"/>
        </w:rPr>
        <w:t xml:space="preserve">Las convocatorias, la información difundida, así como todas las actividades del Congreso, deberán realizarse en formatos accesibles, con perspectiva de inclusión a personas con discapacidad, neurodivergencia, de Pueblos y Comunidades Indígenas y personas adultas mayores. </w:t>
      </w:r>
    </w:p>
    <w:p w14:paraId="07F00516" w14:textId="77777777" w:rsidR="00A126E3" w:rsidRPr="00A126E3" w:rsidRDefault="00A126E3" w:rsidP="00A126E3">
      <w:pPr>
        <w:jc w:val="both"/>
        <w:rPr>
          <w:rFonts w:ascii="Century Gothic" w:hAnsi="Century Gothic" w:cs="Arial"/>
          <w:sz w:val="28"/>
          <w:szCs w:val="28"/>
        </w:rPr>
      </w:pPr>
      <w:r w:rsidRPr="00A126E3">
        <w:rPr>
          <w:rFonts w:ascii="Century Gothic" w:hAnsi="Century Gothic" w:cs="Arial"/>
          <w:sz w:val="28"/>
          <w:szCs w:val="28"/>
        </w:rPr>
        <w:t xml:space="preserve">Para efectos de esta Ley, se entenderá por formatos accesibles los que garanticen que la información esté al alcance de todas las personas, usando para ello el braille, lectura fácil, formatos aumentativos, Lengua de Señas Mexicana, </w:t>
      </w:r>
      <w:proofErr w:type="spellStart"/>
      <w:r w:rsidRPr="00A126E3">
        <w:rPr>
          <w:rFonts w:ascii="Century Gothic" w:hAnsi="Century Gothic" w:cs="Arial"/>
          <w:sz w:val="28"/>
          <w:szCs w:val="28"/>
        </w:rPr>
        <w:t>audiodescripción</w:t>
      </w:r>
      <w:proofErr w:type="spellEnd"/>
      <w:r w:rsidRPr="00A126E3">
        <w:rPr>
          <w:rFonts w:ascii="Century Gothic" w:hAnsi="Century Gothic" w:cs="Arial"/>
          <w:sz w:val="28"/>
          <w:szCs w:val="28"/>
        </w:rPr>
        <w:t>, subtítulos, lenguas indígenas del estado de Chihuahua, así como cualquier otro medio que dispongan las leyes aplicables.</w:t>
      </w:r>
    </w:p>
    <w:p w14:paraId="1DFFDC16" w14:textId="77777777" w:rsidR="00A126E3" w:rsidRPr="00683759" w:rsidRDefault="00A126E3" w:rsidP="00683759">
      <w:pPr>
        <w:jc w:val="center"/>
        <w:rPr>
          <w:rFonts w:ascii="Century Gothic" w:hAnsi="Century Gothic" w:cs="Arial"/>
          <w:b/>
          <w:sz w:val="28"/>
          <w:szCs w:val="28"/>
        </w:rPr>
      </w:pPr>
      <w:r w:rsidRPr="00683759">
        <w:rPr>
          <w:rFonts w:ascii="Century Gothic" w:hAnsi="Century Gothic" w:cs="Arial"/>
          <w:b/>
          <w:sz w:val="28"/>
          <w:szCs w:val="28"/>
        </w:rPr>
        <w:t>TRANSITORIOS:</w:t>
      </w:r>
    </w:p>
    <w:p w14:paraId="7FC29698" w14:textId="0937E4B3" w:rsidR="00A126E3" w:rsidRPr="00A126E3" w:rsidRDefault="00A126E3" w:rsidP="00A126E3">
      <w:pPr>
        <w:jc w:val="both"/>
        <w:rPr>
          <w:rFonts w:ascii="Century Gothic" w:hAnsi="Century Gothic" w:cs="Arial"/>
          <w:sz w:val="28"/>
          <w:szCs w:val="28"/>
        </w:rPr>
      </w:pPr>
      <w:r w:rsidRPr="00683759">
        <w:rPr>
          <w:rFonts w:ascii="Century Gothic" w:hAnsi="Century Gothic" w:cs="Arial"/>
          <w:b/>
          <w:sz w:val="28"/>
          <w:szCs w:val="28"/>
        </w:rPr>
        <w:t xml:space="preserve">ARTÍCULO PRIMERO. </w:t>
      </w:r>
      <w:r w:rsidRPr="00A126E3">
        <w:rPr>
          <w:rFonts w:ascii="Century Gothic" w:hAnsi="Century Gothic" w:cs="Arial"/>
          <w:sz w:val="28"/>
          <w:szCs w:val="28"/>
        </w:rPr>
        <w:t>El presente Decreto entrará en vigor al día siguiente de su publicación en el Diario Oficial de la Federación.</w:t>
      </w:r>
    </w:p>
    <w:p w14:paraId="67183BE7" w14:textId="77777777" w:rsidR="00A126E3" w:rsidRPr="00A126E3" w:rsidRDefault="00A126E3" w:rsidP="00A126E3">
      <w:pPr>
        <w:jc w:val="both"/>
        <w:rPr>
          <w:rFonts w:ascii="Century Gothic" w:hAnsi="Century Gothic" w:cs="Arial"/>
          <w:sz w:val="28"/>
          <w:szCs w:val="28"/>
        </w:rPr>
      </w:pPr>
      <w:r w:rsidRPr="00683759">
        <w:rPr>
          <w:rFonts w:ascii="Century Gothic" w:hAnsi="Century Gothic" w:cs="Arial"/>
          <w:b/>
          <w:sz w:val="28"/>
          <w:szCs w:val="28"/>
        </w:rPr>
        <w:t xml:space="preserve">ECONÓMICO. - </w:t>
      </w:r>
      <w:r w:rsidRPr="00A126E3">
        <w:rPr>
          <w:rFonts w:ascii="Century Gothic" w:hAnsi="Century Gothic" w:cs="Arial"/>
          <w:sz w:val="28"/>
          <w:szCs w:val="28"/>
        </w:rPr>
        <w:t>Aprobado que sea túrnese a la Secretaría de Asuntos Legislativos y Jurídicos para que elabore la Minuta en los términos en que corresponda.</w:t>
      </w:r>
    </w:p>
    <w:p w14:paraId="13D3930E" w14:textId="77777777" w:rsidR="00770B27" w:rsidRDefault="00770B27" w:rsidP="00A126E3">
      <w:pPr>
        <w:jc w:val="both"/>
        <w:rPr>
          <w:rFonts w:ascii="Century Gothic" w:hAnsi="Century Gothic" w:cs="Arial"/>
          <w:b/>
          <w:i/>
          <w:sz w:val="28"/>
          <w:szCs w:val="28"/>
        </w:rPr>
      </w:pPr>
    </w:p>
    <w:p w14:paraId="750B2CF5" w14:textId="6CFF28F8" w:rsidR="00A126E3" w:rsidRDefault="00A126E3" w:rsidP="00A126E3">
      <w:pPr>
        <w:jc w:val="both"/>
        <w:rPr>
          <w:rFonts w:ascii="Century Gothic" w:hAnsi="Century Gothic" w:cs="Arial"/>
          <w:sz w:val="28"/>
          <w:szCs w:val="28"/>
        </w:rPr>
      </w:pPr>
      <w:r w:rsidRPr="00683759">
        <w:rPr>
          <w:rFonts w:ascii="Century Gothic" w:hAnsi="Century Gothic" w:cs="Arial"/>
          <w:b/>
          <w:i/>
          <w:sz w:val="28"/>
          <w:szCs w:val="28"/>
        </w:rPr>
        <w:t>Dado</w:t>
      </w:r>
      <w:r w:rsidRPr="00A126E3">
        <w:rPr>
          <w:rFonts w:ascii="Century Gothic" w:hAnsi="Century Gothic" w:cs="Arial"/>
          <w:sz w:val="28"/>
          <w:szCs w:val="28"/>
        </w:rPr>
        <w:t xml:space="preserve"> en el Salón de Sesiones del Poder Legislativo, en la ciudad de Chihuahua, Chihuahua a 23 de septiembre de 2025.  </w:t>
      </w:r>
    </w:p>
    <w:p w14:paraId="745368A5" w14:textId="77777777" w:rsidR="00744873" w:rsidRDefault="00744873" w:rsidP="00683759">
      <w:pPr>
        <w:jc w:val="center"/>
        <w:rPr>
          <w:rFonts w:ascii="Century Gothic" w:hAnsi="Century Gothic" w:cs="Arial"/>
          <w:b/>
          <w:bCs/>
          <w:sz w:val="28"/>
          <w:szCs w:val="28"/>
        </w:rPr>
      </w:pPr>
    </w:p>
    <w:p w14:paraId="3E4C417E" w14:textId="20E46069" w:rsidR="006C6B4D" w:rsidRPr="005D359B" w:rsidRDefault="006C6B4D" w:rsidP="00683759">
      <w:pPr>
        <w:jc w:val="center"/>
        <w:rPr>
          <w:rFonts w:ascii="Century Gothic" w:hAnsi="Century Gothic" w:cs="Arial"/>
          <w:b/>
          <w:bCs/>
          <w:sz w:val="28"/>
          <w:szCs w:val="28"/>
        </w:rPr>
      </w:pPr>
      <w:r w:rsidRPr="005D359B">
        <w:rPr>
          <w:rFonts w:ascii="Century Gothic" w:hAnsi="Century Gothic" w:cs="Arial"/>
          <w:b/>
          <w:bCs/>
          <w:sz w:val="28"/>
          <w:szCs w:val="28"/>
        </w:rPr>
        <w:t>ATENTAMENTE</w:t>
      </w:r>
    </w:p>
    <w:p w14:paraId="0E7944FC" w14:textId="7AD518AD" w:rsidR="006C6B4D" w:rsidRDefault="006C6B4D" w:rsidP="005D359B">
      <w:pPr>
        <w:jc w:val="center"/>
        <w:rPr>
          <w:rFonts w:ascii="Century Gothic" w:hAnsi="Century Gothic" w:cs="Arial"/>
          <w:b/>
          <w:bCs/>
          <w:sz w:val="28"/>
          <w:szCs w:val="28"/>
        </w:rPr>
      </w:pPr>
    </w:p>
    <w:p w14:paraId="00EB9CA8" w14:textId="77777777" w:rsidR="006409C5" w:rsidRDefault="006409C5" w:rsidP="005D359B">
      <w:pPr>
        <w:jc w:val="center"/>
        <w:rPr>
          <w:rFonts w:ascii="Century Gothic" w:hAnsi="Century Gothic" w:cs="Arial"/>
          <w:b/>
          <w:bCs/>
          <w:sz w:val="28"/>
          <w:szCs w:val="28"/>
        </w:rPr>
      </w:pPr>
    </w:p>
    <w:p w14:paraId="5D583297" w14:textId="2DCC110A" w:rsidR="006C6B4D" w:rsidRDefault="006C6B4D" w:rsidP="005D359B">
      <w:pPr>
        <w:jc w:val="center"/>
        <w:rPr>
          <w:rFonts w:ascii="Century Gothic" w:hAnsi="Century Gothic" w:cs="Arial"/>
          <w:b/>
          <w:bCs/>
          <w:sz w:val="28"/>
          <w:szCs w:val="28"/>
        </w:rPr>
      </w:pPr>
      <w:r w:rsidRPr="005D359B">
        <w:rPr>
          <w:rFonts w:ascii="Century Gothic" w:hAnsi="Century Gothic" w:cs="Arial"/>
          <w:b/>
          <w:bCs/>
          <w:sz w:val="28"/>
          <w:szCs w:val="28"/>
        </w:rPr>
        <w:t>DIP</w:t>
      </w:r>
      <w:r w:rsidR="00744873">
        <w:rPr>
          <w:rFonts w:ascii="Century Gothic" w:hAnsi="Century Gothic" w:cs="Arial"/>
          <w:b/>
          <w:bCs/>
          <w:sz w:val="28"/>
          <w:szCs w:val="28"/>
        </w:rPr>
        <w:t>.</w:t>
      </w:r>
      <w:r w:rsidRPr="005D359B">
        <w:rPr>
          <w:rFonts w:ascii="Century Gothic" w:hAnsi="Century Gothic" w:cs="Arial"/>
          <w:b/>
          <w:bCs/>
          <w:sz w:val="28"/>
          <w:szCs w:val="28"/>
        </w:rPr>
        <w:t xml:space="preserve"> HERMINIA GÓMEZ CARRASCO</w:t>
      </w:r>
    </w:p>
    <w:p w14:paraId="467E01B9" w14:textId="4C4D4CEC" w:rsidR="005D359B" w:rsidRDefault="005D359B" w:rsidP="005D359B">
      <w:pPr>
        <w:jc w:val="center"/>
        <w:rPr>
          <w:rFonts w:ascii="Century Gothic" w:hAnsi="Century Gothic" w:cs="Arial"/>
          <w:b/>
          <w:bCs/>
          <w:sz w:val="28"/>
          <w:szCs w:val="28"/>
        </w:rPr>
      </w:pPr>
    </w:p>
    <w:p w14:paraId="4C8CE87A" w14:textId="69E58F94" w:rsidR="00550936" w:rsidRDefault="00550936" w:rsidP="005D359B">
      <w:pPr>
        <w:jc w:val="center"/>
        <w:rPr>
          <w:rFonts w:ascii="Century Gothic" w:hAnsi="Century Gothic" w:cs="Arial"/>
          <w:b/>
          <w:bCs/>
          <w:sz w:val="28"/>
          <w:szCs w:val="28"/>
        </w:rPr>
      </w:pPr>
    </w:p>
    <w:p w14:paraId="26C20399" w14:textId="77777777" w:rsidR="006409C5" w:rsidRDefault="006409C5" w:rsidP="005D359B">
      <w:pPr>
        <w:jc w:val="center"/>
        <w:rPr>
          <w:rFonts w:ascii="Century Gothic" w:hAnsi="Century Gothic" w:cs="Arial"/>
          <w:b/>
          <w:bCs/>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3525C040" w14:textId="77777777" w:rsidTr="00550936">
        <w:tc>
          <w:tcPr>
            <w:tcW w:w="4675" w:type="dxa"/>
          </w:tcPr>
          <w:p w14:paraId="154A86D0" w14:textId="77777777" w:rsidR="00550936" w:rsidRPr="0026795D" w:rsidRDefault="00550936" w:rsidP="00550936">
            <w:pPr>
              <w:jc w:val="center"/>
              <w:rPr>
                <w:rFonts w:ascii="Century Gothic" w:hAnsi="Century Gothic"/>
                <w:b/>
                <w:sz w:val="28"/>
                <w:szCs w:val="24"/>
              </w:rPr>
            </w:pPr>
            <w:r w:rsidRPr="0026795D">
              <w:rPr>
                <w:rFonts w:ascii="Century Gothic" w:hAnsi="Century Gothic"/>
                <w:b/>
                <w:sz w:val="28"/>
                <w:szCs w:val="24"/>
              </w:rPr>
              <w:t>DIP. BRENDA FRANCISCA RÍOS</w:t>
            </w:r>
          </w:p>
          <w:p w14:paraId="510499C9" w14:textId="77777777" w:rsidR="00550936" w:rsidRDefault="00550936" w:rsidP="008F0FD6">
            <w:pPr>
              <w:jc w:val="both"/>
              <w:rPr>
                <w:rFonts w:ascii="Century Gothic" w:hAnsi="Century Gothic" w:cs="Arial"/>
                <w:bCs/>
                <w:sz w:val="28"/>
                <w:szCs w:val="28"/>
              </w:rPr>
            </w:pPr>
          </w:p>
          <w:p w14:paraId="17800650" w14:textId="77777777" w:rsidR="00550936" w:rsidRDefault="00550936" w:rsidP="008F0FD6">
            <w:pPr>
              <w:jc w:val="both"/>
              <w:rPr>
                <w:rFonts w:ascii="Century Gothic" w:hAnsi="Century Gothic" w:cs="Arial"/>
                <w:bCs/>
                <w:sz w:val="28"/>
                <w:szCs w:val="28"/>
              </w:rPr>
            </w:pPr>
          </w:p>
          <w:p w14:paraId="2EFD7D1A" w14:textId="69DE7D76" w:rsidR="00550936" w:rsidRDefault="00550936" w:rsidP="008F0FD6">
            <w:pPr>
              <w:jc w:val="both"/>
              <w:rPr>
                <w:rFonts w:ascii="Century Gothic" w:hAnsi="Century Gothic" w:cs="Arial"/>
                <w:bCs/>
                <w:sz w:val="28"/>
                <w:szCs w:val="28"/>
              </w:rPr>
            </w:pPr>
          </w:p>
        </w:tc>
        <w:tc>
          <w:tcPr>
            <w:tcW w:w="4675" w:type="dxa"/>
          </w:tcPr>
          <w:p w14:paraId="49AEC736" w14:textId="77777777"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EDIN CUAUHTÉMOC ESTRADA SOTELO</w:t>
            </w:r>
          </w:p>
          <w:p w14:paraId="4DB508F7" w14:textId="77777777" w:rsidR="00550936" w:rsidRDefault="00550936" w:rsidP="008F0FD6">
            <w:pPr>
              <w:jc w:val="both"/>
              <w:rPr>
                <w:rFonts w:ascii="Century Gothic" w:hAnsi="Century Gothic" w:cs="Arial"/>
                <w:bCs/>
                <w:sz w:val="28"/>
                <w:szCs w:val="28"/>
              </w:rPr>
            </w:pPr>
          </w:p>
        </w:tc>
      </w:tr>
      <w:tr w:rsidR="00550936" w14:paraId="276FE90F" w14:textId="77777777" w:rsidTr="00550936">
        <w:tc>
          <w:tcPr>
            <w:tcW w:w="4675" w:type="dxa"/>
          </w:tcPr>
          <w:p w14:paraId="2D852EAB" w14:textId="77777777" w:rsidR="006409C5" w:rsidRDefault="006409C5" w:rsidP="00550936">
            <w:pPr>
              <w:jc w:val="center"/>
              <w:rPr>
                <w:rFonts w:ascii="Century Gothic" w:hAnsi="Century Gothic"/>
                <w:b/>
                <w:color w:val="000000"/>
                <w:sz w:val="28"/>
                <w:szCs w:val="24"/>
              </w:rPr>
            </w:pPr>
          </w:p>
          <w:p w14:paraId="33C4BC02" w14:textId="7C10D9EC"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EDITH PALMA ONTIVEROS.</w:t>
            </w:r>
          </w:p>
          <w:p w14:paraId="044D2CE6" w14:textId="77777777" w:rsidR="00550936" w:rsidRDefault="00550936" w:rsidP="008F0FD6">
            <w:pPr>
              <w:jc w:val="both"/>
              <w:rPr>
                <w:rFonts w:ascii="Century Gothic" w:hAnsi="Century Gothic" w:cs="Arial"/>
                <w:bCs/>
                <w:sz w:val="28"/>
                <w:szCs w:val="28"/>
              </w:rPr>
            </w:pPr>
          </w:p>
        </w:tc>
        <w:tc>
          <w:tcPr>
            <w:tcW w:w="4675" w:type="dxa"/>
          </w:tcPr>
          <w:p w14:paraId="0D6CE74A" w14:textId="77777777" w:rsidR="006409C5" w:rsidRDefault="006409C5" w:rsidP="00550936">
            <w:pPr>
              <w:jc w:val="center"/>
              <w:rPr>
                <w:rFonts w:ascii="Century Gothic" w:hAnsi="Century Gothic"/>
                <w:b/>
                <w:color w:val="000000"/>
                <w:sz w:val="28"/>
                <w:szCs w:val="24"/>
              </w:rPr>
            </w:pPr>
          </w:p>
          <w:p w14:paraId="1FC01846" w14:textId="695C1A61" w:rsidR="00550936" w:rsidRDefault="00550936" w:rsidP="00550936">
            <w:pPr>
              <w:jc w:val="center"/>
              <w:rPr>
                <w:rFonts w:ascii="Century Gothic" w:hAnsi="Century Gothic" w:cs="Arial"/>
                <w:bCs/>
                <w:sz w:val="28"/>
                <w:szCs w:val="28"/>
              </w:rPr>
            </w:pPr>
            <w:r w:rsidRPr="0026795D">
              <w:rPr>
                <w:rFonts w:ascii="Century Gothic" w:hAnsi="Century Gothic"/>
                <w:b/>
                <w:color w:val="000000"/>
                <w:sz w:val="28"/>
                <w:szCs w:val="24"/>
              </w:rPr>
              <w:t>DIP. ELIZABETH GUZMÁN ARGUETA</w:t>
            </w:r>
          </w:p>
        </w:tc>
      </w:tr>
    </w:tbl>
    <w:p w14:paraId="7113898A" w14:textId="574FAC1D" w:rsidR="00A200B9" w:rsidRDefault="00A200B9" w:rsidP="008F0FD6">
      <w:pPr>
        <w:jc w:val="both"/>
        <w:rPr>
          <w:rFonts w:ascii="Century Gothic" w:hAnsi="Century Gothic"/>
          <w:sz w:val="28"/>
          <w:szCs w:val="28"/>
        </w:rPr>
      </w:pPr>
    </w:p>
    <w:p w14:paraId="746FDEA7" w14:textId="0800DC1D" w:rsidR="002350D5" w:rsidRDefault="00770B27"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63360" behindDoc="0" locked="0" layoutInCell="1" allowOverlap="1" wp14:anchorId="2E633801" wp14:editId="24090666">
                <wp:simplePos x="0" y="0"/>
                <wp:positionH relativeFrom="margin">
                  <wp:align>center</wp:align>
                </wp:positionH>
                <wp:positionV relativeFrom="paragraph">
                  <wp:posOffset>269875</wp:posOffset>
                </wp:positionV>
                <wp:extent cx="7115175" cy="647700"/>
                <wp:effectExtent l="0" t="0" r="28575" b="19050"/>
                <wp:wrapNone/>
                <wp:docPr id="3" name="Cuadro de texto 3"/>
                <wp:cNvGraphicFramePr/>
                <a:graphic xmlns:a="http://schemas.openxmlformats.org/drawingml/2006/main">
                  <a:graphicData uri="http://schemas.microsoft.com/office/word/2010/wordprocessingShape">
                    <wps:wsp>
                      <wps:cNvSpPr txBox="1"/>
                      <wps:spPr>
                        <a:xfrm>
                          <a:off x="0" y="0"/>
                          <a:ext cx="7115175" cy="647700"/>
                        </a:xfrm>
                        <a:prstGeom prst="rect">
                          <a:avLst/>
                        </a:prstGeom>
                        <a:solidFill>
                          <a:schemeClr val="lt1"/>
                        </a:solidFill>
                        <a:ln w="6350">
                          <a:solidFill>
                            <a:prstClr val="black"/>
                          </a:solidFill>
                        </a:ln>
                      </wps:spPr>
                      <wps:txbx>
                        <w:txbxContent>
                          <w:p w14:paraId="7B8E3B11" w14:textId="460A0B3A" w:rsidR="00A707A1" w:rsidRDefault="00A707A1" w:rsidP="00A707A1">
                            <w:pPr>
                              <w:jc w:val="both"/>
                            </w:pPr>
                            <w:r>
                              <w:t xml:space="preserve">La presente hoja de firmas forma parte del </w:t>
                            </w:r>
                            <w:r w:rsidRPr="00B459D7">
                              <w:t xml:space="preserve">proyecto con carácter de DECRETO </w:t>
                            </w:r>
                            <w:r w:rsidR="00BA7592">
                              <w:t xml:space="preserve">a fin de </w:t>
                            </w:r>
                            <w:r w:rsidR="008317EC" w:rsidRPr="008317EC">
                              <w:t>reformar el artículo 129 fracción XXIV de la Ley Orgánica del Poder Legislativo del Estado de Chihuahua en materia de accesibilidad en la información que difunde el Congreso del Estado</w:t>
                            </w:r>
                            <w:r w:rsidR="008317E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33801" id="_x0000_t202" coordsize="21600,21600" o:spt="202" path="m,l,21600r21600,l21600,xe">
                <v:stroke joinstyle="miter"/>
                <v:path gradientshapeok="t" o:connecttype="rect"/>
              </v:shapetype>
              <v:shape id="Cuadro de texto 3" o:spid="_x0000_s1026" type="#_x0000_t202" style="position:absolute;left:0;text-align:left;margin-left:0;margin-top:21.25pt;width:560.25pt;height:5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" fillcolor="white [3201]" strokeweight=".5pt">
                <v:textbox>
                  <w:txbxContent>
                    <w:p w14:paraId="7B8E3B11" w14:textId="460A0B3A" w:rsidR="00A707A1" w:rsidRDefault="00A707A1" w:rsidP="00A707A1">
                      <w:pPr>
                        <w:jc w:val="both"/>
                      </w:pPr>
                      <w:r>
                        <w:t xml:space="preserve">La presente hoja de firmas forma parte del </w:t>
                      </w:r>
                      <w:r w:rsidRPr="00B459D7">
                        <w:t xml:space="preserve">proyecto con carácter de DECRETO </w:t>
                      </w:r>
                      <w:r w:rsidR="00BA7592">
                        <w:t xml:space="preserve">a fin de </w:t>
                      </w:r>
                      <w:r w:rsidR="008317EC" w:rsidRPr="008317EC">
                        <w:t>reformar el artículo 129 fracción XXIV de la Ley Orgánica del Poder Legislativo del Estado de Chihuahua en materia de accesibilidad en la información que difunde el Congreso del Estado</w:t>
                      </w:r>
                      <w:r w:rsidR="008317EC">
                        <w:t>.</w:t>
                      </w:r>
                    </w:p>
                  </w:txbxContent>
                </v:textbox>
                <w10:wrap anchorx="margin"/>
              </v:shape>
            </w:pict>
          </mc:Fallback>
        </mc:AlternateContent>
      </w:r>
    </w:p>
    <w:p w14:paraId="136AB4EC" w14:textId="247866B0" w:rsidR="00550936" w:rsidRDefault="006409C5"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59264" behindDoc="0" locked="0" layoutInCell="1" allowOverlap="1" wp14:anchorId="032EEA4D" wp14:editId="7F653FFD">
                <wp:simplePos x="0" y="0"/>
                <wp:positionH relativeFrom="margin">
                  <wp:posOffset>-495300</wp:posOffset>
                </wp:positionH>
                <wp:positionV relativeFrom="paragraph">
                  <wp:posOffset>5287010</wp:posOffset>
                </wp:positionV>
                <wp:extent cx="7115175" cy="64770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7115175" cy="647700"/>
                        </a:xfrm>
                        <a:prstGeom prst="rect">
                          <a:avLst/>
                        </a:prstGeom>
                        <a:solidFill>
                          <a:schemeClr val="lt1"/>
                        </a:solidFill>
                        <a:ln w="6350">
                          <a:solidFill>
                            <a:prstClr val="black"/>
                          </a:solidFill>
                        </a:ln>
                      </wps:spPr>
                      <wps:txbx>
                        <w:txbxContent>
                          <w:p w14:paraId="67227FF3" w14:textId="7429FBB8" w:rsidR="006409C5" w:rsidRDefault="006409C5" w:rsidP="006409C5">
                            <w:pPr>
                              <w:jc w:val="both"/>
                            </w:pPr>
                            <w:r>
                              <w:t xml:space="preserve">La presente hoja de firmas forma parte del </w:t>
                            </w:r>
                            <w:r w:rsidRPr="00B459D7">
                              <w:t xml:space="preserve">proyecto con carácter de DECRETO ante el H. Congreso del H. Congreso de la Unión, </w:t>
                            </w:r>
                            <w:r>
                              <w:t xml:space="preserve">a fin de </w:t>
                            </w:r>
                            <w:r w:rsidRPr="001B0F25">
                              <w:t xml:space="preserve">reformar los artículos 134 y 138 de la Ley del Seguro Social en materia de lenguaje incluyente, seguridad social y derechos laborales de las personas con discapacidad y </w:t>
                            </w:r>
                            <w:r w:rsidRPr="001B0F25">
                              <w:t>neurodivergencia</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EEA4D" id="Cuadro de texto 2" o:spid="_x0000_s1027" type="#_x0000_t202" style="position:absolute;left:0;text-align:left;margin-left:-39pt;margin-top:416.3pt;width:560.25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" fillcolor="white [3201]" strokeweight=".5pt">
                <v:textbox>
                  <w:txbxContent>
                    <w:p w14:paraId="67227FF3" w14:textId="7429FBB8" w:rsidR="006409C5" w:rsidRDefault="006409C5" w:rsidP="006409C5">
                      <w:pPr>
                        <w:jc w:val="both"/>
                      </w:pPr>
                      <w:r>
                        <w:t xml:space="preserve">La presente hoja de firmas forma parte del </w:t>
                      </w:r>
                      <w:r w:rsidRPr="00B459D7">
                        <w:t xml:space="preserve">proyecto con carácter de DECRETO ante el H. Congreso del H. Congreso de la Unión, </w:t>
                      </w:r>
                      <w:r>
                        <w:t xml:space="preserve">a fin de </w:t>
                      </w:r>
                      <w:r w:rsidRPr="001B0F25">
                        <w:t xml:space="preserve">reformar los artículos 134 y 138 de la Ley del Seguro Social en materia de lenguaje incluyente, seguridad social y derechos laborales de las personas con discapacidad y </w:t>
                      </w:r>
                      <w:r w:rsidRPr="001B0F25">
                        <w:t>neurodivergencia</w:t>
                      </w:r>
                      <w:r>
                        <w:t>.</w:t>
                      </w:r>
                    </w:p>
                  </w:txbxContent>
                </v:textbox>
                <w10:wrap anchorx="margin"/>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058C99FB" w14:textId="77777777" w:rsidTr="002350D5">
        <w:tc>
          <w:tcPr>
            <w:tcW w:w="4675" w:type="dxa"/>
          </w:tcPr>
          <w:p w14:paraId="0E05E93D" w14:textId="77777777" w:rsidR="00770B27" w:rsidRDefault="00770B27" w:rsidP="00550936">
            <w:pPr>
              <w:jc w:val="center"/>
              <w:rPr>
                <w:rFonts w:ascii="Century Gothic" w:hAnsi="Century Gothic"/>
                <w:b/>
                <w:color w:val="000000"/>
                <w:sz w:val="28"/>
                <w:szCs w:val="24"/>
              </w:rPr>
            </w:pPr>
          </w:p>
          <w:p w14:paraId="69F184FE" w14:textId="77777777" w:rsidR="00770B27" w:rsidRDefault="00770B27" w:rsidP="00550936">
            <w:pPr>
              <w:jc w:val="center"/>
              <w:rPr>
                <w:rFonts w:ascii="Century Gothic" w:hAnsi="Century Gothic"/>
                <w:b/>
                <w:color w:val="000000"/>
                <w:sz w:val="28"/>
                <w:szCs w:val="24"/>
              </w:rPr>
            </w:pPr>
          </w:p>
          <w:p w14:paraId="0754CE33" w14:textId="77777777" w:rsidR="00770B27" w:rsidRDefault="00770B27" w:rsidP="00550936">
            <w:pPr>
              <w:jc w:val="center"/>
              <w:rPr>
                <w:rFonts w:ascii="Century Gothic" w:hAnsi="Century Gothic"/>
                <w:b/>
                <w:color w:val="000000"/>
                <w:sz w:val="28"/>
                <w:szCs w:val="24"/>
              </w:rPr>
            </w:pPr>
          </w:p>
          <w:p w14:paraId="3C03B96D" w14:textId="7187F1D1"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LETICIA ORTEGA MÁYNEZ.</w:t>
            </w:r>
          </w:p>
          <w:p w14:paraId="306D2A41" w14:textId="77777777" w:rsidR="008317EC" w:rsidRDefault="008317EC" w:rsidP="008F0FD6">
            <w:pPr>
              <w:jc w:val="both"/>
              <w:rPr>
                <w:rFonts w:ascii="Century Gothic" w:hAnsi="Century Gothic"/>
                <w:sz w:val="28"/>
                <w:szCs w:val="28"/>
              </w:rPr>
            </w:pPr>
          </w:p>
          <w:p w14:paraId="712B7AD1" w14:textId="77777777" w:rsidR="002350D5" w:rsidRDefault="002350D5" w:rsidP="008F0FD6">
            <w:pPr>
              <w:jc w:val="both"/>
              <w:rPr>
                <w:rFonts w:ascii="Century Gothic" w:hAnsi="Century Gothic"/>
                <w:sz w:val="28"/>
                <w:szCs w:val="28"/>
              </w:rPr>
            </w:pPr>
          </w:p>
          <w:p w14:paraId="62D2BE0A" w14:textId="73A73865" w:rsidR="008317EC" w:rsidRDefault="008317EC" w:rsidP="008F0FD6">
            <w:pPr>
              <w:jc w:val="both"/>
              <w:rPr>
                <w:rFonts w:ascii="Century Gothic" w:hAnsi="Century Gothic"/>
                <w:sz w:val="28"/>
                <w:szCs w:val="28"/>
              </w:rPr>
            </w:pPr>
          </w:p>
        </w:tc>
        <w:tc>
          <w:tcPr>
            <w:tcW w:w="4675" w:type="dxa"/>
          </w:tcPr>
          <w:p w14:paraId="04AB7F5E" w14:textId="77777777" w:rsidR="00770B27" w:rsidRDefault="00770B27" w:rsidP="00550936">
            <w:pPr>
              <w:jc w:val="center"/>
              <w:rPr>
                <w:rFonts w:ascii="Century Gothic" w:hAnsi="Century Gothic"/>
                <w:b/>
                <w:color w:val="000000"/>
                <w:sz w:val="28"/>
                <w:szCs w:val="24"/>
              </w:rPr>
            </w:pPr>
          </w:p>
          <w:p w14:paraId="7852EE72" w14:textId="77777777" w:rsidR="00770B27" w:rsidRDefault="00770B27" w:rsidP="00550936">
            <w:pPr>
              <w:jc w:val="center"/>
              <w:rPr>
                <w:rFonts w:ascii="Century Gothic" w:hAnsi="Century Gothic"/>
                <w:b/>
                <w:color w:val="000000"/>
                <w:sz w:val="28"/>
                <w:szCs w:val="24"/>
              </w:rPr>
            </w:pPr>
          </w:p>
          <w:p w14:paraId="30A1428B" w14:textId="77777777" w:rsidR="00770B27" w:rsidRDefault="00770B27" w:rsidP="00550936">
            <w:pPr>
              <w:jc w:val="center"/>
              <w:rPr>
                <w:rFonts w:ascii="Century Gothic" w:hAnsi="Century Gothic"/>
                <w:b/>
                <w:color w:val="000000"/>
                <w:sz w:val="28"/>
                <w:szCs w:val="24"/>
              </w:rPr>
            </w:pPr>
          </w:p>
          <w:p w14:paraId="3483CB27" w14:textId="20928912"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MARÍA ANTONIETA PÉREZ REYES.</w:t>
            </w:r>
          </w:p>
          <w:p w14:paraId="49D1829D" w14:textId="77777777" w:rsidR="00550936" w:rsidRDefault="00550936" w:rsidP="008F0FD6">
            <w:pPr>
              <w:jc w:val="both"/>
              <w:rPr>
                <w:rFonts w:ascii="Century Gothic" w:hAnsi="Century Gothic"/>
                <w:sz w:val="28"/>
                <w:szCs w:val="28"/>
              </w:rPr>
            </w:pPr>
          </w:p>
        </w:tc>
      </w:tr>
      <w:tr w:rsidR="00550936" w14:paraId="49F77F9E" w14:textId="77777777" w:rsidTr="002350D5">
        <w:tc>
          <w:tcPr>
            <w:tcW w:w="4675" w:type="dxa"/>
          </w:tcPr>
          <w:p w14:paraId="339AE371" w14:textId="0620AE55"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ROSANA DÍAZ REYES.</w:t>
            </w:r>
          </w:p>
          <w:p w14:paraId="5D3973A2" w14:textId="77777777" w:rsidR="00550936" w:rsidRDefault="00550936" w:rsidP="008F0FD6">
            <w:pPr>
              <w:jc w:val="both"/>
              <w:rPr>
                <w:rFonts w:ascii="Century Gothic" w:hAnsi="Century Gothic"/>
                <w:sz w:val="28"/>
                <w:szCs w:val="28"/>
              </w:rPr>
            </w:pPr>
          </w:p>
          <w:p w14:paraId="632705D1" w14:textId="77777777" w:rsidR="002350D5" w:rsidRDefault="002350D5" w:rsidP="008F0FD6">
            <w:pPr>
              <w:jc w:val="both"/>
              <w:rPr>
                <w:rFonts w:ascii="Century Gothic" w:hAnsi="Century Gothic"/>
                <w:sz w:val="28"/>
                <w:szCs w:val="28"/>
              </w:rPr>
            </w:pPr>
          </w:p>
          <w:p w14:paraId="7DFBD698" w14:textId="0015E60C" w:rsidR="002350D5" w:rsidRDefault="002350D5" w:rsidP="008F0FD6">
            <w:pPr>
              <w:jc w:val="both"/>
              <w:rPr>
                <w:rFonts w:ascii="Century Gothic" w:hAnsi="Century Gothic"/>
                <w:sz w:val="28"/>
                <w:szCs w:val="28"/>
              </w:rPr>
            </w:pPr>
          </w:p>
        </w:tc>
        <w:tc>
          <w:tcPr>
            <w:tcW w:w="4675" w:type="dxa"/>
          </w:tcPr>
          <w:p w14:paraId="41649010" w14:textId="6F610D9A"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PEDRO TORRES ESTRADA</w:t>
            </w:r>
          </w:p>
        </w:tc>
      </w:tr>
      <w:tr w:rsidR="00550936" w14:paraId="29177679" w14:textId="77777777" w:rsidTr="002350D5">
        <w:tc>
          <w:tcPr>
            <w:tcW w:w="4675" w:type="dxa"/>
          </w:tcPr>
          <w:p w14:paraId="7F5F1A2D" w14:textId="77777777"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MAGDALENA RENTERÍA PÉREZ.</w:t>
            </w:r>
          </w:p>
          <w:p w14:paraId="6DF1333B" w14:textId="77777777" w:rsidR="00550936" w:rsidRDefault="00550936" w:rsidP="008F0FD6">
            <w:pPr>
              <w:jc w:val="both"/>
              <w:rPr>
                <w:rFonts w:ascii="Century Gothic" w:hAnsi="Century Gothic"/>
                <w:sz w:val="28"/>
                <w:szCs w:val="28"/>
              </w:rPr>
            </w:pPr>
          </w:p>
          <w:p w14:paraId="4F0D5C8E" w14:textId="77777777" w:rsidR="002350D5" w:rsidRDefault="002350D5" w:rsidP="008F0FD6">
            <w:pPr>
              <w:jc w:val="both"/>
              <w:rPr>
                <w:rFonts w:ascii="Century Gothic" w:hAnsi="Century Gothic"/>
                <w:sz w:val="28"/>
                <w:szCs w:val="28"/>
              </w:rPr>
            </w:pPr>
          </w:p>
          <w:p w14:paraId="36E7A704" w14:textId="7CA13223" w:rsidR="008317EC" w:rsidRDefault="008317EC" w:rsidP="008F0FD6">
            <w:pPr>
              <w:jc w:val="both"/>
              <w:rPr>
                <w:rFonts w:ascii="Century Gothic" w:hAnsi="Century Gothic"/>
                <w:sz w:val="28"/>
                <w:szCs w:val="28"/>
              </w:rPr>
            </w:pPr>
          </w:p>
        </w:tc>
        <w:tc>
          <w:tcPr>
            <w:tcW w:w="4675" w:type="dxa"/>
          </w:tcPr>
          <w:p w14:paraId="6FFF1D64" w14:textId="315B9FC0"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JAEL ARGÜELLES DÍAZ</w:t>
            </w:r>
          </w:p>
        </w:tc>
      </w:tr>
      <w:tr w:rsidR="00550936" w14:paraId="38AEF248" w14:textId="77777777" w:rsidTr="002350D5">
        <w:tc>
          <w:tcPr>
            <w:tcW w:w="4675" w:type="dxa"/>
          </w:tcPr>
          <w:p w14:paraId="0428BE3A" w14:textId="154A220E"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ÓSCAR DANIEL AVITIA ARELLANES</w:t>
            </w:r>
          </w:p>
        </w:tc>
        <w:tc>
          <w:tcPr>
            <w:tcW w:w="4675" w:type="dxa"/>
          </w:tcPr>
          <w:p w14:paraId="2A166860" w14:textId="13B02277" w:rsidR="00550936" w:rsidRDefault="00550936" w:rsidP="008F0FD6">
            <w:pPr>
              <w:jc w:val="both"/>
              <w:rPr>
                <w:rFonts w:ascii="Century Gothic" w:hAnsi="Century Gothic"/>
                <w:sz w:val="28"/>
                <w:szCs w:val="28"/>
              </w:rPr>
            </w:pPr>
          </w:p>
        </w:tc>
      </w:tr>
    </w:tbl>
    <w:p w14:paraId="71EFD0F0" w14:textId="6726F12A" w:rsidR="00550936" w:rsidRPr="008F0FD6" w:rsidRDefault="009D3E6C" w:rsidP="008F0FD6">
      <w:pPr>
        <w:jc w:val="both"/>
        <w:rPr>
          <w:rFonts w:ascii="Century Gothic" w:hAnsi="Century Gothic"/>
          <w:sz w:val="28"/>
          <w:szCs w:val="28"/>
        </w:rPr>
      </w:pPr>
      <w:r>
        <w:rPr>
          <w:rFonts w:ascii="Century Gothic" w:hAnsi="Century Gothic"/>
          <w:noProof/>
          <w:sz w:val="28"/>
        </w:rPr>
        <mc:AlternateContent>
          <mc:Choice Requires="wps">
            <w:drawing>
              <wp:anchor distT="0" distB="0" distL="114300" distR="114300" simplePos="0" relativeHeight="251665408" behindDoc="0" locked="0" layoutInCell="1" allowOverlap="1" wp14:anchorId="16320CC7" wp14:editId="7B606FAE">
                <wp:simplePos x="0" y="0"/>
                <wp:positionH relativeFrom="margin">
                  <wp:align>center</wp:align>
                </wp:positionH>
                <wp:positionV relativeFrom="paragraph">
                  <wp:posOffset>891540</wp:posOffset>
                </wp:positionV>
                <wp:extent cx="7115175" cy="64770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7115175" cy="647700"/>
                        </a:xfrm>
                        <a:prstGeom prst="rect">
                          <a:avLst/>
                        </a:prstGeom>
                        <a:solidFill>
                          <a:schemeClr val="lt1"/>
                        </a:solidFill>
                        <a:ln w="6350">
                          <a:solidFill>
                            <a:prstClr val="black"/>
                          </a:solidFill>
                        </a:ln>
                      </wps:spPr>
                      <wps:txbx>
                        <w:txbxContent>
                          <w:p w14:paraId="2991879A" w14:textId="77777777" w:rsidR="00BA7592" w:rsidRDefault="00BA7592" w:rsidP="00BA7592">
                            <w:pPr>
                              <w:jc w:val="both"/>
                            </w:pPr>
                            <w:r>
                              <w:t xml:space="preserve">La presente hoja de firmas forma parte del </w:t>
                            </w:r>
                            <w:r w:rsidRPr="00B459D7">
                              <w:t xml:space="preserve">proyecto con carácter de DECRETO </w:t>
                            </w:r>
                            <w:r>
                              <w:t xml:space="preserve">a fin de </w:t>
                            </w:r>
                            <w:r w:rsidRPr="008317EC">
                              <w:t>reformar el artículo 129 fracción XXIV de la Ley Orgánica del Poder Legislativo del Estado de Chihuahua en materia de accesibilidad en la información que difunde el Congreso del Estado</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20CC7" id="Cuadro de texto 4" o:spid="_x0000_s1028" type="#_x0000_t202" style="position:absolute;left:0;text-align:left;margin-left:0;margin-top:70.2pt;width:560.25pt;height:5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" fillcolor="white [3201]" strokeweight=".5pt">
                <v:textbox>
                  <w:txbxContent>
                    <w:p w14:paraId="2991879A" w14:textId="77777777" w:rsidR="00BA7592" w:rsidRDefault="00BA7592" w:rsidP="00BA7592">
                      <w:pPr>
                        <w:jc w:val="both"/>
                      </w:pPr>
                      <w:r>
                        <w:t xml:space="preserve">La presente hoja de firmas forma parte del </w:t>
                      </w:r>
                      <w:r w:rsidRPr="00B459D7">
                        <w:t xml:space="preserve">proyecto con carácter de DECRETO </w:t>
                      </w:r>
                      <w:r>
                        <w:t xml:space="preserve">a fin de </w:t>
                      </w:r>
                      <w:r w:rsidRPr="008317EC">
                        <w:t>reformar el artículo 129 fracción XXIV de la Ley Orgánica del Poder Legislativo del Estado de Chihuahua en materia de accesibilidad en la información que difunde el Congreso del Estado</w:t>
                      </w:r>
                      <w:r>
                        <w:t>.</w:t>
                      </w:r>
                    </w:p>
                  </w:txbxContent>
                </v:textbox>
                <w10:wrap anchorx="margin"/>
              </v:shape>
            </w:pict>
          </mc:Fallback>
        </mc:AlternateContent>
      </w:r>
    </w:p>
    <w:sectPr w:rsidR="00550936" w:rsidRPr="008F0FD6" w:rsidSect="00035E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3BED" w14:textId="77777777" w:rsidR="00D778D4" w:rsidRDefault="00D778D4" w:rsidP="009326A5">
      <w:pPr>
        <w:spacing w:after="0" w:line="240" w:lineRule="auto"/>
      </w:pPr>
      <w:r>
        <w:separator/>
      </w:r>
    </w:p>
  </w:endnote>
  <w:endnote w:type="continuationSeparator" w:id="0">
    <w:p w14:paraId="1F739B3C" w14:textId="77777777" w:rsidR="00D778D4" w:rsidRDefault="00D778D4"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150" w14:textId="77777777" w:rsidR="00CE6D74" w:rsidRDefault="00CE6D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_x0000_s1029"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0FF2" w14:textId="77777777" w:rsidR="00CE6D74" w:rsidRDefault="00CE6D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58D3" w14:textId="77777777" w:rsidR="00D778D4" w:rsidRDefault="00D778D4" w:rsidP="009326A5">
      <w:pPr>
        <w:spacing w:after="0" w:line="240" w:lineRule="auto"/>
      </w:pPr>
      <w:r>
        <w:separator/>
      </w:r>
    </w:p>
  </w:footnote>
  <w:footnote w:type="continuationSeparator" w:id="0">
    <w:p w14:paraId="025C220B" w14:textId="77777777" w:rsidR="00D778D4" w:rsidRDefault="00D778D4"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F4F" w14:textId="77777777" w:rsidR="00CE6D74" w:rsidRDefault="00CE6D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73BB" w14:textId="77777777" w:rsidR="00CE6D74" w:rsidRDefault="00CE6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01272"/>
    <w:rsid w:val="00035E39"/>
    <w:rsid w:val="00050977"/>
    <w:rsid w:val="00074EE4"/>
    <w:rsid w:val="00087208"/>
    <w:rsid w:val="000C16B4"/>
    <w:rsid w:val="001339FD"/>
    <w:rsid w:val="00145FE6"/>
    <w:rsid w:val="00164344"/>
    <w:rsid w:val="00182F9D"/>
    <w:rsid w:val="001E42BE"/>
    <w:rsid w:val="001E730F"/>
    <w:rsid w:val="002350D5"/>
    <w:rsid w:val="002360EA"/>
    <w:rsid w:val="00256DD7"/>
    <w:rsid w:val="00292BB1"/>
    <w:rsid w:val="002B5D1A"/>
    <w:rsid w:val="002D3521"/>
    <w:rsid w:val="00322830"/>
    <w:rsid w:val="003C67DB"/>
    <w:rsid w:val="003E2041"/>
    <w:rsid w:val="00427610"/>
    <w:rsid w:val="004614B8"/>
    <w:rsid w:val="00467346"/>
    <w:rsid w:val="00475CEA"/>
    <w:rsid w:val="00475E1C"/>
    <w:rsid w:val="004E1F8B"/>
    <w:rsid w:val="004E5F23"/>
    <w:rsid w:val="00517712"/>
    <w:rsid w:val="00550936"/>
    <w:rsid w:val="005562D4"/>
    <w:rsid w:val="00575EDE"/>
    <w:rsid w:val="00596A30"/>
    <w:rsid w:val="005D359B"/>
    <w:rsid w:val="005E2115"/>
    <w:rsid w:val="0060402E"/>
    <w:rsid w:val="00631204"/>
    <w:rsid w:val="006409C5"/>
    <w:rsid w:val="00683759"/>
    <w:rsid w:val="006953D0"/>
    <w:rsid w:val="006C6B4D"/>
    <w:rsid w:val="006F7180"/>
    <w:rsid w:val="007267AD"/>
    <w:rsid w:val="00744873"/>
    <w:rsid w:val="00753766"/>
    <w:rsid w:val="00770B27"/>
    <w:rsid w:val="007C56A9"/>
    <w:rsid w:val="008177A6"/>
    <w:rsid w:val="008317EC"/>
    <w:rsid w:val="008612F2"/>
    <w:rsid w:val="00882BF3"/>
    <w:rsid w:val="00895BD0"/>
    <w:rsid w:val="008A6A61"/>
    <w:rsid w:val="008F0FD6"/>
    <w:rsid w:val="009326A5"/>
    <w:rsid w:val="009B7AB3"/>
    <w:rsid w:val="009D3E6C"/>
    <w:rsid w:val="009E3534"/>
    <w:rsid w:val="00A126E3"/>
    <w:rsid w:val="00A200B9"/>
    <w:rsid w:val="00A707A1"/>
    <w:rsid w:val="00B00286"/>
    <w:rsid w:val="00B15BE4"/>
    <w:rsid w:val="00B459D7"/>
    <w:rsid w:val="00B60555"/>
    <w:rsid w:val="00B72EA6"/>
    <w:rsid w:val="00BA7592"/>
    <w:rsid w:val="00BE4DC1"/>
    <w:rsid w:val="00C41BBF"/>
    <w:rsid w:val="00C84977"/>
    <w:rsid w:val="00CB1819"/>
    <w:rsid w:val="00CE6D74"/>
    <w:rsid w:val="00CF7693"/>
    <w:rsid w:val="00D778D4"/>
    <w:rsid w:val="00D81018"/>
    <w:rsid w:val="00DA2F80"/>
    <w:rsid w:val="00E931DF"/>
    <w:rsid w:val="00F12134"/>
    <w:rsid w:val="00F37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9B514DA-4629-48A1-8121-FE5B7745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1026</Words>
  <Characters>5646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2025-09-23T15:49:00Z</dcterms:created>
  <dcterms:modified xsi:type="dcterms:W3CDTF">2025-09-23T15:49:00Z</dcterms:modified>
</cp:coreProperties>
</file>