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51B9" w14:textId="77777777" w:rsidR="00433E42" w:rsidRDefault="00433E42">
      <w:pPr>
        <w:spacing w:line="360" w:lineRule="auto"/>
        <w:jc w:val="right"/>
        <w:rPr>
          <w:rFonts w:ascii="Avenir Next LT Pro" w:eastAsia="Calibri" w:hAnsi="Avenir Next LT Pro" w:cs="Arial"/>
          <w:sz w:val="24"/>
          <w:szCs w:val="24"/>
        </w:rPr>
      </w:pPr>
    </w:p>
    <w:p w14:paraId="222469CF" w14:textId="47A0462D" w:rsidR="00034B83" w:rsidRDefault="009746B8">
      <w:pPr>
        <w:spacing w:line="360" w:lineRule="auto"/>
        <w:jc w:val="right"/>
        <w:rPr>
          <w:rFonts w:ascii="Avenir Next LT Pro" w:eastAsia="Calibri" w:hAnsi="Avenir Next LT Pro" w:cs="Arial"/>
          <w:sz w:val="24"/>
          <w:szCs w:val="24"/>
        </w:rPr>
      </w:pPr>
      <w:r>
        <w:rPr>
          <w:rFonts w:ascii="Avenir Next LT Pro" w:eastAsia="Calibri" w:hAnsi="Avenir Next LT Pro" w:cs="Arial"/>
          <w:sz w:val="24"/>
          <w:szCs w:val="24"/>
        </w:rPr>
        <w:t xml:space="preserve"> Chihuahua, Chihuahua a </w:t>
      </w:r>
      <w:r w:rsidR="007D17A3">
        <w:rPr>
          <w:rFonts w:ascii="Avenir Next LT Pro" w:eastAsia="Calibri" w:hAnsi="Avenir Next LT Pro" w:cs="Arial"/>
          <w:sz w:val="24"/>
          <w:szCs w:val="24"/>
        </w:rPr>
        <w:t>23</w:t>
      </w:r>
      <w:r>
        <w:rPr>
          <w:rFonts w:ascii="Avenir Next LT Pro" w:eastAsia="Calibri" w:hAnsi="Avenir Next LT Pro" w:cs="Arial"/>
          <w:sz w:val="24"/>
          <w:szCs w:val="24"/>
        </w:rPr>
        <w:t xml:space="preserve"> de </w:t>
      </w:r>
      <w:proofErr w:type="gramStart"/>
      <w:r>
        <w:rPr>
          <w:rFonts w:ascii="Avenir Next LT Pro" w:eastAsia="Calibri" w:hAnsi="Avenir Next LT Pro" w:cs="Arial"/>
          <w:sz w:val="24"/>
          <w:szCs w:val="24"/>
        </w:rPr>
        <w:t>Septiembre</w:t>
      </w:r>
      <w:proofErr w:type="gramEnd"/>
      <w:r>
        <w:rPr>
          <w:rFonts w:ascii="Avenir Next LT Pro" w:eastAsia="Calibri" w:hAnsi="Avenir Next LT Pro" w:cs="Arial"/>
          <w:sz w:val="24"/>
          <w:szCs w:val="24"/>
        </w:rPr>
        <w:t xml:space="preserve"> del 2025</w:t>
      </w:r>
    </w:p>
    <w:p w14:paraId="1AF70864" w14:textId="77777777" w:rsidR="00433E42" w:rsidRDefault="00433E42">
      <w:pPr>
        <w:spacing w:line="360" w:lineRule="auto"/>
        <w:jc w:val="right"/>
        <w:rPr>
          <w:rFonts w:ascii="Avenir Next LT Pro" w:eastAsia="Calibri" w:hAnsi="Avenir Next LT Pro" w:cs="Arial"/>
          <w:sz w:val="24"/>
          <w:szCs w:val="24"/>
        </w:rPr>
      </w:pPr>
    </w:p>
    <w:p w14:paraId="182AE7D1" w14:textId="77777777" w:rsidR="00433E42" w:rsidRDefault="00433E42">
      <w:pPr>
        <w:spacing w:line="360" w:lineRule="auto"/>
        <w:jc w:val="right"/>
        <w:rPr>
          <w:rFonts w:ascii="Avenir Next LT Pro" w:eastAsia="Calibri" w:hAnsi="Avenir Next LT Pro" w:cs="Arial"/>
          <w:sz w:val="24"/>
          <w:szCs w:val="24"/>
        </w:rPr>
      </w:pPr>
    </w:p>
    <w:p w14:paraId="69FBE7CA" w14:textId="77777777" w:rsidR="00034B83" w:rsidRDefault="009746B8">
      <w:pPr>
        <w:spacing w:line="360" w:lineRule="auto"/>
        <w:jc w:val="both"/>
        <w:rPr>
          <w:rFonts w:ascii="Avenir Next LT Pro" w:eastAsia="Calibri" w:hAnsi="Avenir Next LT Pro" w:cs="Arial"/>
          <w:b/>
          <w:bCs/>
          <w:sz w:val="24"/>
          <w:szCs w:val="24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</w:rPr>
        <w:t>H. CONGRESO DEL ESTADO</w:t>
      </w:r>
    </w:p>
    <w:p w14:paraId="7FF8160F" w14:textId="77777777" w:rsidR="00034B83" w:rsidRDefault="009746B8">
      <w:pPr>
        <w:spacing w:line="360" w:lineRule="auto"/>
        <w:jc w:val="both"/>
        <w:rPr>
          <w:rFonts w:ascii="Avenir Next LT Pro" w:eastAsia="Calibri" w:hAnsi="Avenir Next LT Pro" w:cs="Arial"/>
          <w:b/>
          <w:bCs/>
          <w:sz w:val="24"/>
          <w:szCs w:val="24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P R E S E N T E.- </w:t>
      </w:r>
    </w:p>
    <w:p w14:paraId="33FC2AC1" w14:textId="1C384C1D" w:rsidR="00433E42" w:rsidRDefault="009746B8" w:rsidP="00C11B99">
      <w:pPr>
        <w:spacing w:line="360" w:lineRule="auto"/>
        <w:jc w:val="both"/>
        <w:rPr>
          <w:rFonts w:ascii="Avenir Next LT Pro" w:eastAsia="Calibri" w:hAnsi="Avenir Next LT Pro" w:cs="Arial"/>
          <w:b/>
          <w:bCs/>
          <w:sz w:val="24"/>
          <w:szCs w:val="24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</w:rPr>
        <w:t>JOSÉ LUIS VILLALOBOS GARCÍA</w:t>
      </w:r>
      <w:r>
        <w:rPr>
          <w:rFonts w:ascii="Avenir Next LT Pro" w:eastAsia="Calibri" w:hAnsi="Avenir Next LT Pro" w:cs="Arial"/>
          <w:sz w:val="24"/>
          <w:szCs w:val="24"/>
        </w:rPr>
        <w:t xml:space="preserve">, Diputado de la Sexagésima Octava Legislatura del Honorable Congreso del Estado, integrante del Grupo Parlamentario del </w:t>
      </w:r>
      <w:r>
        <w:rPr>
          <w:rFonts w:ascii="Avenir Next LT Pro" w:eastAsia="Calibri" w:hAnsi="Avenir Next LT Pro" w:cs="Arial"/>
          <w:sz w:val="24"/>
          <w:szCs w:val="24"/>
        </w:rPr>
        <w:t>Partido Revolucionario Institucional con fundamento en lo que dispone los artículos 68, fracción I de la Constitución Política del Estado Libre y Soberano de Chihuahua 167, fracción I, 168, 168 BIS y 170 de la Ley Orgánica del Poder Legislativo, 2, fracció</w:t>
      </w:r>
      <w:r>
        <w:rPr>
          <w:rFonts w:ascii="Avenir Next LT Pro" w:eastAsia="Calibri" w:hAnsi="Avenir Next LT Pro" w:cs="Arial"/>
          <w:sz w:val="24"/>
          <w:szCs w:val="24"/>
        </w:rPr>
        <w:t>n IV, 75, 76, fracción V, 77 y 102 del Reglamento Interior y de Prácticas Parlamentarias del Poder Legislativo, y demás relativos comparezco ante esta Honorable Soberanía, a fin de presentar</w:t>
      </w:r>
      <w:r>
        <w:rPr>
          <w:rFonts w:ascii="Avenir Next LT Pro" w:eastAsia="Calibri" w:hAnsi="Avenir Next LT Pro" w:cs="Arial"/>
          <w:b/>
          <w:bCs/>
          <w:sz w:val="24"/>
          <w:szCs w:val="24"/>
        </w:rPr>
        <w:t>; INICIATIVA CON CARÁCTER DE DECRETO A EFECTO</w:t>
      </w:r>
      <w:bookmarkStart w:id="0" w:name="_Hlk196247125"/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 DE </w:t>
      </w:r>
      <w:r w:rsidR="0064642F">
        <w:rPr>
          <w:rFonts w:ascii="Avenir Next LT Pro" w:eastAsia="Calibri" w:hAnsi="Avenir Next LT Pro" w:cs="Arial"/>
          <w:b/>
          <w:bCs/>
          <w:sz w:val="24"/>
          <w:szCs w:val="24"/>
        </w:rPr>
        <w:t>REFORMAR LA LEY DE TURISMO DEL ESTADO DE CHIHUAHUA</w:t>
      </w:r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; EN MATERIA DE </w:t>
      </w:r>
      <w:bookmarkEnd w:id="0"/>
      <w:r w:rsidR="0064642F">
        <w:rPr>
          <w:rFonts w:ascii="Avenir Next LT Pro" w:eastAsia="Calibri" w:hAnsi="Avenir Next LT Pro" w:cs="Arial"/>
          <w:b/>
          <w:bCs/>
          <w:sz w:val="24"/>
          <w:szCs w:val="24"/>
        </w:rPr>
        <w:t>OPERATIVIDAD DE LOS CONSEJOS DE TURISMO</w:t>
      </w:r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. </w:t>
      </w:r>
    </w:p>
    <w:p w14:paraId="3C1D035A" w14:textId="2031DD1B" w:rsidR="00034B83" w:rsidRPr="00C11B99" w:rsidRDefault="009746B8" w:rsidP="00C11B99">
      <w:pPr>
        <w:spacing w:line="360" w:lineRule="auto"/>
        <w:jc w:val="both"/>
        <w:rPr>
          <w:rFonts w:ascii="Avenir Next LT Pro" w:eastAsia="Calibri" w:hAnsi="Avenir Next LT Pro" w:cs="Arial"/>
          <w:b/>
          <w:bCs/>
          <w:sz w:val="24"/>
          <w:szCs w:val="24"/>
        </w:rPr>
      </w:pPr>
      <w:r>
        <w:rPr>
          <w:rFonts w:ascii="Avenir Next LT Pro" w:eastAsia="Calibri" w:hAnsi="Avenir Next LT Pro" w:cs="Arial"/>
          <w:sz w:val="24"/>
          <w:szCs w:val="24"/>
        </w:rPr>
        <w:t xml:space="preserve">Lo anterior </w:t>
      </w:r>
      <w:r>
        <w:rPr>
          <w:rFonts w:ascii="Avenir Next LT Pro" w:eastAsia="Verdana" w:hAnsi="Avenir Next LT Pro" w:cs="Arial"/>
          <w:color w:val="000000"/>
          <w:sz w:val="24"/>
          <w:szCs w:val="24"/>
        </w:rPr>
        <w:t>por los motivos y fundamentos que a continuación se expresan</w:t>
      </w:r>
      <w:r w:rsidR="00C11B99">
        <w:rPr>
          <w:rFonts w:ascii="Avenir Next LT Pro" w:eastAsia="Verdana" w:hAnsi="Avenir Next LT Pro" w:cs="Arial"/>
          <w:color w:val="000000"/>
          <w:sz w:val="24"/>
          <w:szCs w:val="24"/>
        </w:rPr>
        <w:t>:</w:t>
      </w:r>
    </w:p>
    <w:p w14:paraId="401676D3" w14:textId="77777777" w:rsidR="00034B83" w:rsidRDefault="009746B8">
      <w:pPr>
        <w:widowControl w:val="0"/>
        <w:spacing w:line="360" w:lineRule="auto"/>
        <w:jc w:val="center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Verdana" w:hAnsi="Avenir Next LT Pro" w:cs="Arial"/>
          <w:b/>
          <w:color w:val="000000"/>
          <w:sz w:val="24"/>
          <w:szCs w:val="24"/>
        </w:rPr>
        <w:t>EXPOSICIÓN DE MOTIVOS</w:t>
      </w:r>
    </w:p>
    <w:p w14:paraId="1DFDC8CB" w14:textId="3EF54697" w:rsidR="0064642F" w:rsidRPr="0064642F" w:rsidRDefault="0064642F" w:rsidP="0064642F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 w:rsidRPr="0064642F">
        <w:rPr>
          <w:rFonts w:ascii="Avenir Next LT Pro" w:eastAsia="Calibri" w:hAnsi="Avenir Next LT Pro"/>
          <w:sz w:val="24"/>
          <w:szCs w:val="24"/>
        </w:rPr>
        <w:t xml:space="preserve">La consolidación de Chihuahua como un destino turístico competitivo y de clase mundial exige una planificación estratégica que sea tanto visionaria como colaborativa. Es en este contexto que el Consejo Consultivo Estatal de Turismo y </w:t>
      </w:r>
      <w:r w:rsidRPr="0064642F">
        <w:rPr>
          <w:rFonts w:ascii="Avenir Next LT Pro" w:eastAsia="Calibri" w:hAnsi="Avenir Next LT Pro"/>
          <w:sz w:val="24"/>
          <w:szCs w:val="24"/>
        </w:rPr>
        <w:lastRenderedPageBreak/>
        <w:t xml:space="preserve">los Consejos Regionales adquieren una importancia fundamental. Estos no son simples órganos administrativos, sino el espacio de convergencia donde la visión del gobierno, la experiencia del sector privado y las necesidades de la sociedad se unen para trazar el rumbo de nuestra industria. Desde el fomento al turismo de aventura en nuestras </w:t>
      </w:r>
      <w:r w:rsidR="00E8726E">
        <w:rPr>
          <w:rFonts w:ascii="Avenir Next LT Pro" w:eastAsia="Calibri" w:hAnsi="Avenir Next LT Pro"/>
          <w:sz w:val="24"/>
          <w:szCs w:val="24"/>
        </w:rPr>
        <w:t>B</w:t>
      </w:r>
      <w:r w:rsidRPr="0064642F">
        <w:rPr>
          <w:rFonts w:ascii="Avenir Next LT Pro" w:eastAsia="Calibri" w:hAnsi="Avenir Next LT Pro"/>
          <w:sz w:val="24"/>
          <w:szCs w:val="24"/>
        </w:rPr>
        <w:t xml:space="preserve">arrancas del </w:t>
      </w:r>
      <w:r w:rsidR="00E8726E">
        <w:rPr>
          <w:rFonts w:ascii="Avenir Next LT Pro" w:eastAsia="Calibri" w:hAnsi="Avenir Next LT Pro"/>
          <w:sz w:val="24"/>
          <w:szCs w:val="24"/>
        </w:rPr>
        <w:t>C</w:t>
      </w:r>
      <w:r w:rsidRPr="0064642F">
        <w:rPr>
          <w:rFonts w:ascii="Avenir Next LT Pro" w:eastAsia="Calibri" w:hAnsi="Avenir Next LT Pro"/>
          <w:sz w:val="24"/>
          <w:szCs w:val="24"/>
        </w:rPr>
        <w:t>obre, hasta el desarrollo del agroturismo en nuestras llanuras y la promoción de nuestros Pueblos Tradicionales, la labor de estos Consejos es la que articula la estrategia integral que define el futuro turístico de la entidad.</w:t>
      </w:r>
    </w:p>
    <w:p w14:paraId="05FAF111" w14:textId="77777777" w:rsidR="0064642F" w:rsidRPr="0064642F" w:rsidRDefault="0064642F" w:rsidP="0064642F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 w:rsidRPr="0064642F">
        <w:rPr>
          <w:rFonts w:ascii="Avenir Next LT Pro" w:eastAsia="Calibri" w:hAnsi="Avenir Next LT Pro"/>
          <w:sz w:val="24"/>
          <w:szCs w:val="24"/>
        </w:rPr>
        <w:t>La presente iniciativa de reforma a la Ley de Turismo del Estado de Chihuahua responde a una necesidad fundamental: fortalecer los cimientos sobre los cuales se construye el futuro de una de las actividades más vitales para nuestra entidad. Chihuahua, con su vasta riqueza natural, cultural e histórica, posee un potencial turístico excepcional que se traduce en desarrollo económico, empleo y bienestar para sus comunidades. Para que este potencial se materialice de forma sostenida y estratégica, es indispensable contar con órganos de colaboración eficaces, transparentes y con plena certeza jurídica en su actuar.</w:t>
      </w:r>
    </w:p>
    <w:p w14:paraId="77403CDF" w14:textId="77777777" w:rsidR="0064642F" w:rsidRPr="0064642F" w:rsidRDefault="0064642F" w:rsidP="0064642F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 w:rsidRPr="0064642F">
        <w:rPr>
          <w:rFonts w:ascii="Avenir Next LT Pro" w:eastAsia="Calibri" w:hAnsi="Avenir Next LT Pro"/>
          <w:sz w:val="24"/>
          <w:szCs w:val="24"/>
        </w:rPr>
        <w:t xml:space="preserve">Actualmente, la legislación delega en un reglamento secundario la definición de aspectos operativos esenciales para los Consejos, como la periodicidad de sus reuniones, el quórum para sesionar y los mecanismos para la toma de decisiones. Esta situación genera una vulnerabilidad institucional, pues deja las reglas fundamentales de gobernanza a merced de normativas de menor jerarquía. Precisamente, la propuesta de integrar estas disposiciones en el cuerpo de la Ley responde a los mejores estándares de prácticas administrativas y de gobernanza para consejos consultivos. Dichos estándares establecen que los elementos que aseguran la continuidad, la certeza jurídica y la transparencia de un órgano </w:t>
      </w:r>
      <w:r w:rsidRPr="0064642F">
        <w:rPr>
          <w:rFonts w:ascii="Avenir Next LT Pro" w:eastAsia="Calibri" w:hAnsi="Avenir Next LT Pro"/>
          <w:sz w:val="24"/>
          <w:szCs w:val="24"/>
        </w:rPr>
        <w:lastRenderedPageBreak/>
        <w:t>colegiado deben estar consagrados en la normativa de mayor jerarquía, y no en disposiciones secundarias sujetas a cambios discrecionales.</w:t>
      </w:r>
    </w:p>
    <w:p w14:paraId="3102058E" w14:textId="77777777" w:rsidR="0064642F" w:rsidRPr="0064642F" w:rsidRDefault="0064642F" w:rsidP="0064642F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 w:rsidRPr="0064642F">
        <w:rPr>
          <w:rFonts w:ascii="Avenir Next LT Pro" w:eastAsia="Calibri" w:hAnsi="Avenir Next LT Pro"/>
          <w:sz w:val="24"/>
          <w:szCs w:val="24"/>
        </w:rPr>
        <w:t>Por ello, la presente iniciativa propone elevar a rango de ley estas reglas operativas, integrándolas directamente en la Ley. Al hacerlo, se consolida la operatividad de los Consejos y se garantiza su funcionamiento continuo y legítimo. Establecer por ley que deberán sesionar de forma ordinaria un mínimo de dos veces al año, con la flexibilidad de convocar a reuniones extraordinarias cuando sea necesario, asegura una supervisión constante de los planes y programas turísticos, así como una capacidad de respuesta ágil ante retos imprevistos, como fenómenos naturales o cambios en las tendencias del mercado.</w:t>
      </w:r>
    </w:p>
    <w:p w14:paraId="39F8198C" w14:textId="77777777" w:rsidR="0064642F" w:rsidRPr="0064642F" w:rsidRDefault="0064642F" w:rsidP="0064642F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 w:rsidRPr="0064642F">
        <w:rPr>
          <w:rFonts w:ascii="Avenir Next LT Pro" w:eastAsia="Calibri" w:hAnsi="Avenir Next LT Pro"/>
          <w:sz w:val="24"/>
          <w:szCs w:val="24"/>
        </w:rPr>
        <w:t>Asimismo, al fijar en la ley que las sesiones serán válidas con la asistencia de más de la mitad de sus integrantes y que sus decisiones se tomarán por mayoría, se dota de una legitimidad incuestionable a cada acuerdo. La inclusión del voto de calidad para quien presida la sesión es un mecanismo probado que evita la parálisis por empates y asegura que el Consejo siempre esté en condiciones de avanzar. Al dotar a nuestros Consejos de una estructura operativa robusta y predecible, el Estado de Chihuahua no solo fortalece su propia gobernanza, sino que también cumple de manera más efectiva con el mandato federal de crear órganos de consulta funcionales que contribuyan a la política turística nacional.</w:t>
      </w:r>
    </w:p>
    <w:p w14:paraId="506112C0" w14:textId="77777777" w:rsidR="0064642F" w:rsidRPr="0064642F" w:rsidRDefault="0064642F" w:rsidP="0064642F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 w:rsidRPr="0064642F">
        <w:rPr>
          <w:rFonts w:ascii="Avenir Next LT Pro" w:eastAsia="Calibri" w:hAnsi="Avenir Next LT Pro"/>
          <w:sz w:val="24"/>
          <w:szCs w:val="24"/>
        </w:rPr>
        <w:t xml:space="preserve">Esta certeza jurídica tiene un impacto directo y positivo en la promoción del turismo chihuahuense. Un Consejo que opera con reglas claras y permanentes proyecta confianza y seriedad, elementos indispensables para atraer inversión privada y fomentar la creación de nueva infraestructura y servicios. Asegura que </w:t>
      </w:r>
      <w:r w:rsidRPr="0064642F">
        <w:rPr>
          <w:rFonts w:ascii="Avenir Next LT Pro" w:eastAsia="Calibri" w:hAnsi="Avenir Next LT Pro"/>
          <w:sz w:val="24"/>
          <w:szCs w:val="24"/>
        </w:rPr>
        <w:lastRenderedPageBreak/>
        <w:t>la voz de todos los prestadores de servicios turísticos sea escuchada y que los programas de financiamiento y los estímulos fiscales se propongan y evalúen con un respaldo representativo y transparente.</w:t>
      </w:r>
    </w:p>
    <w:p w14:paraId="5DA0EC73" w14:textId="77777777" w:rsidR="0064642F" w:rsidRDefault="0064642F" w:rsidP="0064642F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 w:rsidRPr="0064642F">
        <w:rPr>
          <w:rFonts w:ascii="Avenir Next LT Pro" w:eastAsia="Calibri" w:hAnsi="Avenir Next LT Pro"/>
          <w:sz w:val="24"/>
          <w:szCs w:val="24"/>
        </w:rPr>
        <w:t>En suma, esta reforma no es un mero ajuste técnico; es una declaración de la importancia que le otorgamos al turismo como pilar del desarrollo de Chihuahua. Al fortalecer al Consejo Consultivo Estatal y a los Consejos Regionales, estamos empoderando a los actores clave que tienen la misión de convertir la visión turística de nuestro estado en una realidad próspera y sostenible para todos los chihuahuenses.</w:t>
      </w:r>
    </w:p>
    <w:p w14:paraId="6305F9A6" w14:textId="7D811F76" w:rsidR="0086559A" w:rsidRPr="0086559A" w:rsidRDefault="0086559A" w:rsidP="0064642F">
      <w:pPr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</w:rPr>
      </w:pPr>
      <w:r w:rsidRPr="0086559A">
        <w:rPr>
          <w:rFonts w:ascii="Avenir Next LT Pro" w:eastAsia="Calibri" w:hAnsi="Avenir Next LT Pro"/>
          <w:b/>
          <w:bCs/>
          <w:sz w:val="24"/>
          <w:szCs w:val="24"/>
        </w:rPr>
        <w:t xml:space="preserve">Por lo anteriormente expuesto, me permito someter a consideración de esta soberanía, el presente proyecto con carácter de: </w:t>
      </w:r>
    </w:p>
    <w:p w14:paraId="77473343" w14:textId="77777777" w:rsidR="0086559A" w:rsidRPr="0086559A" w:rsidRDefault="0086559A" w:rsidP="0086559A">
      <w:pPr>
        <w:spacing w:line="360" w:lineRule="auto"/>
        <w:jc w:val="center"/>
        <w:rPr>
          <w:rFonts w:ascii="Avenir Next LT Pro" w:eastAsia="Calibri" w:hAnsi="Avenir Next LT Pro"/>
          <w:b/>
          <w:bCs/>
          <w:sz w:val="24"/>
          <w:szCs w:val="24"/>
        </w:rPr>
      </w:pPr>
      <w:r w:rsidRPr="0086559A">
        <w:rPr>
          <w:rFonts w:ascii="Avenir Next LT Pro" w:eastAsia="Calibri" w:hAnsi="Avenir Next LT Pro"/>
          <w:b/>
          <w:bCs/>
          <w:sz w:val="24"/>
          <w:szCs w:val="24"/>
        </w:rPr>
        <w:t>DECRETO</w:t>
      </w:r>
    </w:p>
    <w:p w14:paraId="689E129F" w14:textId="05F8314B" w:rsidR="0086559A" w:rsidRPr="0086559A" w:rsidRDefault="0086559A" w:rsidP="0086559A">
      <w:pPr>
        <w:spacing w:line="360" w:lineRule="auto"/>
        <w:jc w:val="both"/>
        <w:rPr>
          <w:rFonts w:ascii="Avenir Next LT Pro" w:eastAsia="Calibri" w:hAnsi="Avenir Next LT Pro"/>
          <w:b/>
          <w:bCs/>
          <w:sz w:val="24"/>
          <w:szCs w:val="24"/>
        </w:rPr>
      </w:pPr>
      <w:r w:rsidRPr="0086559A">
        <w:rPr>
          <w:rFonts w:ascii="Avenir Next LT Pro" w:eastAsia="Calibri" w:hAnsi="Avenir Next LT Pro"/>
          <w:b/>
          <w:bCs/>
          <w:sz w:val="24"/>
          <w:szCs w:val="24"/>
        </w:rPr>
        <w:t xml:space="preserve">PRIMERO. - </w:t>
      </w:r>
      <w:r w:rsidRPr="0086559A">
        <w:rPr>
          <w:rFonts w:ascii="Avenir Next LT Pro" w:eastAsia="Calibri" w:hAnsi="Avenir Next LT Pro"/>
          <w:sz w:val="24"/>
          <w:szCs w:val="24"/>
        </w:rPr>
        <w:t>Se</w:t>
      </w:r>
      <w:r w:rsidRPr="0086559A">
        <w:rPr>
          <w:rFonts w:ascii="Avenir Next LT Pro" w:eastAsia="Calibri" w:hAnsi="Avenir Next LT Pro"/>
          <w:b/>
          <w:bCs/>
          <w:sz w:val="24"/>
          <w:szCs w:val="24"/>
        </w:rPr>
        <w:t xml:space="preserve"> </w:t>
      </w:r>
      <w:r w:rsidR="0064642F">
        <w:rPr>
          <w:rFonts w:ascii="Avenir Next LT Pro" w:eastAsia="Calibri" w:hAnsi="Avenir Next LT Pro"/>
          <w:b/>
          <w:bCs/>
          <w:sz w:val="24"/>
          <w:szCs w:val="24"/>
        </w:rPr>
        <w:t>REFORMA</w:t>
      </w:r>
      <w:r w:rsidRPr="0086559A">
        <w:rPr>
          <w:rFonts w:ascii="Avenir Next LT Pro" w:eastAsia="Calibri" w:hAnsi="Avenir Next LT Pro"/>
          <w:b/>
          <w:bCs/>
          <w:sz w:val="24"/>
          <w:szCs w:val="24"/>
        </w:rPr>
        <w:t xml:space="preserve"> </w:t>
      </w:r>
      <w:r w:rsidR="0064642F">
        <w:rPr>
          <w:rFonts w:ascii="Avenir Next LT Pro" w:eastAsia="Calibri" w:hAnsi="Avenir Next LT Pro"/>
          <w:sz w:val="24"/>
          <w:szCs w:val="24"/>
        </w:rPr>
        <w:t xml:space="preserve">el artículo 13 </w:t>
      </w:r>
      <w:r w:rsidRPr="0086559A">
        <w:rPr>
          <w:rFonts w:ascii="Avenir Next LT Pro" w:eastAsia="Calibri" w:hAnsi="Avenir Next LT Pro"/>
          <w:sz w:val="24"/>
          <w:szCs w:val="24"/>
        </w:rPr>
        <w:t xml:space="preserve">de </w:t>
      </w:r>
      <w:r>
        <w:rPr>
          <w:rFonts w:ascii="Avenir Next LT Pro" w:eastAsia="Calibri" w:hAnsi="Avenir Next LT Pro"/>
          <w:sz w:val="24"/>
          <w:szCs w:val="24"/>
        </w:rPr>
        <w:t xml:space="preserve">la </w:t>
      </w:r>
      <w:r w:rsidRPr="0086559A">
        <w:rPr>
          <w:rFonts w:ascii="Avenir Next LT Pro" w:eastAsia="Calibri" w:hAnsi="Avenir Next LT Pro"/>
          <w:b/>
          <w:bCs/>
          <w:sz w:val="24"/>
          <w:szCs w:val="24"/>
        </w:rPr>
        <w:t xml:space="preserve">Ley </w:t>
      </w:r>
      <w:r w:rsidR="0064642F">
        <w:rPr>
          <w:rFonts w:ascii="Avenir Next LT Pro" w:eastAsia="Calibri" w:hAnsi="Avenir Next LT Pro"/>
          <w:b/>
          <w:bCs/>
          <w:sz w:val="24"/>
          <w:szCs w:val="24"/>
        </w:rPr>
        <w:t>de Turismo del Estado de Chihuahua</w:t>
      </w:r>
      <w:r w:rsidRPr="0086559A">
        <w:rPr>
          <w:rFonts w:ascii="Avenir Next LT Pro" w:eastAsia="Calibri" w:hAnsi="Avenir Next LT Pro"/>
          <w:sz w:val="24"/>
          <w:szCs w:val="24"/>
        </w:rPr>
        <w:t>; para quedar redactado de la siguiente manera:</w:t>
      </w:r>
    </w:p>
    <w:p w14:paraId="1388B173" w14:textId="1918300A" w:rsidR="0064642F" w:rsidRPr="0064642F" w:rsidRDefault="0064642F" w:rsidP="0064642F">
      <w:pPr>
        <w:spacing w:after="100" w:afterAutospacing="1" w:line="360" w:lineRule="auto"/>
        <w:ind w:left="426"/>
        <w:jc w:val="both"/>
        <w:rPr>
          <w:rFonts w:ascii="Avenir Next LT Pro" w:eastAsia="Calibri" w:hAnsi="Avenir Next LT Pro"/>
          <w:b/>
          <w:bCs/>
          <w:sz w:val="24"/>
          <w:szCs w:val="24"/>
        </w:rPr>
      </w:pPr>
      <w:r w:rsidRPr="0064642F">
        <w:rPr>
          <w:rFonts w:ascii="Avenir Next LT Pro" w:eastAsia="Calibri" w:hAnsi="Avenir Next LT Pro"/>
          <w:b/>
          <w:bCs/>
          <w:sz w:val="24"/>
          <w:szCs w:val="24"/>
        </w:rPr>
        <w:t>Artículo 13. El Consejo Estatal y los Consejos Regionales definirán en la primera sesión del año, el calendario de sesiones ordinarias.</w:t>
      </w:r>
    </w:p>
    <w:p w14:paraId="7E0C4863" w14:textId="77777777" w:rsidR="0064642F" w:rsidRPr="0064642F" w:rsidRDefault="0064642F" w:rsidP="0064642F">
      <w:pPr>
        <w:spacing w:after="100" w:afterAutospacing="1" w:line="360" w:lineRule="auto"/>
        <w:ind w:left="426"/>
        <w:jc w:val="both"/>
        <w:rPr>
          <w:rFonts w:ascii="Avenir Next LT Pro" w:eastAsia="Calibri" w:hAnsi="Avenir Next LT Pro"/>
          <w:b/>
          <w:bCs/>
          <w:sz w:val="24"/>
          <w:szCs w:val="24"/>
        </w:rPr>
      </w:pPr>
      <w:r w:rsidRPr="0064642F">
        <w:rPr>
          <w:rFonts w:ascii="Avenir Next LT Pro" w:eastAsia="Calibri" w:hAnsi="Avenir Next LT Pro"/>
          <w:b/>
          <w:bCs/>
          <w:sz w:val="24"/>
          <w:szCs w:val="24"/>
        </w:rPr>
        <w:t xml:space="preserve">Las sesiones ordinarias serán como mínimo dos veces al año, y podrán reunirse de forma extraordinaria las veces que sea necesario, a convocatoria de su </w:t>
      </w:r>
      <w:proofErr w:type="gramStart"/>
      <w:r w:rsidRPr="0064642F">
        <w:rPr>
          <w:rFonts w:ascii="Avenir Next LT Pro" w:eastAsia="Calibri" w:hAnsi="Avenir Next LT Pro"/>
          <w:b/>
          <w:bCs/>
          <w:sz w:val="24"/>
          <w:szCs w:val="24"/>
        </w:rPr>
        <w:t>Presidente</w:t>
      </w:r>
      <w:proofErr w:type="gramEnd"/>
      <w:r w:rsidRPr="0064642F">
        <w:rPr>
          <w:rFonts w:ascii="Avenir Next LT Pro" w:eastAsia="Calibri" w:hAnsi="Avenir Next LT Pro"/>
          <w:b/>
          <w:bCs/>
          <w:sz w:val="24"/>
          <w:szCs w:val="24"/>
        </w:rPr>
        <w:t xml:space="preserve"> o a solicitud de la mayoría de sus miembros.</w:t>
      </w:r>
    </w:p>
    <w:p w14:paraId="38420656" w14:textId="77777777" w:rsidR="0064642F" w:rsidRPr="0064642F" w:rsidRDefault="0064642F" w:rsidP="0064642F">
      <w:pPr>
        <w:spacing w:after="100" w:afterAutospacing="1" w:line="360" w:lineRule="auto"/>
        <w:ind w:left="426"/>
        <w:jc w:val="both"/>
        <w:rPr>
          <w:rFonts w:ascii="Avenir Next LT Pro" w:eastAsia="Calibri" w:hAnsi="Avenir Next LT Pro"/>
          <w:b/>
          <w:bCs/>
          <w:sz w:val="24"/>
          <w:szCs w:val="24"/>
        </w:rPr>
      </w:pPr>
      <w:r w:rsidRPr="0064642F">
        <w:rPr>
          <w:rFonts w:ascii="Avenir Next LT Pro" w:eastAsia="Calibri" w:hAnsi="Avenir Next LT Pro"/>
          <w:b/>
          <w:bCs/>
          <w:sz w:val="24"/>
          <w:szCs w:val="24"/>
        </w:rPr>
        <w:t xml:space="preserve">Las sesiones de los Consejos serán validadas con la asistencia de más de la mitad de sus integrantes y sus resoluciones se tomarán por mayoría de </w:t>
      </w:r>
      <w:r w:rsidRPr="0064642F">
        <w:rPr>
          <w:rFonts w:ascii="Avenir Next LT Pro" w:eastAsia="Calibri" w:hAnsi="Avenir Next LT Pro"/>
          <w:b/>
          <w:bCs/>
          <w:sz w:val="24"/>
          <w:szCs w:val="24"/>
        </w:rPr>
        <w:lastRenderedPageBreak/>
        <w:t xml:space="preserve">votos de los presentes; en caso de empate, el </w:t>
      </w:r>
      <w:proofErr w:type="gramStart"/>
      <w:r w:rsidRPr="0064642F">
        <w:rPr>
          <w:rFonts w:ascii="Avenir Next LT Pro" w:eastAsia="Calibri" w:hAnsi="Avenir Next LT Pro"/>
          <w:b/>
          <w:bCs/>
          <w:sz w:val="24"/>
          <w:szCs w:val="24"/>
        </w:rPr>
        <w:t>Presidente</w:t>
      </w:r>
      <w:proofErr w:type="gramEnd"/>
      <w:r w:rsidRPr="0064642F">
        <w:rPr>
          <w:rFonts w:ascii="Avenir Next LT Pro" w:eastAsia="Calibri" w:hAnsi="Avenir Next LT Pro"/>
          <w:b/>
          <w:bCs/>
          <w:sz w:val="24"/>
          <w:szCs w:val="24"/>
        </w:rPr>
        <w:t xml:space="preserve"> tendrá voto de calidad.</w:t>
      </w:r>
    </w:p>
    <w:p w14:paraId="57F9DB32" w14:textId="56655828" w:rsidR="0064642F" w:rsidRPr="0064642F" w:rsidRDefault="0064642F" w:rsidP="0064642F">
      <w:pPr>
        <w:spacing w:after="100" w:afterAutospacing="1" w:line="360" w:lineRule="auto"/>
        <w:ind w:left="426"/>
        <w:jc w:val="both"/>
        <w:rPr>
          <w:rFonts w:ascii="Avenir Next LT Pro" w:eastAsia="Calibri" w:hAnsi="Avenir Next LT Pro"/>
          <w:b/>
          <w:bCs/>
          <w:sz w:val="24"/>
          <w:szCs w:val="24"/>
        </w:rPr>
      </w:pPr>
      <w:r w:rsidRPr="0064642F">
        <w:rPr>
          <w:rFonts w:ascii="Avenir Next LT Pro" w:eastAsia="Calibri" w:hAnsi="Avenir Next LT Pro"/>
          <w:b/>
          <w:bCs/>
          <w:sz w:val="24"/>
          <w:szCs w:val="24"/>
        </w:rPr>
        <w:t>El Reglamento establecerá la permanencia y renovación de los miembros de los Consejos, así como la forma de su organización interna en todo aquello no previsto en el presente artículo.</w:t>
      </w:r>
    </w:p>
    <w:p w14:paraId="16488CAF" w14:textId="77777777" w:rsidR="0086559A" w:rsidRPr="0064642F" w:rsidRDefault="0086559A" w:rsidP="0064642F">
      <w:pPr>
        <w:spacing w:line="360" w:lineRule="auto"/>
        <w:ind w:left="426"/>
        <w:jc w:val="center"/>
        <w:rPr>
          <w:rFonts w:ascii="Avenir Next LT Pro" w:eastAsia="Calibri" w:hAnsi="Avenir Next LT Pro"/>
          <w:b/>
          <w:bCs/>
          <w:sz w:val="24"/>
          <w:szCs w:val="24"/>
        </w:rPr>
      </w:pPr>
      <w:r w:rsidRPr="0064642F">
        <w:rPr>
          <w:rFonts w:ascii="Avenir Next LT Pro" w:eastAsia="Calibri" w:hAnsi="Avenir Next LT Pro"/>
          <w:b/>
          <w:bCs/>
          <w:sz w:val="24"/>
          <w:szCs w:val="24"/>
        </w:rPr>
        <w:t>TRANSITORIOS</w:t>
      </w:r>
    </w:p>
    <w:p w14:paraId="7849DF73" w14:textId="77777777" w:rsidR="0086559A" w:rsidRPr="0086559A" w:rsidRDefault="0086559A" w:rsidP="0086559A">
      <w:pPr>
        <w:spacing w:line="360" w:lineRule="auto"/>
        <w:jc w:val="both"/>
        <w:rPr>
          <w:rFonts w:ascii="Avenir Next LT Pro" w:eastAsia="Calibri" w:hAnsi="Avenir Next LT Pro"/>
          <w:sz w:val="24"/>
          <w:szCs w:val="24"/>
        </w:rPr>
      </w:pPr>
      <w:r w:rsidRPr="0086559A">
        <w:rPr>
          <w:rFonts w:ascii="Avenir Next LT Pro" w:eastAsia="Calibri" w:hAnsi="Avenir Next LT Pro"/>
          <w:b/>
          <w:bCs/>
          <w:sz w:val="24"/>
          <w:szCs w:val="24"/>
        </w:rPr>
        <w:t>PRIMERO.</w:t>
      </w:r>
      <w:r w:rsidRPr="0086559A">
        <w:rPr>
          <w:rFonts w:ascii="Avenir Next LT Pro" w:eastAsia="Calibri" w:hAnsi="Avenir Next LT Pro"/>
          <w:sz w:val="24"/>
          <w:szCs w:val="24"/>
        </w:rPr>
        <w:t xml:space="preserve"> El presente Decreto entrará en vigor al día siguiente de su publicación en el Periódico Oficial del Estado de Chihuahua.</w:t>
      </w:r>
    </w:p>
    <w:p w14:paraId="3566EDEF" w14:textId="2F70A788" w:rsidR="00034B83" w:rsidRDefault="009746B8" w:rsidP="0088259E">
      <w:pPr>
        <w:spacing w:line="360" w:lineRule="auto"/>
        <w:jc w:val="both"/>
        <w:rPr>
          <w:rFonts w:ascii="Avenir Next LT Pro" w:eastAsia="Calibri" w:hAnsi="Avenir Next LT Pro" w:cs="Arial"/>
          <w:sz w:val="24"/>
          <w:szCs w:val="24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ECONÓMICO. </w:t>
      </w:r>
      <w:r>
        <w:rPr>
          <w:rFonts w:ascii="Avenir Next LT Pro" w:eastAsia="Calibri" w:hAnsi="Avenir Next LT Pro" w:cs="Arial"/>
          <w:sz w:val="24"/>
          <w:szCs w:val="24"/>
        </w:rPr>
        <w:t>Aprobado que sea,</w:t>
      </w:r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 </w:t>
      </w:r>
      <w:r>
        <w:rPr>
          <w:rFonts w:ascii="Avenir Next LT Pro" w:eastAsia="Calibri" w:hAnsi="Avenir Next LT Pro" w:cs="Arial"/>
          <w:sz w:val="24"/>
          <w:szCs w:val="24"/>
        </w:rPr>
        <w:t>túrnese a la Secretaría para que elabore la minuta de Decreto, en los términos en que deba publicarse.</w:t>
      </w:r>
    </w:p>
    <w:p w14:paraId="48C2A71E" w14:textId="1553814C" w:rsidR="00034B83" w:rsidRDefault="009746B8">
      <w:pPr>
        <w:spacing w:line="360" w:lineRule="auto"/>
        <w:jc w:val="both"/>
        <w:rPr>
          <w:rFonts w:ascii="Avenir Next LT Pro" w:eastAsia="Calibri" w:hAnsi="Avenir Next LT Pro" w:cs="Arial"/>
          <w:sz w:val="24"/>
          <w:szCs w:val="24"/>
        </w:rPr>
      </w:pPr>
      <w:r>
        <w:rPr>
          <w:rFonts w:ascii="Avenir Next LT Pro" w:eastAsia="Calibri" w:hAnsi="Avenir Next LT Pro" w:cs="Arial"/>
          <w:b/>
          <w:bCs/>
          <w:sz w:val="24"/>
          <w:szCs w:val="24"/>
        </w:rPr>
        <w:t xml:space="preserve">D A D </w:t>
      </w:r>
      <w:proofErr w:type="gramStart"/>
      <w:r>
        <w:rPr>
          <w:rFonts w:ascii="Avenir Next LT Pro" w:eastAsia="Calibri" w:hAnsi="Avenir Next LT Pro" w:cs="Arial"/>
          <w:b/>
          <w:bCs/>
          <w:sz w:val="24"/>
          <w:szCs w:val="24"/>
        </w:rPr>
        <w:t>O</w:t>
      </w:r>
      <w:r>
        <w:rPr>
          <w:rFonts w:ascii="Avenir Next LT Pro" w:eastAsia="Calibri" w:hAnsi="Avenir Next LT Pro" w:cs="Arial"/>
          <w:sz w:val="24"/>
          <w:szCs w:val="24"/>
        </w:rPr>
        <w:t xml:space="preserve">  en</w:t>
      </w:r>
      <w:proofErr w:type="gramEnd"/>
      <w:r>
        <w:rPr>
          <w:rFonts w:ascii="Avenir Next LT Pro" w:eastAsia="Calibri" w:hAnsi="Avenir Next LT Pro" w:cs="Arial"/>
          <w:sz w:val="24"/>
          <w:szCs w:val="24"/>
        </w:rPr>
        <w:t xml:space="preserve"> la sede del Poder Legislativo del Estado de </w:t>
      </w:r>
      <w:r>
        <w:rPr>
          <w:rFonts w:ascii="Avenir Next LT Pro" w:eastAsia="Calibri" w:hAnsi="Avenir Next LT Pro" w:cs="Arial"/>
          <w:sz w:val="24"/>
          <w:szCs w:val="24"/>
        </w:rPr>
        <w:t xml:space="preserve">Chihuahua, a los </w:t>
      </w:r>
      <w:r w:rsidR="007D17A3">
        <w:rPr>
          <w:rFonts w:ascii="Avenir Next LT Pro" w:eastAsia="Calibri" w:hAnsi="Avenir Next LT Pro" w:cs="Arial"/>
          <w:sz w:val="24"/>
          <w:szCs w:val="24"/>
        </w:rPr>
        <w:t>23</w:t>
      </w:r>
      <w:r w:rsidR="00F71981">
        <w:rPr>
          <w:rFonts w:ascii="Avenir Next LT Pro" w:eastAsia="Calibri" w:hAnsi="Avenir Next LT Pro" w:cs="Arial"/>
          <w:sz w:val="24"/>
          <w:szCs w:val="24"/>
        </w:rPr>
        <w:t xml:space="preserve"> </w:t>
      </w:r>
      <w:r>
        <w:rPr>
          <w:rFonts w:ascii="Avenir Next LT Pro" w:eastAsia="Calibri" w:hAnsi="Avenir Next LT Pro" w:cs="Arial"/>
          <w:sz w:val="24"/>
          <w:szCs w:val="24"/>
        </w:rPr>
        <w:t>días del mes de septiembre de 2025.</w:t>
      </w:r>
    </w:p>
    <w:p w14:paraId="703F1701" w14:textId="2A8CAC33" w:rsidR="00034B83" w:rsidRDefault="009746B8" w:rsidP="00C11B99">
      <w:pPr>
        <w:spacing w:line="360" w:lineRule="auto"/>
        <w:jc w:val="center"/>
        <w:rPr>
          <w:rFonts w:ascii="Avenir Next LT Pro" w:eastAsia="Calibri" w:hAnsi="Avenir Next LT Pro" w:cs="Arial"/>
          <w:b/>
          <w:sz w:val="24"/>
          <w:szCs w:val="24"/>
        </w:rPr>
      </w:pPr>
      <w:r>
        <w:rPr>
          <w:rFonts w:ascii="Avenir Next LT Pro" w:eastAsia="Calibri" w:hAnsi="Avenir Next LT Pro" w:cs="Arial"/>
          <w:b/>
          <w:sz w:val="24"/>
          <w:szCs w:val="24"/>
        </w:rPr>
        <w:t>ATENTAMENTE</w:t>
      </w:r>
    </w:p>
    <w:p w14:paraId="7C2E885A" w14:textId="77777777" w:rsidR="00433E42" w:rsidRDefault="00433E42" w:rsidP="00C11B99">
      <w:pPr>
        <w:spacing w:line="360" w:lineRule="auto"/>
        <w:jc w:val="center"/>
        <w:rPr>
          <w:rFonts w:ascii="Avenir Next LT Pro" w:eastAsia="Calibri" w:hAnsi="Avenir Next LT Pro" w:cs="Arial"/>
          <w:b/>
          <w:sz w:val="24"/>
          <w:szCs w:val="24"/>
        </w:rPr>
      </w:pPr>
    </w:p>
    <w:p w14:paraId="3F6280AB" w14:textId="77777777" w:rsidR="00034B83" w:rsidRDefault="009746B8">
      <w:pPr>
        <w:tabs>
          <w:tab w:val="left" w:pos="6120"/>
        </w:tabs>
        <w:spacing w:line="360" w:lineRule="auto"/>
        <w:jc w:val="center"/>
        <w:rPr>
          <w:rFonts w:ascii="Avenir Next LT Pro" w:eastAsia="Arial" w:hAnsi="Avenir Next LT Pro" w:cs="Arial"/>
          <w:b/>
          <w:bCs/>
          <w:color w:val="000000"/>
          <w:sz w:val="24"/>
          <w:szCs w:val="24"/>
          <w:u w:color="000000"/>
          <w:shd w:val="clear" w:color="auto" w:fill="FFFFFF"/>
          <w:lang w:eastAsia="es-MX"/>
        </w:rPr>
      </w:pPr>
      <w:r>
        <w:rPr>
          <w:rFonts w:ascii="Avenir Next LT Pro" w:eastAsia="Arial Unicode MS" w:hAnsi="Avenir Next LT Pro" w:cs="Arial"/>
          <w:b/>
          <w:bCs/>
          <w:color w:val="000000"/>
          <w:sz w:val="24"/>
          <w:szCs w:val="24"/>
          <w:u w:color="000000"/>
          <w:shd w:val="clear" w:color="auto" w:fill="FFFFFF"/>
          <w:lang w:eastAsia="es-MX"/>
        </w:rPr>
        <w:t xml:space="preserve">DIP. </w:t>
      </w:r>
      <w:r>
        <w:rPr>
          <w:rFonts w:ascii="Avenir Next LT Pro" w:eastAsia="Arial Unicode MS" w:hAnsi="Avenir Next LT Pro" w:cs="Arial"/>
          <w:b/>
          <w:bCs/>
          <w:color w:val="000000"/>
          <w:sz w:val="24"/>
          <w:szCs w:val="24"/>
          <w:u w:color="000000"/>
          <w:lang w:eastAsia="es-MX"/>
        </w:rPr>
        <w:t>JOSÉ LUIS VILLALOBOS GARCÍA.</w:t>
      </w:r>
    </w:p>
    <w:p w14:paraId="40EEEAFA" w14:textId="6F777141" w:rsidR="00034B83" w:rsidRDefault="009746B8">
      <w:pPr>
        <w:tabs>
          <w:tab w:val="left" w:pos="6120"/>
        </w:tabs>
        <w:spacing w:line="240" w:lineRule="auto"/>
        <w:jc w:val="both"/>
        <w:rPr>
          <w:rFonts w:ascii="Avenir Next LT Pro" w:eastAsia="Arial" w:hAnsi="Avenir Next LT Pro" w:cs="Arial"/>
          <w:b/>
          <w:bCs/>
          <w:color w:val="000000"/>
          <w:sz w:val="16"/>
          <w:szCs w:val="16"/>
          <w:u w:color="000000"/>
          <w:shd w:val="clear" w:color="auto" w:fill="FFFFFF"/>
          <w:lang w:eastAsia="es-MX"/>
        </w:rPr>
      </w:pPr>
      <w:r>
        <w:rPr>
          <w:rFonts w:ascii="Avenir Next LT Pro" w:eastAsia="Arial Unicode MS" w:hAnsi="Avenir Next LT Pro" w:cs="Arial"/>
          <w:b/>
          <w:bCs/>
          <w:color w:val="000000"/>
          <w:sz w:val="16"/>
          <w:szCs w:val="16"/>
          <w:u w:color="000000"/>
          <w:lang w:eastAsia="es-MX"/>
        </w:rPr>
        <w:t>la presente hoja de firmas corresponde a iniciativa con carácter de decreto, a efecto de</w:t>
      </w:r>
      <w:r w:rsidRPr="00E83489">
        <w:rPr>
          <w:rFonts w:ascii="Avenir Next LT Pro" w:eastAsia="Arial Unicode MS" w:hAnsi="Avenir Next LT Pro" w:cs="Arial"/>
          <w:b/>
          <w:bCs/>
          <w:color w:val="000000"/>
          <w:sz w:val="16"/>
          <w:szCs w:val="16"/>
          <w:u w:color="000000"/>
          <w:lang w:eastAsia="es-MX"/>
        </w:rPr>
        <w:t xml:space="preserve"> </w:t>
      </w:r>
      <w:r w:rsidR="0064642F">
        <w:rPr>
          <w:rFonts w:ascii="Avenir Next LT Pro" w:eastAsia="Calibri" w:hAnsi="Avenir Next LT Pro" w:cs="Arial"/>
          <w:b/>
          <w:bCs/>
          <w:sz w:val="16"/>
          <w:szCs w:val="16"/>
        </w:rPr>
        <w:t xml:space="preserve">reformar </w:t>
      </w:r>
      <w:r>
        <w:rPr>
          <w:rFonts w:ascii="Avenir Next LT Pro" w:eastAsia="Calibri" w:hAnsi="Avenir Next LT Pro" w:cs="Arial"/>
          <w:b/>
          <w:bCs/>
          <w:sz w:val="16"/>
          <w:szCs w:val="16"/>
        </w:rPr>
        <w:t>la Ley</w:t>
      </w:r>
      <w:r w:rsidR="00C603D3">
        <w:rPr>
          <w:rFonts w:ascii="Avenir Next LT Pro" w:eastAsia="Calibri" w:hAnsi="Avenir Next LT Pro" w:cs="Arial"/>
          <w:b/>
          <w:bCs/>
          <w:sz w:val="16"/>
          <w:szCs w:val="16"/>
        </w:rPr>
        <w:t xml:space="preserve"> Estatal de </w:t>
      </w:r>
      <w:r w:rsidR="0064642F">
        <w:rPr>
          <w:rFonts w:ascii="Avenir Next LT Pro" w:eastAsia="Calibri" w:hAnsi="Avenir Next LT Pro" w:cs="Arial"/>
          <w:b/>
          <w:bCs/>
          <w:sz w:val="16"/>
          <w:szCs w:val="16"/>
        </w:rPr>
        <w:t xml:space="preserve">Turismo del </w:t>
      </w:r>
      <w:r w:rsidR="00731E88">
        <w:rPr>
          <w:rFonts w:ascii="Avenir Next LT Pro" w:eastAsia="Calibri" w:hAnsi="Avenir Next LT Pro" w:cs="Arial"/>
          <w:b/>
          <w:bCs/>
          <w:sz w:val="16"/>
          <w:szCs w:val="16"/>
        </w:rPr>
        <w:t>Estado de Chihuahua</w:t>
      </w:r>
      <w:r>
        <w:rPr>
          <w:rFonts w:ascii="Avenir Next LT Pro" w:eastAsia="Calibri" w:hAnsi="Avenir Next LT Pro" w:cs="Arial"/>
          <w:b/>
          <w:bCs/>
          <w:sz w:val="16"/>
          <w:szCs w:val="16"/>
        </w:rPr>
        <w:t xml:space="preserve">; en materia </w:t>
      </w:r>
      <w:r w:rsidR="0064642F">
        <w:rPr>
          <w:rFonts w:ascii="Avenir Next LT Pro" w:eastAsia="Calibri" w:hAnsi="Avenir Next LT Pro" w:cs="Arial"/>
          <w:b/>
          <w:bCs/>
          <w:sz w:val="16"/>
          <w:szCs w:val="16"/>
        </w:rPr>
        <w:t>de operatividad de los consejos</w:t>
      </w:r>
      <w:r>
        <w:rPr>
          <w:rFonts w:ascii="Avenir Next LT Pro" w:eastAsia="Calibri" w:hAnsi="Avenir Next LT Pro" w:cs="Arial"/>
          <w:b/>
          <w:bCs/>
          <w:sz w:val="16"/>
          <w:szCs w:val="16"/>
        </w:rPr>
        <w:t xml:space="preserve">. </w:t>
      </w:r>
    </w:p>
    <w:p w14:paraId="28B93DE8" w14:textId="77777777" w:rsidR="00034B83" w:rsidRDefault="00034B83">
      <w:pPr>
        <w:jc w:val="both"/>
        <w:rPr>
          <w:rFonts w:ascii="Arial" w:hAnsi="Arial" w:cs="Arial"/>
          <w:u w:val="single"/>
        </w:rPr>
      </w:pPr>
    </w:p>
    <w:sectPr w:rsidR="00034B83">
      <w:headerReference w:type="default" r:id="rId9"/>
      <w:footerReference w:type="default" r:id="rId10"/>
      <w:pgSz w:w="12240" w:h="15840"/>
      <w:pgMar w:top="3403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DE61" w14:textId="77777777" w:rsidR="00027C36" w:rsidRDefault="00027C36">
      <w:pPr>
        <w:spacing w:line="240" w:lineRule="auto"/>
      </w:pPr>
      <w:r>
        <w:separator/>
      </w:r>
    </w:p>
  </w:endnote>
  <w:endnote w:type="continuationSeparator" w:id="0">
    <w:p w14:paraId="31306F24" w14:textId="77777777" w:rsidR="00027C36" w:rsidRDefault="00027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80769"/>
    </w:sdtPr>
    <w:sdtEndPr/>
    <w:sdtContent>
      <w:p w14:paraId="2273B43F" w14:textId="77777777" w:rsidR="00034B83" w:rsidRDefault="009746B8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D69660" w14:textId="77777777" w:rsidR="00034B83" w:rsidRDefault="00034B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32B8" w14:textId="77777777" w:rsidR="00027C36" w:rsidRDefault="00027C36">
      <w:pPr>
        <w:spacing w:after="0"/>
      </w:pPr>
      <w:r>
        <w:separator/>
      </w:r>
    </w:p>
  </w:footnote>
  <w:footnote w:type="continuationSeparator" w:id="0">
    <w:p w14:paraId="6658DF1E" w14:textId="77777777" w:rsidR="00027C36" w:rsidRDefault="00027C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4E73" w14:textId="77777777" w:rsidR="00034B83" w:rsidRDefault="009746B8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54C2357" wp14:editId="24F476A1">
              <wp:simplePos x="0" y="0"/>
              <wp:positionH relativeFrom="column">
                <wp:posOffset>2265045</wp:posOffset>
              </wp:positionH>
              <wp:positionV relativeFrom="paragraph">
                <wp:posOffset>495300</wp:posOffset>
              </wp:positionV>
              <wp:extent cx="3162300" cy="44196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63AC755" w14:textId="77777777" w:rsidR="00034B83" w:rsidRDefault="009746B8">
                          <w:pPr>
                            <w:pStyle w:val="Encabezado"/>
                            <w:jc w:val="right"/>
                          </w:pPr>
                          <w:r>
                            <w:rPr>
                              <w:rFonts w:ascii="Edwardian Script ITC" w:hAnsi="Edwardian Script ITC"/>
                              <w:b/>
                              <w:sz w:val="44"/>
                            </w:rPr>
                            <w:t xml:space="preserve">Diputado José Luis Villalobos </w:t>
                          </w:r>
                        </w:p>
                        <w:p w14:paraId="37FDC5FF" w14:textId="77777777" w:rsidR="00034B83" w:rsidRDefault="00034B8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54C235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8.35pt;margin-top:39pt;width:249pt;height:34.8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" stroked="f">
              <v:textbox>
                <w:txbxContent>
                  <w:p w14:paraId="263AC755" w14:textId="77777777" w:rsidR="00034B83" w:rsidRDefault="00000000">
                    <w:pPr>
                      <w:pStyle w:val="Header"/>
                      <w:jc w:val="right"/>
                    </w:pPr>
                    <w:r>
                      <w:rPr>
                        <w:rFonts w:ascii="Edwardian Script ITC" w:hAnsi="Edwardian Script ITC"/>
                        <w:b/>
                        <w:sz w:val="44"/>
                      </w:rPr>
                      <w:t xml:space="preserve">Diputado José Luis Villalobos </w:t>
                    </w:r>
                  </w:p>
                  <w:p w14:paraId="37FDC5FF" w14:textId="77777777" w:rsidR="00034B83" w:rsidRDefault="00034B83"/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177D6E7" wp14:editId="7D7C42A4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58400"/>
          <wp:effectExtent l="0" t="0" r="0" b="0"/>
          <wp:wrapNone/>
          <wp:docPr id="101197534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975341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2F"/>
    <w:multiLevelType w:val="hybridMultilevel"/>
    <w:tmpl w:val="F1666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747C"/>
    <w:multiLevelType w:val="multilevel"/>
    <w:tmpl w:val="1B001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B2E73"/>
    <w:multiLevelType w:val="hybridMultilevel"/>
    <w:tmpl w:val="F2540584"/>
    <w:lvl w:ilvl="0" w:tplc="97B8D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930F2"/>
    <w:multiLevelType w:val="hybridMultilevel"/>
    <w:tmpl w:val="1D4AFFFC"/>
    <w:lvl w:ilvl="0" w:tplc="601A3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21260"/>
    <w:multiLevelType w:val="hybridMultilevel"/>
    <w:tmpl w:val="3F30773C"/>
    <w:lvl w:ilvl="0" w:tplc="E0C69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304BC"/>
    <w:multiLevelType w:val="singleLevel"/>
    <w:tmpl w:val="40C304B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903546B"/>
    <w:multiLevelType w:val="multilevel"/>
    <w:tmpl w:val="BA8E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161FBC"/>
    <w:multiLevelType w:val="hybridMultilevel"/>
    <w:tmpl w:val="49AA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5E"/>
    <w:rsid w:val="000061D2"/>
    <w:rsid w:val="00027C36"/>
    <w:rsid w:val="00034AF4"/>
    <w:rsid w:val="00034B83"/>
    <w:rsid w:val="00036F9E"/>
    <w:rsid w:val="00050866"/>
    <w:rsid w:val="00063874"/>
    <w:rsid w:val="00075C12"/>
    <w:rsid w:val="00080DF4"/>
    <w:rsid w:val="000B3D68"/>
    <w:rsid w:val="000B4521"/>
    <w:rsid w:val="000B55FF"/>
    <w:rsid w:val="000C416F"/>
    <w:rsid w:val="000D6DB3"/>
    <w:rsid w:val="000F60CB"/>
    <w:rsid w:val="00113680"/>
    <w:rsid w:val="00135D59"/>
    <w:rsid w:val="001516C1"/>
    <w:rsid w:val="001605AF"/>
    <w:rsid w:val="00165737"/>
    <w:rsid w:val="00174A98"/>
    <w:rsid w:val="00186AFE"/>
    <w:rsid w:val="001911AA"/>
    <w:rsid w:val="001923EB"/>
    <w:rsid w:val="00196C38"/>
    <w:rsid w:val="001D478B"/>
    <w:rsid w:val="001E430E"/>
    <w:rsid w:val="001E5423"/>
    <w:rsid w:val="001F39EF"/>
    <w:rsid w:val="0022768D"/>
    <w:rsid w:val="00275957"/>
    <w:rsid w:val="002823CB"/>
    <w:rsid w:val="00285741"/>
    <w:rsid w:val="00291896"/>
    <w:rsid w:val="002A0BFF"/>
    <w:rsid w:val="002B0F59"/>
    <w:rsid w:val="002B1106"/>
    <w:rsid w:val="002F3643"/>
    <w:rsid w:val="003148B1"/>
    <w:rsid w:val="00326670"/>
    <w:rsid w:val="0034375D"/>
    <w:rsid w:val="00354A52"/>
    <w:rsid w:val="00366B9A"/>
    <w:rsid w:val="00395D4C"/>
    <w:rsid w:val="003D3DCB"/>
    <w:rsid w:val="003E2B29"/>
    <w:rsid w:val="0040243A"/>
    <w:rsid w:val="00405EE8"/>
    <w:rsid w:val="004327CE"/>
    <w:rsid w:val="00433E42"/>
    <w:rsid w:val="00444C92"/>
    <w:rsid w:val="00457719"/>
    <w:rsid w:val="00465FA9"/>
    <w:rsid w:val="00480B2B"/>
    <w:rsid w:val="004865CF"/>
    <w:rsid w:val="0049451B"/>
    <w:rsid w:val="004946B2"/>
    <w:rsid w:val="004C1D83"/>
    <w:rsid w:val="004C60C5"/>
    <w:rsid w:val="004C71B4"/>
    <w:rsid w:val="004D15B2"/>
    <w:rsid w:val="004D5B3F"/>
    <w:rsid w:val="004F4807"/>
    <w:rsid w:val="004F66DE"/>
    <w:rsid w:val="004F69EC"/>
    <w:rsid w:val="00511854"/>
    <w:rsid w:val="00535087"/>
    <w:rsid w:val="00551EA8"/>
    <w:rsid w:val="005603DF"/>
    <w:rsid w:val="005609E4"/>
    <w:rsid w:val="00561A63"/>
    <w:rsid w:val="00561A86"/>
    <w:rsid w:val="00563E0A"/>
    <w:rsid w:val="00580F3F"/>
    <w:rsid w:val="0059206D"/>
    <w:rsid w:val="005B7249"/>
    <w:rsid w:val="005C44A6"/>
    <w:rsid w:val="005D2B58"/>
    <w:rsid w:val="005D656B"/>
    <w:rsid w:val="005E0DF5"/>
    <w:rsid w:val="005F3438"/>
    <w:rsid w:val="005F7200"/>
    <w:rsid w:val="005F7DB5"/>
    <w:rsid w:val="00611606"/>
    <w:rsid w:val="006302F3"/>
    <w:rsid w:val="00636013"/>
    <w:rsid w:val="00643F24"/>
    <w:rsid w:val="00644B98"/>
    <w:rsid w:val="0064642F"/>
    <w:rsid w:val="00650B46"/>
    <w:rsid w:val="00652673"/>
    <w:rsid w:val="00665648"/>
    <w:rsid w:val="006A3359"/>
    <w:rsid w:val="006A339C"/>
    <w:rsid w:val="006A3A46"/>
    <w:rsid w:val="006A4ED0"/>
    <w:rsid w:val="006B61CA"/>
    <w:rsid w:val="006C0EA3"/>
    <w:rsid w:val="006E47B4"/>
    <w:rsid w:val="006F0371"/>
    <w:rsid w:val="006F4357"/>
    <w:rsid w:val="006F6C92"/>
    <w:rsid w:val="0070484A"/>
    <w:rsid w:val="007244C8"/>
    <w:rsid w:val="00731E88"/>
    <w:rsid w:val="00740750"/>
    <w:rsid w:val="00742415"/>
    <w:rsid w:val="00745590"/>
    <w:rsid w:val="007659A7"/>
    <w:rsid w:val="007926CD"/>
    <w:rsid w:val="00797011"/>
    <w:rsid w:val="007B0426"/>
    <w:rsid w:val="007C35F7"/>
    <w:rsid w:val="007D17A3"/>
    <w:rsid w:val="007D7677"/>
    <w:rsid w:val="007E18C7"/>
    <w:rsid w:val="007E38CE"/>
    <w:rsid w:val="007F665E"/>
    <w:rsid w:val="00827AFB"/>
    <w:rsid w:val="008301BB"/>
    <w:rsid w:val="0083058F"/>
    <w:rsid w:val="00830FD0"/>
    <w:rsid w:val="00833BFD"/>
    <w:rsid w:val="00834171"/>
    <w:rsid w:val="008354FD"/>
    <w:rsid w:val="008460D5"/>
    <w:rsid w:val="008521AC"/>
    <w:rsid w:val="0086559A"/>
    <w:rsid w:val="008818DB"/>
    <w:rsid w:val="0088259E"/>
    <w:rsid w:val="0088555D"/>
    <w:rsid w:val="008975BA"/>
    <w:rsid w:val="008A7B52"/>
    <w:rsid w:val="008B7E36"/>
    <w:rsid w:val="008C4B8F"/>
    <w:rsid w:val="008F5B89"/>
    <w:rsid w:val="008F6A06"/>
    <w:rsid w:val="0091102A"/>
    <w:rsid w:val="00914A10"/>
    <w:rsid w:val="0091672E"/>
    <w:rsid w:val="00922AD5"/>
    <w:rsid w:val="009521B8"/>
    <w:rsid w:val="00952796"/>
    <w:rsid w:val="00953B98"/>
    <w:rsid w:val="0096031F"/>
    <w:rsid w:val="009715A5"/>
    <w:rsid w:val="009746B8"/>
    <w:rsid w:val="0097619F"/>
    <w:rsid w:val="0098358D"/>
    <w:rsid w:val="00991B3F"/>
    <w:rsid w:val="009B06AF"/>
    <w:rsid w:val="009B4CBF"/>
    <w:rsid w:val="009C6B78"/>
    <w:rsid w:val="009C7E6E"/>
    <w:rsid w:val="009D4CA4"/>
    <w:rsid w:val="00A02F09"/>
    <w:rsid w:val="00A26403"/>
    <w:rsid w:val="00A4474A"/>
    <w:rsid w:val="00A52512"/>
    <w:rsid w:val="00A6330E"/>
    <w:rsid w:val="00A72F3B"/>
    <w:rsid w:val="00A74344"/>
    <w:rsid w:val="00A7703F"/>
    <w:rsid w:val="00A94A98"/>
    <w:rsid w:val="00AC08FB"/>
    <w:rsid w:val="00AE0F07"/>
    <w:rsid w:val="00AF3AF7"/>
    <w:rsid w:val="00AF434D"/>
    <w:rsid w:val="00AF5C6A"/>
    <w:rsid w:val="00B00A7B"/>
    <w:rsid w:val="00B01D91"/>
    <w:rsid w:val="00B069AC"/>
    <w:rsid w:val="00B17AD1"/>
    <w:rsid w:val="00B40A2E"/>
    <w:rsid w:val="00B53860"/>
    <w:rsid w:val="00BA6F58"/>
    <w:rsid w:val="00C01ADC"/>
    <w:rsid w:val="00C11B99"/>
    <w:rsid w:val="00C165EC"/>
    <w:rsid w:val="00C17A1B"/>
    <w:rsid w:val="00C603D3"/>
    <w:rsid w:val="00C7157D"/>
    <w:rsid w:val="00C8560E"/>
    <w:rsid w:val="00C9033A"/>
    <w:rsid w:val="00C941FA"/>
    <w:rsid w:val="00CA6DE8"/>
    <w:rsid w:val="00CA7AF4"/>
    <w:rsid w:val="00CB333C"/>
    <w:rsid w:val="00CC0457"/>
    <w:rsid w:val="00CE5C19"/>
    <w:rsid w:val="00CE5E37"/>
    <w:rsid w:val="00D00FB5"/>
    <w:rsid w:val="00D03976"/>
    <w:rsid w:val="00D064A4"/>
    <w:rsid w:val="00D139B8"/>
    <w:rsid w:val="00D32053"/>
    <w:rsid w:val="00D36826"/>
    <w:rsid w:val="00D52A1A"/>
    <w:rsid w:val="00D65AA7"/>
    <w:rsid w:val="00D65DAA"/>
    <w:rsid w:val="00DB3F45"/>
    <w:rsid w:val="00DC34CF"/>
    <w:rsid w:val="00DD2755"/>
    <w:rsid w:val="00DE3672"/>
    <w:rsid w:val="00DF34BE"/>
    <w:rsid w:val="00E0763E"/>
    <w:rsid w:val="00E10849"/>
    <w:rsid w:val="00E261C7"/>
    <w:rsid w:val="00E26BBA"/>
    <w:rsid w:val="00E31664"/>
    <w:rsid w:val="00E3264D"/>
    <w:rsid w:val="00E56C04"/>
    <w:rsid w:val="00E83489"/>
    <w:rsid w:val="00E8726E"/>
    <w:rsid w:val="00EB012D"/>
    <w:rsid w:val="00EB2111"/>
    <w:rsid w:val="00EB4543"/>
    <w:rsid w:val="00EB6AC6"/>
    <w:rsid w:val="00ED704C"/>
    <w:rsid w:val="00EE701A"/>
    <w:rsid w:val="00F1156D"/>
    <w:rsid w:val="00F438A6"/>
    <w:rsid w:val="00F45237"/>
    <w:rsid w:val="00F62ABD"/>
    <w:rsid w:val="00F71981"/>
    <w:rsid w:val="00F7552A"/>
    <w:rsid w:val="00F85652"/>
    <w:rsid w:val="00FC7586"/>
    <w:rsid w:val="00FE07D9"/>
    <w:rsid w:val="00FF6460"/>
    <w:rsid w:val="21BC3D61"/>
    <w:rsid w:val="22903B9B"/>
    <w:rsid w:val="3BD0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5764"/>
  <w15:docId w15:val="{F83BB385-7BCB-4DD8-9D09-DDB8C49A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AF43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Pr>
      <w:sz w:val="20"/>
      <w:szCs w:val="20"/>
    </w:rPr>
  </w:style>
  <w:style w:type="character" w:customStyle="1" w:styleId="Hipervnculo1">
    <w:name w:val="Hipervínculo1"/>
    <w:basedOn w:val="Fuentedeprrafopredeter"/>
    <w:uiPriority w:val="99"/>
    <w:unhideWhenUsed/>
    <w:qFormat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F43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37C5199-E543-431C-8776-CEE05397A3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Rivera Rivas</dc:creator>
  <cp:lastModifiedBy>Andrea Daniela Flores Chacon</cp:lastModifiedBy>
  <cp:revision>2</cp:revision>
  <cp:lastPrinted>2025-01-29T19:44:00Z</cp:lastPrinted>
  <dcterms:created xsi:type="dcterms:W3CDTF">2025-09-22T20:06:00Z</dcterms:created>
  <dcterms:modified xsi:type="dcterms:W3CDTF">2025-09-22T20:06:00Z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21221D52C9C844DB9D47AD43AD12F789_13</vt:lpwstr>
  </property>
</Properties>
</file>