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857CD" w14:textId="384BF385" w:rsidR="00A1194B" w:rsidRDefault="00A1194B" w:rsidP="00A1194B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 w:rsidRPr="00A1194B">
        <w:rPr>
          <w:rFonts w:ascii="Montserrat" w:eastAsia="Montserrat" w:hAnsi="Montserrat" w:cs="Montserrat"/>
          <w:b/>
          <w:bCs/>
          <w:sz w:val="28"/>
          <w:szCs w:val="28"/>
        </w:rPr>
        <w:t>Ley Anti-Dato Protegido</w:t>
      </w:r>
    </w:p>
    <w:p w14:paraId="00000001" w14:textId="7CDC7097" w:rsidR="00133D74" w:rsidRDefault="00CE1E1C">
      <w:pPr>
        <w:spacing w:before="240" w:after="240" w:line="36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H. CONGRESO DEL ESTADO DE CHIHUAHUA</w:t>
      </w:r>
    </w:p>
    <w:p w14:paraId="00000003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 R E S E N T E.-</w:t>
      </w:r>
    </w:p>
    <w:p w14:paraId="00000004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FRANCISCO ADRIÁN SÁNCHEZ VILLEGAS</w:t>
      </w:r>
      <w:r>
        <w:rPr>
          <w:rFonts w:ascii="Montserrat" w:eastAsia="Montserrat" w:hAnsi="Montserrat" w:cs="Montserrat"/>
          <w:sz w:val="28"/>
          <w:szCs w:val="28"/>
        </w:rPr>
        <w:t>, en mi carácter de integrante de la Fracción Parlamentaria de Movimiento Ciudadano de la Sexagésima Octava Legislatura y con fundamento en lo dispuesto en los artículos 71, fracción III de la Constitución Política de los Estados Unidos Mexicanos, 167, fracción I y 170 de la Ley Orgánica del Poder Legislativo del Estado de Chihuahua, así como en los artículos 75 y 76 del Reglamento Interior y de Prácticas Parlamentarias del Poder Legislativo, comparezco ante esta Honorable Representación Popular para presentar una iniciativa con carácter de Decreto, con el fin de reformar la Ley General de Instituciones y Procedimientos Electorales. Esto de conformidad con lo siguiente:</w:t>
      </w:r>
    </w:p>
    <w:p w14:paraId="00000005" w14:textId="77777777" w:rsidR="00133D74" w:rsidRDefault="00CE1E1C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EXPOSICIÓN DE MOTIVOS</w:t>
      </w:r>
    </w:p>
    <w:p w14:paraId="03EDE1D9" w14:textId="77777777" w:rsidR="00A1194B" w:rsidRPr="00A1194B" w:rsidRDefault="00CE1E1C" w:rsidP="00A1194B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>
        <w:rPr>
          <w:rFonts w:ascii="Montserrat" w:eastAsia="Montserrat" w:hAnsi="Montserrat" w:cs="Montserrat"/>
          <w:b/>
          <w:sz w:val="28"/>
          <w:szCs w:val="28"/>
        </w:rPr>
        <w:t>I.</w:t>
      </w:r>
      <w:r>
        <w:rPr>
          <w:rFonts w:ascii="Montserrat" w:eastAsia="Montserrat" w:hAnsi="Montserrat" w:cs="Montserrat"/>
          <w:sz w:val="28"/>
          <w:szCs w:val="28"/>
        </w:rPr>
        <w:t xml:space="preserve">  </w:t>
      </w:r>
      <w:r w:rsidR="00A1194B" w:rsidRPr="00A1194B">
        <w:rPr>
          <w:rFonts w:ascii="Montserrat" w:eastAsia="Montserrat" w:hAnsi="Montserrat" w:cs="Montserrat"/>
          <w:sz w:val="28"/>
          <w:szCs w:val="28"/>
          <w:lang w:val="es-MX"/>
        </w:rPr>
        <w:t>Obligar a una ciudadana a pedir disculpas por emitir su opinión es lo más execrable, indigno y denigrante que puede hacer un político sobre los ciudadanos.</w:t>
      </w:r>
    </w:p>
    <w:p w14:paraId="00000006" w14:textId="7AAA0854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La libertad de expresión es la piedra angular de toda sociedad democrática. Sin ella, el intercambio de ideas, la fiscalización </w:t>
      </w:r>
      <w:r>
        <w:rPr>
          <w:rFonts w:ascii="Montserrat" w:eastAsia="Montserrat" w:hAnsi="Montserrat" w:cs="Montserrat"/>
          <w:sz w:val="28"/>
          <w:szCs w:val="28"/>
        </w:rPr>
        <w:lastRenderedPageBreak/>
        <w:t>ciudadana y el debate político se ven sofocados, debilitando el sistema representativo y el pluralismo que dan vida a la democracia.</w:t>
      </w:r>
    </w:p>
    <w:p w14:paraId="00000007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Nuestra Constitución, en sus artículos 6º y 7º, reconoce este derecho como fundamental y lo vincula directamente con la deliberación pública. </w:t>
      </w:r>
    </w:p>
    <w:p w14:paraId="00000008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II.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Por su parte, en el marco internacional, en particular la Convención Americana sobre Derechos Humanos en su artículo 13 protege la libertad de pensamiento y expresión. Asimismo, La Corte Interamericana de Derechos Humanos ha interpretado que esta libertad no es solo un derecho individual, sino también un derecho colectivo. </w:t>
      </w:r>
    </w:p>
    <w:p w14:paraId="00000009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La Corte ha reiterado este principio en múltiples sentencias, como en el Caso Herrera Ulloa vs. Costa Rica</w:t>
      </w:r>
      <w:r>
        <w:rPr>
          <w:rFonts w:ascii="Montserrat" w:eastAsia="Montserrat" w:hAnsi="Montserrat" w:cs="Montserrat"/>
          <w:sz w:val="28"/>
          <w:szCs w:val="28"/>
          <w:vertAlign w:val="superscript"/>
        </w:rPr>
        <w:footnoteReference w:id="1"/>
      </w:r>
      <w:r>
        <w:rPr>
          <w:rFonts w:ascii="Montserrat" w:eastAsia="Montserrat" w:hAnsi="Montserrat" w:cs="Montserrat"/>
          <w:sz w:val="28"/>
          <w:szCs w:val="28"/>
        </w:rPr>
        <w:t>, y ha señalado que ambas dimensiones son de igual importancia y deben ser garantizadas simultáneamente. Esto implica que las restricciones a la libertad de expresión no solo afectan a la persona que quiere hablar, sino que también impactan a toda la sociedad, al limitar su acceso a la información y al debate público.</w:t>
      </w:r>
    </w:p>
    <w:p w14:paraId="0000000A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Para que una sociedad democrática funcione, es imperativo que los ciudadanos puedan debatir, criticar y formar opiniones </w:t>
      </w:r>
      <w:r>
        <w:rPr>
          <w:rFonts w:ascii="Montserrat" w:eastAsia="Montserrat" w:hAnsi="Montserrat" w:cs="Montserrat"/>
          <w:color w:val="000000"/>
          <w:sz w:val="28"/>
          <w:szCs w:val="28"/>
        </w:rPr>
        <w:lastRenderedPageBreak/>
        <w:t>sobre asuntos de interés público, incluyendo la gestión gubernamental.</w:t>
      </w:r>
    </w:p>
    <w:p w14:paraId="0000000B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III.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Sin embargo, la realidad demuestra que este principio no siempre se respeta, tal y como fue evidenciado en la sentencia emitida por la Sala Especializada del Tribunal Electoral del Poder Judicial de la Federación, en el expediente SRE-PSC-94/2024</w:t>
      </w:r>
      <w:r>
        <w:rPr>
          <w:rFonts w:ascii="Montserrat" w:eastAsia="Montserrat" w:hAnsi="Montserrat" w:cs="Montserrat"/>
          <w:color w:val="000000"/>
          <w:sz w:val="28"/>
          <w:szCs w:val="28"/>
          <w:vertAlign w:val="superscript"/>
        </w:rPr>
        <w:footnoteReference w:id="2"/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donde se expuso una tensión entre la sanción por violencia política en razón de género y la crítica legítima sobre la actuación de personajes públicos. </w:t>
      </w:r>
    </w:p>
    <w:p w14:paraId="0000000C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>En dicha sentencia, se determinó imponer una sanción a la opinión expresada en redes sociales, de la ciudadana Karla María Estrella Murrieta, bajo los argumentos de violencia política y calumnia, aun cuando la intención manifiesta era realizar una crítica al ejercicio del poder y a las prácticas partidistas.</w:t>
      </w:r>
    </w:p>
    <w:p w14:paraId="0000000D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IV.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De lo anterior, es de resaltar cómo una opinión ciudadana expresada en redes sociales fue perseguida jurídicamente bajo los argumentos de violencia política y calumnia, aun cuando la intención manifiesta era realizar una crítica al ejercicio del poder y a las prácticas partidistas. </w:t>
      </w:r>
    </w:p>
    <w:p w14:paraId="0000000E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>Este tipo de procedimientos, lejos de garantizar derechos, corren el riesgo de convertirse en mecanismos de censura</w:t>
      </w:r>
      <w:r>
        <w:rPr>
          <w:rFonts w:ascii="Montserrat" w:eastAsia="Montserrat" w:hAnsi="Montserrat" w:cs="Montserrat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sz w:val="28"/>
          <w:szCs w:val="28"/>
        </w:rPr>
        <w:lastRenderedPageBreak/>
        <w:t>ciudadana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inhibiendo la libre </w:t>
      </w:r>
      <w:r>
        <w:rPr>
          <w:rFonts w:ascii="Montserrat" w:eastAsia="Montserrat" w:hAnsi="Montserrat" w:cs="Montserrat"/>
          <w:sz w:val="28"/>
          <w:szCs w:val="28"/>
        </w:rPr>
        <w:t>participación de la ciudadanía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en los asuntos públicos.</w:t>
      </w:r>
    </w:p>
    <w:p w14:paraId="6D9A12B5" w14:textId="4B67FBB0" w:rsidR="00A1194B" w:rsidRDefault="00A1194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 w:rsidRPr="00A1194B">
        <w:rPr>
          <w:rFonts w:ascii="Montserrat" w:eastAsia="Montserrat" w:hAnsi="Montserrat" w:cs="Montserrat"/>
          <w:color w:val="000000"/>
          <w:sz w:val="28"/>
          <w:szCs w:val="28"/>
        </w:rPr>
        <w:t>En este caso una diputada ha establecido un precedente ominoso y antidemocrático propio de las más detestables dictaduras a las que este régimen centralista tanto busca emular.</w:t>
      </w:r>
    </w:p>
    <w:p w14:paraId="0000000F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V.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En ese sentido, si bien, es innegable la necesidad de combatir toda forma de violencia simbólica, psicológica, digital, es e</w:t>
      </w:r>
      <w:r>
        <w:rPr>
          <w:rFonts w:ascii="Montserrat" w:eastAsia="Montserrat" w:hAnsi="Montserrat" w:cs="Montserrat"/>
          <w:sz w:val="28"/>
          <w:szCs w:val="28"/>
        </w:rPr>
        <w:t xml:space="preserve">strictamente necesario proteger la libertad de expresión, manifestada mediante 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el </w:t>
      </w: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debate político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.</w:t>
      </w:r>
    </w:p>
    <w:p w14:paraId="00000010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No obstante, en México, la aplicación de sanciones automáticas —como multas, inscripción en registros sancionadores y eliminación de publicaciones— puede generar un efecto inhibidor que debilite el debate democrático, </w:t>
      </w:r>
      <w:r>
        <w:rPr>
          <w:rFonts w:ascii="Montserrat" w:eastAsia="Montserrat" w:hAnsi="Montserrat" w:cs="Montserrat"/>
          <w:sz w:val="28"/>
          <w:szCs w:val="28"/>
        </w:rPr>
        <w:t>dando la impresión que el sujeto obligado de la norma electoral es el ciudadano y no los partidos políticos y candidatos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. </w:t>
      </w:r>
    </w:p>
    <w:p w14:paraId="7AF0A0C6" w14:textId="77777777" w:rsid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color w:val="000000"/>
          <w:sz w:val="28"/>
          <w:szCs w:val="28"/>
          <w:lang w:val="es-MX"/>
        </w:rPr>
        <w:t>Corrompiendo todos los valores republicanos, todos los derechos consagrados en garantías individuales, que tanto nos han costado.</w:t>
      </w:r>
    </w:p>
    <w:p w14:paraId="1772D2E4" w14:textId="77777777" w:rsidR="00A1194B" w:rsidRDefault="00A1194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 w:rsidRPr="00A1194B">
        <w:rPr>
          <w:rFonts w:ascii="Montserrat" w:eastAsia="Montserrat" w:hAnsi="Montserrat" w:cs="Montserrat"/>
          <w:color w:val="000000"/>
          <w:sz w:val="28"/>
          <w:szCs w:val="28"/>
        </w:rPr>
        <w:t>Y que hoy se nos disuelven entre las manos.</w:t>
      </w:r>
    </w:p>
    <w:p w14:paraId="00000011" w14:textId="1DAD2BB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lastRenderedPageBreak/>
        <w:t xml:space="preserve">Esto, se ha traducido en sanciones excesivas, tal y como se aprecia en el caso señalado, </w:t>
      </w:r>
      <w:proofErr w:type="gramStart"/>
      <w:r>
        <w:rPr>
          <w:rFonts w:ascii="Montserrat" w:eastAsia="Montserrat" w:hAnsi="Montserrat" w:cs="Montserrat"/>
          <w:sz w:val="28"/>
          <w:szCs w:val="28"/>
        </w:rPr>
        <w:t>manifestándose  en</w:t>
      </w:r>
      <w:proofErr w:type="gramEnd"/>
      <w:r>
        <w:rPr>
          <w:rFonts w:ascii="Montserrat" w:eastAsia="Montserrat" w:hAnsi="Montserrat" w:cs="Montserrat"/>
          <w:sz w:val="28"/>
          <w:szCs w:val="28"/>
        </w:rPr>
        <w:t xml:space="preserve"> la eliminación de contenido digital o la imposición de mensajes obligatorios, que restringen la libertad de expresión de la ciudadanía en general.</w:t>
      </w:r>
    </w:p>
    <w:p w14:paraId="3A376D5B" w14:textId="1D6B9FAF" w:rsidR="00A1194B" w:rsidRDefault="00A1194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 w:rsidRPr="00A1194B">
        <w:rPr>
          <w:rFonts w:ascii="Montserrat" w:eastAsia="Montserrat" w:hAnsi="Montserrat" w:cs="Montserrat"/>
          <w:sz w:val="28"/>
          <w:szCs w:val="28"/>
        </w:rPr>
        <w:t>Cobardes aquellos que obligan al pueblo a disculparse, cobardes y déspotas los que obligan usando las instituciones que están para servir y proteger a los ciudadanos como instrumentos de Santa inquisición.</w:t>
      </w:r>
    </w:p>
    <w:p w14:paraId="00000012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VI.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Por ello, con esta reforma se propone </w:t>
      </w:r>
      <w:r>
        <w:rPr>
          <w:rFonts w:ascii="Montserrat" w:eastAsia="Montserrat" w:hAnsi="Montserrat" w:cs="Montserrat"/>
          <w:sz w:val="28"/>
          <w:szCs w:val="28"/>
        </w:rPr>
        <w:t xml:space="preserve">como principal objetivo 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fortalecer la libertad de expresión en el debate político y electoral, la cual debe gozar de una protección reforzada por ser esencial para la democracia, evitando sanciones inhibidoras, que dejen al ciudadano en estado de vulnerabilidad</w:t>
      </w:r>
      <w:r>
        <w:rPr>
          <w:rFonts w:ascii="Montserrat" w:eastAsia="Montserrat" w:hAnsi="Montserrat" w:cs="Montserrat"/>
          <w:sz w:val="28"/>
          <w:szCs w:val="28"/>
        </w:rPr>
        <w:t xml:space="preserve"> frente a los partidos políticos y candidatos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.</w:t>
      </w:r>
    </w:p>
    <w:p w14:paraId="25C8A7F6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Porque cuando a nosotros los políticos se nos critica basta un contraargumento y el hecho mismo para desmentir toda tesis, pero sino es posible la crítica y el insulto mantienen la firmeza de la congruencia pues habrá que mejorar para evitar señalamientos.</w:t>
      </w:r>
    </w:p>
    <w:p w14:paraId="00000013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VIII.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Para lo cual, se plantean incorporar expresamente la obligación de proteger la libertad de expresión</w:t>
      </w:r>
      <w:r>
        <w:rPr>
          <w:rFonts w:ascii="Montserrat" w:eastAsia="Montserrat" w:hAnsi="Montserrat" w:cs="Montserrat"/>
          <w:sz w:val="28"/>
          <w:szCs w:val="28"/>
        </w:rPr>
        <w:t xml:space="preserve"> en relación a partidos políticos y candidatos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evitando que </w:t>
      </w:r>
      <w:r>
        <w:rPr>
          <w:rFonts w:ascii="Montserrat" w:eastAsia="Montserrat" w:hAnsi="Montserrat" w:cs="Montserrat"/>
          <w:sz w:val="28"/>
          <w:szCs w:val="28"/>
        </w:rPr>
        <w:t xml:space="preserve">algún 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derecho se </w:t>
      </w:r>
      <w:r>
        <w:rPr>
          <w:rFonts w:ascii="Montserrat" w:eastAsia="Montserrat" w:hAnsi="Montserrat" w:cs="Montserrat"/>
          <w:color w:val="000000"/>
          <w:sz w:val="28"/>
          <w:szCs w:val="28"/>
        </w:rPr>
        <w:lastRenderedPageBreak/>
        <w:t xml:space="preserve">utilice como excusa para vulnerar el otro, asimismo, </w:t>
      </w:r>
      <w:r>
        <w:rPr>
          <w:rFonts w:ascii="Montserrat" w:eastAsia="Montserrat" w:hAnsi="Montserrat" w:cs="Montserrat"/>
          <w:b/>
          <w:sz w:val="28"/>
          <w:szCs w:val="28"/>
        </w:rPr>
        <w:t>la reforma busca evitar censura en el ámbito digital</w:t>
      </w:r>
      <w:r>
        <w:rPr>
          <w:rFonts w:ascii="Montserrat" w:eastAsia="Montserrat" w:hAnsi="Montserrat" w:cs="Montserrat"/>
          <w:sz w:val="28"/>
          <w:szCs w:val="28"/>
        </w:rPr>
        <w:t xml:space="preserve">, 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establec</w:t>
      </w:r>
      <w:r>
        <w:rPr>
          <w:rFonts w:ascii="Montserrat" w:eastAsia="Montserrat" w:hAnsi="Montserrat" w:cs="Montserrat"/>
          <w:sz w:val="28"/>
          <w:szCs w:val="28"/>
        </w:rPr>
        <w:t>iendo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criterios de proporcionalidad en los casos de violencia política digital, privilegiando sanciones de carácter restaurativo y reservando medidas más restrictivas (como el retiro de contenido o mensajes obligatorios). </w:t>
      </w:r>
    </w:p>
    <w:p w14:paraId="00000014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Se ordena, aplicar siempre un test de proporcionalidad antes de restringir la expresión, privilegiando medidas alternativas como el derecho de réplica, </w:t>
      </w:r>
      <w:proofErr w:type="spellStart"/>
      <w:r>
        <w:rPr>
          <w:rFonts w:ascii="Montserrat" w:eastAsia="Montserrat" w:hAnsi="Montserrat" w:cs="Montserrat"/>
          <w:color w:val="000000"/>
          <w:sz w:val="28"/>
          <w:szCs w:val="28"/>
        </w:rPr>
        <w:t>contramensajes</w:t>
      </w:r>
      <w:proofErr w:type="spellEnd"/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o aclaraciones institucionales. Esta disposición protege la libertad de expresión, asegurando que las restricciones sean el último recurso.</w:t>
      </w:r>
    </w:p>
    <w:p w14:paraId="00000015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IX.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Se clarifica que la crítica política legítima sobre trayectoria, ideología o desempeño no constituye violencia política, Asimismo, se enfatiza que las sanciones no deben desalentar la participación ciudadana, en especial de quienes no ejercen cargos públicos.</w:t>
      </w:r>
    </w:p>
    <w:p w14:paraId="0276BA96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color w:val="000000"/>
          <w:sz w:val="28"/>
          <w:szCs w:val="28"/>
          <w:lang w:val="es-MX"/>
        </w:rPr>
        <w:t>Nosotros nos debemos a los ciudadanos, son nuestros empleadores, que en el puesto no crezca una hiedra de soberbia y prepotencia porque estamos viendo que hay regímenes que hartan a la gente y les queman los palacios, la historia pasada y reciente está llena de ejemplos.</w:t>
      </w:r>
    </w:p>
    <w:p w14:paraId="00000016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lastRenderedPageBreak/>
        <w:t xml:space="preserve">Asimismo, se mandata al </w:t>
      </w:r>
      <w:r>
        <w:rPr>
          <w:rFonts w:ascii="Montserrat" w:eastAsia="Montserrat" w:hAnsi="Montserrat" w:cs="Montserrat"/>
          <w:sz w:val="28"/>
          <w:szCs w:val="28"/>
        </w:rPr>
        <w:t>Instituto Nacional Electoral deberá diseñar campañas públicas a fin de garantizar el ejercicio pleno de la libertad de expresión, aclarando a la ciudadanía que el ejercicio de la crítica política es legítimo, siempre y cuando no se incurra en delitos o acciones graves de cualquier tipo de violencia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</w:t>
      </w:r>
    </w:p>
    <w:p w14:paraId="00000017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Lo anterior c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on el objetivo de empoderar a la ciudadanía, garantiza</w:t>
      </w:r>
      <w:r>
        <w:rPr>
          <w:rFonts w:ascii="Montserrat" w:eastAsia="Montserrat" w:hAnsi="Montserrat" w:cs="Montserrat"/>
          <w:sz w:val="28"/>
          <w:szCs w:val="28"/>
        </w:rPr>
        <w:t>ndo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un debate democrático vigoroso</w:t>
      </w:r>
      <w:r>
        <w:rPr>
          <w:rFonts w:ascii="Montserrat" w:eastAsia="Montserrat" w:hAnsi="Montserrat" w:cs="Montserrat"/>
          <w:sz w:val="28"/>
          <w:szCs w:val="28"/>
        </w:rPr>
        <w:t xml:space="preserve"> y sin sesgos y temores de censura</w:t>
      </w:r>
      <w:r>
        <w:rPr>
          <w:rFonts w:ascii="Montserrat" w:eastAsia="Montserrat" w:hAnsi="Montserrat" w:cs="Montserrat"/>
          <w:color w:val="000000"/>
          <w:sz w:val="28"/>
          <w:szCs w:val="28"/>
        </w:rPr>
        <w:t>.</w:t>
      </w:r>
    </w:p>
    <w:p w14:paraId="6E4E4BA0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color w:val="000000"/>
          <w:sz w:val="28"/>
          <w:szCs w:val="28"/>
          <w:lang w:val="es-MX"/>
        </w:rPr>
        <w:t>Creo en la libertad de expresión, como cimiento sólido de una democracia saludable, veo con repudio y desdén que este régimen este obligando a ciudadanos que ejercen la crítica a utilizar las instituciones e infraestructura del estado para obligar a ciudadanos a someterlos.</w:t>
      </w:r>
    </w:p>
    <w:p w14:paraId="00000018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X.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Con esta reforma se busca consolidar un marco normativo equilibrado que permita al </w:t>
      </w:r>
      <w:r>
        <w:rPr>
          <w:rFonts w:ascii="Montserrat" w:eastAsia="Montserrat" w:hAnsi="Montserrat" w:cs="Montserrat"/>
          <w:sz w:val="28"/>
          <w:szCs w:val="28"/>
        </w:rPr>
        <w:t>ciudadano el ejercicio de su libertad de expresión sin condicionamientos legales a favor de autores políticos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. </w:t>
      </w:r>
    </w:p>
    <w:p w14:paraId="00000019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El objetivo último es garantizar que la participación política como un ejercicio de la libertad de expresión, se dé en condiciones de igualdad, libre de </w:t>
      </w:r>
      <w:r>
        <w:rPr>
          <w:rFonts w:ascii="Montserrat" w:eastAsia="Montserrat" w:hAnsi="Montserrat" w:cs="Montserrat"/>
          <w:sz w:val="28"/>
          <w:szCs w:val="28"/>
        </w:rPr>
        <w:t>abusos arbitrarios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y que al mismo tiempo se preserve un debate electoral robusto, plural </w:t>
      </w:r>
      <w:r>
        <w:rPr>
          <w:rFonts w:ascii="Montserrat" w:eastAsia="Montserrat" w:hAnsi="Montserrat" w:cs="Montserrat"/>
          <w:color w:val="000000"/>
          <w:sz w:val="28"/>
          <w:szCs w:val="28"/>
        </w:rPr>
        <w:lastRenderedPageBreak/>
        <w:t>y crítico, indispensable para el fortalecimiento de la democracia mexicana.</w:t>
      </w:r>
    </w:p>
    <w:p w14:paraId="0000001A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En resumen, la reforma busca proteger la crítica legítima, promover medidas restaurativas y no censuradoras, y educar a la ciudadanía afecto de que sin temores ejerzan un debate político, sin sesgos, ni temores a posibles sanciones, esta reforma se asegura que la libertad de expresión se mantenga como un pilar del debate político.</w:t>
      </w:r>
    </w:p>
    <w:p w14:paraId="2BC7CC67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No están solos cuentan conmigo, vamos a vencerlos, basta de dictadura del pensamiento, de censurar al pueblo.</w:t>
      </w:r>
    </w:p>
    <w:p w14:paraId="39DA073D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Soy el primer servidor de los chihuahuenses y de cada mexicano de bien y que se la rifa ejerciendo la crítica porque para eso estamos los políticos para ser criticados y exigidos por los ciudadanos.</w:t>
      </w:r>
    </w:p>
    <w:p w14:paraId="526ED2CB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Es por eso nunca más un ciudadano acallado por el poder político, nunca más un periodista acosado por gobernadores, políticos y presidentes.</w:t>
      </w:r>
    </w:p>
    <w:p w14:paraId="1CCD4EB0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Soy Francisco Sánchez y peleó del lado de ustedes de manera incondicional.</w:t>
      </w:r>
    </w:p>
    <w:p w14:paraId="2636ACB4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 xml:space="preserve">La libertad de expresión está por encima de cualquier partido y político por eso lanzó la ley </w:t>
      </w:r>
      <w:proofErr w:type="spellStart"/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anti-dato</w:t>
      </w:r>
      <w:proofErr w:type="spellEnd"/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 xml:space="preserve"> protegido.</w:t>
      </w:r>
    </w:p>
    <w:p w14:paraId="0E352C52" w14:textId="77777777" w:rsidR="00A1194B" w:rsidRPr="00A1194B" w:rsidRDefault="00A1194B" w:rsidP="00A1194B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  <w:lang w:val="es-MX"/>
        </w:rPr>
      </w:pPr>
      <w:r w:rsidRPr="00A1194B">
        <w:rPr>
          <w:rFonts w:ascii="Montserrat" w:eastAsia="Montserrat" w:hAnsi="Montserrat" w:cs="Montserrat"/>
          <w:sz w:val="28"/>
          <w:szCs w:val="28"/>
          <w:lang w:val="es-MX"/>
        </w:rPr>
        <w:t>Para que solo los que están del lado del pueblo la voten a favor.</w:t>
      </w:r>
    </w:p>
    <w:p w14:paraId="0000001B" w14:textId="77777777" w:rsidR="00133D74" w:rsidRDefault="00133D7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</w:p>
    <w:p w14:paraId="0000001C" w14:textId="77777777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b/>
          <w:sz w:val="28"/>
          <w:szCs w:val="28"/>
        </w:rPr>
        <w:t>DECRETO</w:t>
      </w:r>
    </w:p>
    <w:p w14:paraId="0000001D" w14:textId="07CCF4CB" w:rsidR="00133D74" w:rsidRDefault="00CE1E1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Montserrat" w:eastAsia="Montserrat" w:hAnsi="Montserrat" w:cs="Montserrat"/>
          <w:color w:val="000000"/>
          <w:sz w:val="28"/>
          <w:szCs w:val="28"/>
        </w:rPr>
      </w:pP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Único. -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Se reforman el </w:t>
      </w:r>
      <w:r>
        <w:rPr>
          <w:rFonts w:ascii="Montserrat" w:eastAsia="Montserrat" w:hAnsi="Montserrat" w:cs="Montserrat"/>
          <w:sz w:val="28"/>
          <w:szCs w:val="28"/>
        </w:rPr>
        <w:t>primer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 párrafo del artículo 6; se adiciona un último párrafo a los artículos 456 y 477; y se adicionan los artículos 477 Bis y 477 Ter de la </w:t>
      </w:r>
      <w:r>
        <w:rPr>
          <w:rFonts w:ascii="Montserrat" w:eastAsia="Montserrat" w:hAnsi="Montserrat" w:cs="Montserrat"/>
          <w:b/>
          <w:color w:val="000000"/>
          <w:sz w:val="28"/>
          <w:szCs w:val="28"/>
        </w:rPr>
        <w:t>Ley General de Instituciones y Procedimientos Electorales</w:t>
      </w:r>
      <w:r>
        <w:rPr>
          <w:rFonts w:ascii="Montserrat" w:eastAsia="Montserrat" w:hAnsi="Montserrat" w:cs="Montserrat"/>
          <w:color w:val="000000"/>
          <w:sz w:val="28"/>
          <w:szCs w:val="28"/>
        </w:rPr>
        <w:t xml:space="preserve">, para quedar como sigue: </w:t>
      </w:r>
    </w:p>
    <w:p w14:paraId="0000001E" w14:textId="77777777" w:rsidR="00133D74" w:rsidRDefault="00CE1E1C">
      <w:pPr>
        <w:spacing w:before="280" w:after="280" w:line="36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Artículo 6. </w:t>
      </w:r>
    </w:p>
    <w:p w14:paraId="0000001F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1.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sz w:val="28"/>
          <w:szCs w:val="28"/>
        </w:rPr>
        <w:t>La promoción de la participación ciudadana para el ejercicio del derecho al sufragio corresponde al Instituto, a los Organismos Públicos Locales, a los partidos políticos y sus candidatos. El Instituto emitirá las reglas a las que se sujetarán las campañas de promoción del voto que realicen otras organizaciones.</w:t>
      </w:r>
    </w:p>
    <w:p w14:paraId="00000020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El Instituto deberá garantizar el ejercicio pleno de la libertad de expresión del ciudadano en la vida democrática nacional; para el ejercicio de este derecho no se podrá limitar la crítica legítima a instituciones y actores políticos.</w:t>
      </w:r>
    </w:p>
    <w:p w14:paraId="00000021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2.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</w:t>
      </w:r>
      <w:r>
        <w:rPr>
          <w:rFonts w:ascii="Montserrat" w:eastAsia="Montserrat" w:hAnsi="Montserrat" w:cs="Montserrat"/>
          <w:sz w:val="28"/>
          <w:szCs w:val="28"/>
        </w:rPr>
        <w:t xml:space="preserve">El Instituto, los Organismos Públicos Locales, los partidos políticos, personas precandidatas y candidatas, deberán garantizar el principio de paridad de género en el ejercicio de </w:t>
      </w:r>
      <w:r>
        <w:rPr>
          <w:rFonts w:ascii="Montserrat" w:eastAsia="Montserrat" w:hAnsi="Montserrat" w:cs="Montserrat"/>
          <w:sz w:val="28"/>
          <w:szCs w:val="28"/>
        </w:rPr>
        <w:lastRenderedPageBreak/>
        <w:t xml:space="preserve">los derechos políticos y electorales, así como el respeto a los derechos humanos de las mujeres. </w:t>
      </w:r>
    </w:p>
    <w:p w14:paraId="00000022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3. El Instituto, en el ámbito de sus atribuciones, dispondrá lo necesario para asegurar el cumplimiento de las normas antes establecidas y de las demás dispuestas en esta Ley.</w:t>
      </w:r>
    </w:p>
    <w:p w14:paraId="00000023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Artículo 456.</w:t>
      </w:r>
      <w:r>
        <w:rPr>
          <w:rFonts w:ascii="Montserrat" w:eastAsia="Montserrat" w:hAnsi="Montserrat" w:cs="Montserrat"/>
          <w:sz w:val="28"/>
          <w:szCs w:val="28"/>
        </w:rPr>
        <w:t xml:space="preserve"> Las infracciones señaladas en los artículos anteriores serán sancionadas conforme a lo siguiente:</w:t>
      </w:r>
    </w:p>
    <w:p w14:paraId="00000024" w14:textId="77777777" w:rsidR="00133D74" w:rsidRDefault="00CE1E1C">
      <w:pPr>
        <w:spacing w:before="280" w:after="280" w:line="360" w:lineRule="auto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(…)</w:t>
      </w:r>
    </w:p>
    <w:p w14:paraId="00000025" w14:textId="3D683F2B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En casos de violencia política digital, las sanciones deberán ser restaurativas. </w:t>
      </w:r>
      <w:r w:rsidR="00CF0925">
        <w:rPr>
          <w:rFonts w:ascii="Montserrat" w:eastAsia="Montserrat" w:hAnsi="Montserrat" w:cs="Montserrat"/>
          <w:b/>
          <w:sz w:val="28"/>
          <w:szCs w:val="28"/>
        </w:rPr>
        <w:t>El retiro de contenidos sólo procederá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en casos graves y mediante resolución debidamente motivada.</w:t>
      </w:r>
    </w:p>
    <w:p w14:paraId="00000026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Artículo 477.</w:t>
      </w:r>
      <w:r>
        <w:rPr>
          <w:rFonts w:ascii="Montserrat" w:eastAsia="Montserrat" w:hAnsi="Montserrat" w:cs="Montserrat"/>
          <w:sz w:val="28"/>
          <w:szCs w:val="28"/>
        </w:rPr>
        <w:t xml:space="preserve"> Las sentencias que resuelvan el procedimiento especial sancionador podrán tener los efectos siguientes:</w:t>
      </w:r>
    </w:p>
    <w:p w14:paraId="00000027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 xml:space="preserve">a) Declarar la inexistencia de la violación objeto de la queja o denuncia y, en su caso, revocar las medidas cautelares que se hubieren impuesto, o </w:t>
      </w:r>
    </w:p>
    <w:p w14:paraId="00000028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t>b) Imponer las sanciones que resulten procedentes en términos de lo dispuesto en esta Ley.</w:t>
      </w:r>
    </w:p>
    <w:p w14:paraId="00000029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En el ámbito de violencia política digital, deberá aplicar siempre un test de proporcionalidad antes de restringir la </w:t>
      </w:r>
      <w:r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expresión, privilegiando medidas no restrictivas como réplica, </w:t>
      </w:r>
      <w:proofErr w:type="spellStart"/>
      <w:r>
        <w:rPr>
          <w:rFonts w:ascii="Montserrat" w:eastAsia="Montserrat" w:hAnsi="Montserrat" w:cs="Montserrat"/>
          <w:b/>
          <w:sz w:val="28"/>
          <w:szCs w:val="28"/>
        </w:rPr>
        <w:t>contramensajes</w:t>
      </w:r>
      <w:proofErr w:type="spellEnd"/>
      <w:r>
        <w:rPr>
          <w:rFonts w:ascii="Montserrat" w:eastAsia="Montserrat" w:hAnsi="Montserrat" w:cs="Montserrat"/>
          <w:b/>
          <w:sz w:val="28"/>
          <w:szCs w:val="28"/>
        </w:rPr>
        <w:t xml:space="preserve"> o aclaraciones institucionales.</w:t>
      </w:r>
    </w:p>
    <w:p w14:paraId="0000002A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Artículo 477 Bis. No constituirá violencia política la crítica sobre trayectoria, ideología o desempeño de las personas que participan en la vida política. </w:t>
      </w:r>
    </w:p>
    <w:p w14:paraId="0000002B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Las autoridades electorales deberán evitar sanciones a ciudadanas y ciudadanos sin cargo público, que expresen crítica política legítima.</w:t>
      </w:r>
    </w:p>
    <w:p w14:paraId="0000002C" w14:textId="77777777" w:rsidR="00133D74" w:rsidRDefault="00CE1E1C">
      <w:pPr>
        <w:spacing w:before="280" w:after="28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Artículo 477 Ter. El Instituto Nacional Electoral deberá diseñar campañas públicas a fin de garantizar el ejercicio pleno de la libertad de expresión, aclarando a la ciudadanía que el ejercicio de la crítica política es legítimo, siempre y cuando no se incurra en delitos o acciones graves de cualquier tipo de violencia.</w:t>
      </w:r>
    </w:p>
    <w:p w14:paraId="0000002D" w14:textId="77777777" w:rsidR="00133D74" w:rsidRDefault="00CE1E1C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TRANSITORIOS</w:t>
      </w:r>
    </w:p>
    <w:p w14:paraId="0000002E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Primero. </w:t>
      </w:r>
      <w:r>
        <w:rPr>
          <w:rFonts w:ascii="Montserrat" w:eastAsia="Montserrat" w:hAnsi="Montserrat" w:cs="Montserrat"/>
          <w:sz w:val="28"/>
          <w:szCs w:val="28"/>
        </w:rPr>
        <w:t>El presente Decreto entrará en vigor al día siguiente de su publicación en el Diario Oficial de la Federación.</w:t>
      </w:r>
    </w:p>
    <w:p w14:paraId="0000002F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Segundo. </w:t>
      </w:r>
      <w:r>
        <w:rPr>
          <w:rFonts w:ascii="Montserrat" w:eastAsia="Montserrat" w:hAnsi="Montserrat" w:cs="Montserrat"/>
          <w:sz w:val="28"/>
          <w:szCs w:val="28"/>
        </w:rPr>
        <w:t>El Instituto Nacional Electoral emitirá, en un plazo no mayor a 90 días, lineamientos para la aplicación de estas disposiciones, capacitando a su personal en estándares de libertad de expresión y perspectiva de género.</w:t>
      </w:r>
    </w:p>
    <w:p w14:paraId="00000030" w14:textId="77777777" w:rsidR="00133D74" w:rsidRDefault="00CE1E1C">
      <w:pPr>
        <w:spacing w:before="240" w:after="240" w:line="360" w:lineRule="auto"/>
        <w:jc w:val="both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Tercero.</w:t>
      </w:r>
      <w:r>
        <w:rPr>
          <w:rFonts w:ascii="Montserrat" w:eastAsia="Montserrat" w:hAnsi="Montserrat" w:cs="Montserrat"/>
          <w:sz w:val="28"/>
          <w:szCs w:val="28"/>
        </w:rPr>
        <w:t xml:space="preserve"> Se derogan todas las disposiciones que se opongan al presente Decreto.</w:t>
      </w:r>
    </w:p>
    <w:p w14:paraId="00000031" w14:textId="77777777" w:rsidR="00133D74" w:rsidRDefault="00CE1E1C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sz w:val="28"/>
          <w:szCs w:val="28"/>
        </w:rPr>
        <w:br/>
      </w:r>
      <w:r>
        <w:rPr>
          <w:rFonts w:ascii="Montserrat" w:eastAsia="Montserrat" w:hAnsi="Montserrat" w:cs="Montserrat"/>
          <w:b/>
          <w:sz w:val="28"/>
          <w:szCs w:val="28"/>
        </w:rPr>
        <w:t>ATENTAMENTE</w:t>
      </w:r>
    </w:p>
    <w:p w14:paraId="00000032" w14:textId="77777777" w:rsidR="00133D74" w:rsidRDefault="00CE1E1C">
      <w:pPr>
        <w:spacing w:before="200" w:line="360" w:lineRule="auto"/>
        <w:ind w:left="720"/>
        <w:jc w:val="center"/>
        <w:rPr>
          <w:rFonts w:ascii="Montserrat" w:eastAsia="Montserrat" w:hAnsi="Montserrat" w:cs="Montserrat"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EN CHIHUAHUA, CHIHUAHUA, A 11 DE SEPTIEMBRE DE 2025.</w:t>
      </w:r>
    </w:p>
    <w:p w14:paraId="00000033" w14:textId="77777777" w:rsidR="00133D74" w:rsidRDefault="00CE1E1C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br/>
      </w:r>
    </w:p>
    <w:p w14:paraId="00000034" w14:textId="77777777" w:rsidR="00133D74" w:rsidRDefault="00133D74">
      <w:pPr>
        <w:spacing w:before="240" w:after="240" w:line="36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</w:p>
    <w:p w14:paraId="00000035" w14:textId="77777777" w:rsidR="00133D74" w:rsidRDefault="00CE1E1C">
      <w:pPr>
        <w:spacing w:before="240" w:after="240" w:line="36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8"/>
          <w:szCs w:val="28"/>
        </w:rPr>
        <w:t>FRANCISCO ADRIÁN SÁNCHEZ VILLEGAS</w:t>
      </w:r>
      <w:r>
        <w:rPr>
          <w:rFonts w:ascii="Montserrat" w:eastAsia="Montserrat" w:hAnsi="Montserrat" w:cs="Montserrat"/>
          <w:b/>
          <w:sz w:val="28"/>
          <w:szCs w:val="28"/>
        </w:rPr>
        <w:br/>
        <w:t>DIPUTADO CIUDADANO</w:t>
      </w:r>
      <w:r>
        <w:rPr>
          <w:rFonts w:ascii="Montserrat" w:eastAsia="Montserrat" w:hAnsi="Montserrat" w:cs="Montserrat"/>
          <w:b/>
          <w:sz w:val="28"/>
          <w:szCs w:val="28"/>
        </w:rPr>
        <w:br/>
        <w:t>COORDINADOR DEL GRUPO PARLAMENTARIO DE MOVIMIENTO CIUDADANO</w:t>
      </w:r>
    </w:p>
    <w:sectPr w:rsidR="00133D74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78A2F" w14:textId="77777777" w:rsidR="00CE1E1C" w:rsidRDefault="00CE1E1C">
      <w:pPr>
        <w:spacing w:after="0" w:line="240" w:lineRule="auto"/>
      </w:pPr>
      <w:r>
        <w:separator/>
      </w:r>
    </w:p>
  </w:endnote>
  <w:endnote w:type="continuationSeparator" w:id="0">
    <w:p w14:paraId="5C418C2E" w14:textId="77777777" w:rsidR="00CE1E1C" w:rsidRDefault="00CE1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E40E299-23ED-4791-ABCA-086DE8F7E913}"/>
    <w:embedItalic r:id="rId2" w:fontKey="{A7A34296-6EE0-4F25-ACF4-75780AAA652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294F798F-BC19-4399-B0C4-A375045A9BDC}"/>
    <w:embedBold r:id="rId4" w:fontKey="{FA477960-2299-4CB7-804B-A425CB8072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0C888E0-8271-4958-812E-6475F18A8D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6D900F-4F3D-43E3-8EFB-A94A2A5E68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6472C" w14:textId="77777777" w:rsidR="00CE1E1C" w:rsidRDefault="00CE1E1C">
      <w:pPr>
        <w:spacing w:after="0" w:line="240" w:lineRule="auto"/>
      </w:pPr>
      <w:r>
        <w:separator/>
      </w:r>
    </w:p>
  </w:footnote>
  <w:footnote w:type="continuationSeparator" w:id="0">
    <w:p w14:paraId="12ED470B" w14:textId="77777777" w:rsidR="00CE1E1C" w:rsidRDefault="00CE1E1C">
      <w:pPr>
        <w:spacing w:after="0" w:line="240" w:lineRule="auto"/>
      </w:pPr>
      <w:r>
        <w:continuationSeparator/>
      </w:r>
    </w:p>
  </w:footnote>
  <w:footnote w:id="1">
    <w:p w14:paraId="00000036" w14:textId="77777777" w:rsidR="00133D74" w:rsidRDefault="00CE1E1C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1">
        <w:r>
          <w:rPr>
            <w:color w:val="1155CC"/>
            <w:sz w:val="20"/>
            <w:szCs w:val="20"/>
            <w:u w:val="single"/>
          </w:rPr>
          <w:t>seriec_107_esp.pdf</w:t>
        </w:r>
      </w:hyperlink>
    </w:p>
  </w:footnote>
  <w:footnote w:id="2">
    <w:p w14:paraId="00000037" w14:textId="77777777" w:rsidR="00133D74" w:rsidRDefault="00CE1E1C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hyperlink r:id="rId2">
        <w:r>
          <w:rPr>
            <w:color w:val="1155CC"/>
            <w:sz w:val="20"/>
            <w:szCs w:val="20"/>
            <w:u w:val="single"/>
          </w:rPr>
          <w:t>te.gob.mx/</w:t>
        </w:r>
        <w:proofErr w:type="spellStart"/>
        <w:r>
          <w:rPr>
            <w:color w:val="1155CC"/>
            <w:sz w:val="20"/>
            <w:szCs w:val="20"/>
            <w:u w:val="single"/>
          </w:rPr>
          <w:t>sentenciasHTML</w:t>
        </w:r>
        <w:proofErr w:type="spellEnd"/>
        <w:r>
          <w:rPr>
            <w:color w:val="1155CC"/>
            <w:sz w:val="20"/>
            <w:szCs w:val="20"/>
            <w:u w:val="single"/>
          </w:rPr>
          <w:t>/convertir/expediente/SRE-PSC-0094-2024-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D74"/>
    <w:rsid w:val="00133D74"/>
    <w:rsid w:val="001E01E8"/>
    <w:rsid w:val="00764E41"/>
    <w:rsid w:val="00A1194B"/>
    <w:rsid w:val="00A81C21"/>
    <w:rsid w:val="00CE1E1C"/>
    <w:rsid w:val="00CF0925"/>
    <w:rsid w:val="00F6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30879B"/>
  <w15:docId w15:val="{03C050B3-CC5A-4BAB-954B-EBB762D6A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119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e.gob.mx/sentenciasHTML/convertir/expediente/SRE-PSC-0094-2024-" TargetMode="External"/><Relationship Id="rId1" Type="http://schemas.openxmlformats.org/officeDocument/2006/relationships/hyperlink" Target="https://www.corteidh.or.cr/docs/casos/articulos/seriec_107_esp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1935</Words>
  <Characters>10647</Characters>
  <Application>Microsoft Office Word</Application>
  <DocSecurity>0</DocSecurity>
  <Lines>88</Lines>
  <Paragraphs>25</Paragraphs>
  <ScaleCrop>false</ScaleCrop>
  <Company/>
  <LinksUpToDate>false</LinksUpToDate>
  <CharactersWithSpaces>12557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Daniela Flores Chacon</cp:lastModifiedBy>
  <cp:revision>2</cp:revision>
  <dcterms:created xsi:type="dcterms:W3CDTF">2025-09-11T16:17:00Z</dcterms:created>
  <dcterms:modified xsi:type="dcterms:W3CDTF">2025-09-11T16:17:00Z</dcterms:modified>
</cp:coreProperties>
</file>