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D4C89" w:rsidRDefault="00026CF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H. CONGRESO DEL ESTADO</w:t>
      </w:r>
    </w:p>
    <w:p w14:paraId="00000002" w14:textId="77777777" w:rsidR="003D4C89" w:rsidRDefault="003D4C89">
      <w:pPr>
        <w:spacing w:line="360" w:lineRule="auto"/>
        <w:rPr>
          <w:b/>
          <w:sz w:val="28"/>
          <w:szCs w:val="28"/>
        </w:rPr>
      </w:pPr>
    </w:p>
    <w:p w14:paraId="00000003" w14:textId="77777777" w:rsidR="003D4C89" w:rsidRDefault="00026CF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 R E S E N T E. </w:t>
      </w:r>
    </w:p>
    <w:p w14:paraId="00000004" w14:textId="77777777" w:rsidR="003D4C89" w:rsidRDefault="003D4C89">
      <w:pPr>
        <w:spacing w:line="360" w:lineRule="auto"/>
        <w:jc w:val="both"/>
        <w:rPr>
          <w:sz w:val="28"/>
          <w:szCs w:val="28"/>
        </w:rPr>
      </w:pPr>
    </w:p>
    <w:p w14:paraId="00000005" w14:textId="77777777" w:rsidR="003D4C89" w:rsidRDefault="00026C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Quien suscribe, </w:t>
      </w:r>
      <w:r>
        <w:rPr>
          <w:b/>
          <w:sz w:val="28"/>
          <w:szCs w:val="28"/>
        </w:rPr>
        <w:t>Rosana Díaz Reyes</w:t>
      </w:r>
      <w:r>
        <w:rPr>
          <w:sz w:val="28"/>
          <w:szCs w:val="28"/>
        </w:rPr>
        <w:t xml:space="preserve">, en mi carácter de Diputada de la Sexagésima Octava Legislatura e integrante del Grupo Parlamentario de </w:t>
      </w:r>
      <w:r>
        <w:rPr>
          <w:b/>
          <w:sz w:val="28"/>
          <w:szCs w:val="28"/>
        </w:rPr>
        <w:t>MORENA</w:t>
      </w:r>
      <w:r>
        <w:rPr>
          <w:sz w:val="28"/>
          <w:szCs w:val="28"/>
        </w:rPr>
        <w:t>, con fundamento en lo dispuesto por la fracción I del artículo 68 de la Constitución Política del Estado y demás normas relativas, me permito so</w:t>
      </w:r>
      <w:r>
        <w:rPr>
          <w:sz w:val="28"/>
          <w:szCs w:val="28"/>
        </w:rPr>
        <w:t>meter a la consideración de esta Soberanía, la siguiente iniciativa con carácter de</w:t>
      </w:r>
      <w:r>
        <w:rPr>
          <w:b/>
          <w:sz w:val="28"/>
          <w:szCs w:val="28"/>
        </w:rPr>
        <w:t xml:space="preserve"> DECRETO</w:t>
      </w:r>
      <w:r>
        <w:rPr>
          <w:sz w:val="28"/>
          <w:szCs w:val="28"/>
        </w:rPr>
        <w:t xml:space="preserve"> para efectos de adicionar un capítulo tercero al título sexto del Código Penal del Estado de Chihuahua, con el fin de regular el delito del acecho, lo anterior conf</w:t>
      </w:r>
      <w:r>
        <w:rPr>
          <w:sz w:val="28"/>
          <w:szCs w:val="28"/>
        </w:rPr>
        <w:t xml:space="preserve">orme a la siguiente </w:t>
      </w:r>
    </w:p>
    <w:p w14:paraId="00000006" w14:textId="77777777" w:rsidR="003D4C89" w:rsidRDefault="003D4C89">
      <w:pPr>
        <w:spacing w:line="360" w:lineRule="auto"/>
        <w:rPr>
          <w:b/>
          <w:sz w:val="28"/>
          <w:szCs w:val="28"/>
        </w:rPr>
      </w:pPr>
    </w:p>
    <w:p w14:paraId="00000007" w14:textId="77777777" w:rsidR="003D4C89" w:rsidRDefault="00026C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EXPOSICIÓN DE MOTIVOS </w:t>
      </w:r>
    </w:p>
    <w:p w14:paraId="00000008" w14:textId="77777777" w:rsidR="003D4C89" w:rsidRDefault="003D4C89">
      <w:pPr>
        <w:spacing w:line="360" w:lineRule="auto"/>
        <w:jc w:val="center"/>
        <w:rPr>
          <w:sz w:val="28"/>
          <w:szCs w:val="28"/>
        </w:rPr>
      </w:pPr>
    </w:p>
    <w:p w14:paraId="00000009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Esta propuesta que tiene como finalidad adicionar un Capítulo Tercero al Título décimo del Código Penal para el Estado de Chihuahua, a efecto de tipificar y regular el delito de acecho, es un acto legislativo q</w:t>
      </w:r>
      <w:r>
        <w:rPr>
          <w:sz w:val="28"/>
          <w:szCs w:val="28"/>
        </w:rPr>
        <w:t>ue responde a una realidad social, y violenta, que viven las personas de Chihuahua, como también lo viven en el resto de la Federación. Ya se ha comenzado a reconocer lo que siempre ha sido, el acecho como una forma de violencia persistente e invasiva que,</w:t>
      </w:r>
      <w:r>
        <w:rPr>
          <w:sz w:val="28"/>
          <w:szCs w:val="28"/>
        </w:rPr>
        <w:t xml:space="preserve"> si bien no siempre deja huellas físicas inmediatas, vulnera profundamente derechos humanos</w:t>
      </w:r>
    </w:p>
    <w:p w14:paraId="0000000A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fundamentales como la privacidad, la seguridad personal y el libre desarrollo de la personalidad. </w:t>
      </w:r>
    </w:p>
    <w:p w14:paraId="0000000B" w14:textId="77777777" w:rsidR="003D4C89" w:rsidRDefault="003D4C89">
      <w:pPr>
        <w:spacing w:line="360" w:lineRule="auto"/>
        <w:jc w:val="both"/>
        <w:rPr>
          <w:sz w:val="28"/>
          <w:szCs w:val="28"/>
        </w:rPr>
      </w:pPr>
    </w:p>
    <w:p w14:paraId="0000000C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cumplimiento del deber constitucional que tiene el Estado de </w:t>
      </w:r>
      <w:r>
        <w:rPr>
          <w:sz w:val="28"/>
          <w:szCs w:val="28"/>
        </w:rPr>
        <w:t>Chihuahua, y que tenemos quienes trabajamos para los chihuahuenses, de garantizar la seguridad, libertad y dignidad de todas las personas, resulta impostergable abordar aquellas conductas que, como el acecho, han permanecido en una zona gris de nuestro mar</w:t>
      </w:r>
      <w:r>
        <w:rPr>
          <w:sz w:val="28"/>
          <w:szCs w:val="28"/>
        </w:rPr>
        <w:t>co jurídico estatal, dejando a las víctimas, en su mayoría mujeres, niñas, niños y adolescentes, en una situación de indefensión. Nos referimos a ese hostigamiento sistemático y no deseado, manifestado a través de vigilancia, seguimiento, comunicación insi</w:t>
      </w:r>
      <w:r>
        <w:rPr>
          <w:sz w:val="28"/>
          <w:szCs w:val="28"/>
        </w:rPr>
        <w:t xml:space="preserve">stente o cualquier forma de contacto que genera en la víctima un estado de miedo, ansiedad y angustia fundados, alterando su tranquilidad y vida privada </w:t>
      </w:r>
    </w:p>
    <w:p w14:paraId="0000000D" w14:textId="77777777" w:rsidR="003D4C89" w:rsidRDefault="003D4C89">
      <w:pPr>
        <w:spacing w:line="360" w:lineRule="auto"/>
        <w:rPr>
          <w:sz w:val="28"/>
          <w:szCs w:val="28"/>
        </w:rPr>
      </w:pPr>
    </w:p>
    <w:p w14:paraId="0000000E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los últimos años, diversas entidades federativas del país han comenzado a reconocer una realidad q</w:t>
      </w:r>
      <w:r>
        <w:rPr>
          <w:sz w:val="28"/>
          <w:szCs w:val="28"/>
        </w:rPr>
        <w:t>ue durante mucho tiempo permaneció invisibilizada en el ámbito penal: el acecho como una forma de violencia persistente, invasiva y sumamente peligrosa, cuyas consecuencias afectan directamente la integridad emocional, psicológica e incluso física de las p</w:t>
      </w:r>
      <w:r>
        <w:rPr>
          <w:sz w:val="28"/>
          <w:szCs w:val="28"/>
        </w:rPr>
        <w:t xml:space="preserve">ersonas. Este fenómeno, lejos de ser una simple molestia o conflicto interpersonal, constituye un patrón de conducta que vulnera los derechos humanos más básicos, como la privacidad, la seguridad personal y el libre desarrollo de la personalidad. </w:t>
      </w:r>
    </w:p>
    <w:p w14:paraId="0000000F" w14:textId="77777777" w:rsidR="003D4C89" w:rsidRDefault="003D4C89">
      <w:pPr>
        <w:spacing w:line="360" w:lineRule="auto"/>
        <w:jc w:val="both"/>
        <w:rPr>
          <w:sz w:val="28"/>
          <w:szCs w:val="28"/>
        </w:rPr>
      </w:pPr>
    </w:p>
    <w:p w14:paraId="00000010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En el m</w:t>
      </w:r>
      <w:r>
        <w:rPr>
          <w:sz w:val="28"/>
          <w:szCs w:val="28"/>
        </w:rPr>
        <w:t>arco del deber constitucional del Estado de garantizar la seguridad, la libertad y la dignidad de las personas, resulta impostergable el reconocimiento legal de nuevas formas de violencia que, si bien pueden no ser visibles o físicas en su manifestación in</w:t>
      </w:r>
      <w:r>
        <w:rPr>
          <w:sz w:val="28"/>
          <w:szCs w:val="28"/>
        </w:rPr>
        <w:t>icial, impactan profundamente en el bienestar psicoemocional, la autonomía personal y el ejercicio pleno de los derechos humanos. Una de estas conductas es el acecho, una práctica que ha permanecido en zona gris dentro del marco jurídico estatal, lo cual h</w:t>
      </w:r>
      <w:r>
        <w:rPr>
          <w:sz w:val="28"/>
          <w:szCs w:val="28"/>
        </w:rPr>
        <w:t xml:space="preserve">a dejado a las víctimas sin herramientas efectivas de protección ni vías de denuncia adecuada. </w:t>
      </w:r>
    </w:p>
    <w:p w14:paraId="00000011" w14:textId="77777777" w:rsidR="003D4C89" w:rsidRDefault="003D4C89">
      <w:pPr>
        <w:spacing w:line="360" w:lineRule="auto"/>
        <w:jc w:val="both"/>
        <w:rPr>
          <w:sz w:val="28"/>
          <w:szCs w:val="28"/>
        </w:rPr>
      </w:pPr>
    </w:p>
    <w:p w14:paraId="00000012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 acecho, es una forma de hostigamiento sistemático, insistente y no deseado, que se caracteriza por la vigilancia, seguimiento, aparición física o virtual, e</w:t>
      </w:r>
      <w:r>
        <w:rPr>
          <w:sz w:val="28"/>
          <w:szCs w:val="28"/>
        </w:rPr>
        <w:t xml:space="preserve">nvío constante de mensajes, llamadas o cualquier otra forma de contacto que, sin causar necesariamente un daño físico inmediato, provoca miedo, ansiedad, angustia o el temor fundado de ser víctima de una agresión futura. Esta conducta no solo es invasiva, </w:t>
      </w:r>
      <w:r>
        <w:rPr>
          <w:sz w:val="28"/>
          <w:szCs w:val="28"/>
        </w:rPr>
        <w:t>sino que vulnera de manera directa la tranquilidad, la intimidad y la vida privada de la persona afectada. Genera en la víctima un estado de alerta constante, miedo fundado, ansiedad, angustia e incluso la parálisis emocional por temor a una posible agresi</w:t>
      </w:r>
      <w:r>
        <w:rPr>
          <w:sz w:val="28"/>
          <w:szCs w:val="28"/>
        </w:rPr>
        <w:t>ón futura.</w:t>
      </w:r>
    </w:p>
    <w:p w14:paraId="00000013" w14:textId="77777777" w:rsidR="003D4C89" w:rsidRDefault="003D4C89">
      <w:pPr>
        <w:spacing w:line="360" w:lineRule="auto"/>
        <w:jc w:val="both"/>
        <w:rPr>
          <w:sz w:val="28"/>
          <w:szCs w:val="28"/>
        </w:rPr>
      </w:pPr>
    </w:p>
    <w:p w14:paraId="00000014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La realidad ha demostrado que estas prácticas son el preludio de delitos más graves. En muchos casos, el acecho ha sido antecedente de violencia física, feminicidio, desaparición forzada o acoso laboral escolar. Sin embargo, al no estar tipifi</w:t>
      </w:r>
      <w:r>
        <w:rPr>
          <w:sz w:val="28"/>
          <w:szCs w:val="28"/>
        </w:rPr>
        <w:t>cado como delito autónomo, las</w:t>
      </w:r>
    </w:p>
    <w:p w14:paraId="00000015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instituciones de procuración de justicia se encuentran imposibilitadas para intervenir de manera preventiva, lo que genera una grave omisión del Estado frente a la protección de los derechos humanos.</w:t>
      </w:r>
    </w:p>
    <w:p w14:paraId="00000016" w14:textId="77777777" w:rsidR="003D4C89" w:rsidRDefault="003D4C89">
      <w:pPr>
        <w:spacing w:line="360" w:lineRule="auto"/>
        <w:jc w:val="both"/>
        <w:rPr>
          <w:sz w:val="28"/>
          <w:szCs w:val="28"/>
        </w:rPr>
      </w:pPr>
    </w:p>
    <w:p w14:paraId="00000017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Este tipo de situacione</w:t>
      </w:r>
      <w:r>
        <w:rPr>
          <w:sz w:val="28"/>
          <w:szCs w:val="28"/>
        </w:rPr>
        <w:t>s no son anecdóticas, ni aisladas, ni exclusivas de grandes ciudades. Muchas víctimas del acecho viven bajo una amenaza invisible: no hay golpes, no hay gritos, pero sí hay un miedo profundo y persistente. Un "miedo fundado", como jurídicamente se la ha ll</w:t>
      </w:r>
      <w:r>
        <w:rPr>
          <w:sz w:val="28"/>
          <w:szCs w:val="28"/>
        </w:rPr>
        <w:t>amado, que afecta a la salud emocional, la libertad de movimiento y la seguridad personal de quien lo sufre. Estamos, por tanto, frente a una vulneración real del bien jurídico de la libre evolución de la personalidad, la intimidad, la tranquilidad y la di</w:t>
      </w:r>
      <w:r>
        <w:rPr>
          <w:sz w:val="28"/>
          <w:szCs w:val="28"/>
        </w:rPr>
        <w:t>gnidad humana.</w:t>
      </w:r>
    </w:p>
    <w:p w14:paraId="00000018" w14:textId="77777777" w:rsidR="003D4C89" w:rsidRDefault="003D4C89">
      <w:pPr>
        <w:spacing w:line="360" w:lineRule="auto"/>
        <w:jc w:val="both"/>
        <w:rPr>
          <w:sz w:val="28"/>
          <w:szCs w:val="28"/>
        </w:rPr>
      </w:pPr>
    </w:p>
    <w:p w14:paraId="00000019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En Chihuahua, como en muchas otras partes del país, diversas personas -en su mayoría mujeres- han experimentado episodios de hostigamiento que van más allá de una simple incomodidad. Viven con miedo constante, alterando su rutina, y temien</w:t>
      </w:r>
      <w:r>
        <w:rPr>
          <w:sz w:val="28"/>
          <w:szCs w:val="28"/>
        </w:rPr>
        <w:t>do que, en cualquier momento, su perseguidor dé un paso más.</w:t>
      </w:r>
    </w:p>
    <w:p w14:paraId="0000001A" w14:textId="77777777" w:rsidR="003D4C89" w:rsidRDefault="003D4C89">
      <w:pPr>
        <w:spacing w:line="360" w:lineRule="auto"/>
        <w:jc w:val="both"/>
        <w:rPr>
          <w:sz w:val="28"/>
          <w:szCs w:val="28"/>
        </w:rPr>
      </w:pPr>
    </w:p>
    <w:p w14:paraId="0000001B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Los casos de hostigamiento persistente, tanto físico como virtual, han comenzado a formar parte del día a día de muchas mujeres, adolescentes y personas en situación de vulnerabilidad, sin que exista una figura penal que capture adecuadamente su gravedad </w:t>
      </w:r>
      <w:r>
        <w:rPr>
          <w:sz w:val="28"/>
          <w:szCs w:val="28"/>
        </w:rPr>
        <w:t xml:space="preserve">ni los efectos emocionales, psicológicos y físicos que implica. Si bien algunas de estas conductas se denuncian bajo figuras como amenazas, hostigamiento o violencia </w:t>
      </w:r>
      <w:r>
        <w:rPr>
          <w:sz w:val="28"/>
          <w:szCs w:val="28"/>
        </w:rPr>
        <w:lastRenderedPageBreak/>
        <w:t xml:space="preserve">familiar, el vacío legal es evidente cuando estos actos no encuadran plenamente en dichas </w:t>
      </w:r>
      <w:proofErr w:type="gramStart"/>
      <w:r>
        <w:rPr>
          <w:sz w:val="28"/>
          <w:szCs w:val="28"/>
        </w:rPr>
        <w:t>figuras</w:t>
      </w:r>
      <w:proofErr w:type="gramEnd"/>
      <w:r>
        <w:rPr>
          <w:sz w:val="28"/>
          <w:szCs w:val="28"/>
        </w:rPr>
        <w:t xml:space="preserve"> pero afectan profundamente la libertad, tranquilidad, seguridad y dignidad de las personas.</w:t>
      </w:r>
    </w:p>
    <w:p w14:paraId="0000001C" w14:textId="77777777" w:rsidR="003D4C89" w:rsidRDefault="003D4C89">
      <w:pPr>
        <w:spacing w:line="360" w:lineRule="auto"/>
        <w:jc w:val="both"/>
        <w:rPr>
          <w:sz w:val="28"/>
          <w:szCs w:val="28"/>
        </w:rPr>
      </w:pPr>
    </w:p>
    <w:p w14:paraId="0000001D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El delito de acecho, tal como se propone, responde a esta realidad. No se trata solamente de prevenir una agresión mayor; se trata de visibilizar sanciona</w:t>
      </w:r>
      <w:r>
        <w:rPr>
          <w:sz w:val="28"/>
          <w:szCs w:val="28"/>
        </w:rPr>
        <w:t xml:space="preserve">r aquellas conductas que violentan el derecho al libre desarrollo de la personalidad, la paz personal y el derecho humano a una vida libre de violencia. </w:t>
      </w:r>
    </w:p>
    <w:p w14:paraId="0000001E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Este enfoque no solo es compatible con el marco constitucional y convencional mexicano, sino que es e</w:t>
      </w:r>
      <w:r>
        <w:rPr>
          <w:sz w:val="28"/>
          <w:szCs w:val="28"/>
        </w:rPr>
        <w:t>xigido por él. La Suprema Corte de Justicia de la Nación, al interpretar los derechos humanos de las mujeres, niñas, niños y adolescentes, ha sostenido que:</w:t>
      </w:r>
    </w:p>
    <w:p w14:paraId="0000001F" w14:textId="77777777" w:rsidR="003D4C89" w:rsidRDefault="003D4C89">
      <w:pPr>
        <w:spacing w:line="360" w:lineRule="auto"/>
        <w:rPr>
          <w:sz w:val="28"/>
          <w:szCs w:val="28"/>
        </w:rPr>
      </w:pPr>
    </w:p>
    <w:p w14:paraId="00000020" w14:textId="77777777" w:rsidR="003D4C89" w:rsidRDefault="00026CF9">
      <w:pPr>
        <w:spacing w:line="360" w:lineRule="auto"/>
        <w:ind w:left="720"/>
      </w:pPr>
      <w:r>
        <w:t xml:space="preserve"> Suprema Corte de Justicia de la Nación</w:t>
      </w:r>
    </w:p>
    <w:p w14:paraId="00000021" w14:textId="77777777" w:rsidR="003D4C89" w:rsidRDefault="00026CF9">
      <w:pPr>
        <w:spacing w:line="360" w:lineRule="auto"/>
        <w:ind w:left="720"/>
      </w:pPr>
      <w:r>
        <w:t xml:space="preserve"> Registro digital: 2018618</w:t>
      </w:r>
    </w:p>
    <w:p w14:paraId="00000022" w14:textId="77777777" w:rsidR="003D4C89" w:rsidRDefault="00026CF9">
      <w:pPr>
        <w:spacing w:line="360" w:lineRule="auto"/>
        <w:ind w:left="720"/>
      </w:pPr>
      <w:r>
        <w:t xml:space="preserve"> Instancia: Primera Sala</w:t>
      </w:r>
    </w:p>
    <w:p w14:paraId="00000023" w14:textId="77777777" w:rsidR="003D4C89" w:rsidRDefault="00026CF9">
      <w:pPr>
        <w:spacing w:line="360" w:lineRule="auto"/>
        <w:ind w:left="720"/>
      </w:pPr>
      <w:r>
        <w:t xml:space="preserve"> Décim</w:t>
      </w:r>
      <w:r>
        <w:t xml:space="preserve">a </w:t>
      </w:r>
      <w:proofErr w:type="spellStart"/>
      <w:r>
        <w:t>Épоса</w:t>
      </w:r>
      <w:proofErr w:type="spellEnd"/>
      <w:r>
        <w:t xml:space="preserve"> </w:t>
      </w:r>
    </w:p>
    <w:p w14:paraId="00000024" w14:textId="77777777" w:rsidR="003D4C89" w:rsidRDefault="00026CF9">
      <w:pPr>
        <w:spacing w:line="360" w:lineRule="auto"/>
        <w:ind w:left="720"/>
      </w:pPr>
      <w:r>
        <w:t>Materias(s): Constitucional</w:t>
      </w:r>
    </w:p>
    <w:p w14:paraId="00000025" w14:textId="77777777" w:rsidR="003D4C89" w:rsidRDefault="00026CF9">
      <w:pPr>
        <w:spacing w:line="360" w:lineRule="auto"/>
        <w:ind w:left="720"/>
      </w:pPr>
      <w:r>
        <w:t xml:space="preserve"> Tesis: 1a. ССС/2018 (10a.) </w:t>
      </w:r>
    </w:p>
    <w:p w14:paraId="00000026" w14:textId="77777777" w:rsidR="003D4C89" w:rsidRDefault="00026CF9">
      <w:pPr>
        <w:spacing w:line="360" w:lineRule="auto"/>
        <w:ind w:left="720"/>
      </w:pPr>
      <w:r>
        <w:t xml:space="preserve">Fuente: Gaceta del Semanario Judicial de la Federación. Libro 61, </w:t>
      </w:r>
      <w:proofErr w:type="gramStart"/>
      <w:r>
        <w:t>Diciembre</w:t>
      </w:r>
      <w:proofErr w:type="gramEnd"/>
      <w:r>
        <w:t xml:space="preserve"> de 2018, Tomo I, página 298 </w:t>
      </w:r>
    </w:p>
    <w:p w14:paraId="00000027" w14:textId="77777777" w:rsidR="003D4C89" w:rsidRDefault="00026CF9">
      <w:pPr>
        <w:spacing w:line="360" w:lineRule="auto"/>
        <w:ind w:left="720"/>
      </w:pPr>
      <w:r>
        <w:t>Tipo: Aislada</w:t>
      </w:r>
    </w:p>
    <w:p w14:paraId="00000028" w14:textId="77777777" w:rsidR="003D4C89" w:rsidRDefault="003D4C89">
      <w:pPr>
        <w:spacing w:line="360" w:lineRule="auto"/>
        <w:ind w:left="720"/>
      </w:pPr>
    </w:p>
    <w:p w14:paraId="00000029" w14:textId="77777777" w:rsidR="003D4C89" w:rsidRDefault="003D4C89">
      <w:pPr>
        <w:spacing w:line="360" w:lineRule="auto"/>
        <w:ind w:left="720"/>
      </w:pPr>
    </w:p>
    <w:p w14:paraId="0000002A" w14:textId="77777777" w:rsidR="003D4C89" w:rsidRDefault="00026CF9">
      <w:pPr>
        <w:spacing w:line="360" w:lineRule="auto"/>
        <w:ind w:left="720"/>
      </w:pPr>
      <w:r>
        <w:t xml:space="preserve"> DERECHO DE LAS MUJERES, NIÑAS, NIÑOS Y ADOLESCENTES A UNA VIDA LIBRE</w:t>
      </w:r>
      <w:r>
        <w:t xml:space="preserve"> DE VIOLENCIA. LOS DERECHOS A LA IGUALDAD Y NO </w:t>
      </w:r>
    </w:p>
    <w:p w14:paraId="0000002B" w14:textId="77777777" w:rsidR="003D4C89" w:rsidRDefault="00026CF9">
      <w:pPr>
        <w:spacing w:line="360" w:lineRule="auto"/>
        <w:ind w:left="720"/>
      </w:pPr>
      <w:r>
        <w:lastRenderedPageBreak/>
        <w:t>DISCRIMINACIÓN, Y A LA INTEGRIDAD Y DIGNIDAD PERSONALES, CONSTITUYEN LÍMITES VÁLIDOS A LA APLICACIÓN DE NORMAS DE DERECHO CONSUETUDINARIO O INDÍGENA.</w:t>
      </w:r>
    </w:p>
    <w:p w14:paraId="0000002C" w14:textId="77777777" w:rsidR="003D4C89" w:rsidRDefault="00026CF9">
      <w:pPr>
        <w:spacing w:line="360" w:lineRule="auto"/>
        <w:ind w:left="720"/>
      </w:pPr>
      <w:r>
        <w:t xml:space="preserve"> De acuerdo con el parámetro de regularidad constitucional</w:t>
      </w:r>
      <w:r>
        <w:t xml:space="preserve"> del derecho de las mujeres a una vida libre de violencia, ésta se identifica como causa y consecuencia de la discriminación, de ahí que el Estado tenga la obligación de incluir en su legislación, las normas penales, civiles y administrativas, así como las</w:t>
      </w:r>
      <w:r>
        <w:t xml:space="preserve"> de otra naturaleza, que sean necesarias para prevenir, sancionar y erradicar la violencia contra las mujeres. En este sentido, la Convención sobre la Eliminación de todas las formas de Discriminación contra la Mujer y la Convención Interamericana para Pre</w:t>
      </w:r>
      <w:r>
        <w:t>venir, Sancionar y Erradicar la Violencia contra la Mujer (Convención de Belém do Pará) establecen que deberán adoptarse las medidas necesarias para modificar los patrones de comportamiento sociales y culturales de hombres y mujeres, y para eliminar los pr</w:t>
      </w:r>
      <w:r>
        <w:t>ejuicios y las prácticas consuetudinarias o de otra índole, basadas en la premisa de inferioridad o superioridad de uno de los sexos o en roles estereotipados impuestos a hombres y mujeres, incluido el caso de que, a partir de ellos, se exacerbe o tolere l</w:t>
      </w:r>
      <w:r>
        <w:t xml:space="preserve">a violencia contra las mujeres. Por ello, resulta legítimo que el orden jurídico establezca protecciones que tienen como destinatarios específicos a los niños, niñas y adolescentes, de acuerdo con la evolución de sus capacidades o su autonomía progresiva, </w:t>
      </w:r>
      <w:r>
        <w:t xml:space="preserve">con la finalidad de protegerlos del accionar violento, coercitivo o abusivo de otras personas, particularmente adultas. En efecto, el Estado tiene la obligación de garantizar -con todos los medios a su alcance, incluido el recurso a su poder </w:t>
      </w:r>
      <w:proofErr w:type="spellStart"/>
      <w:r>
        <w:t>coactivoque</w:t>
      </w:r>
      <w:proofErr w:type="spellEnd"/>
      <w:r>
        <w:t xml:space="preserve"> la</w:t>
      </w:r>
      <w:r>
        <w:t>s decisiones de niños, niñas y adolescentes, en materia de sexualidad, se produzcan en condiciones de seguridad, libertad efectiva y plena, y en armonía con su desarrollo psicológico, como consecuencia de sus derechos a la integridad personal y al libre de</w:t>
      </w:r>
      <w:r>
        <w:t>sarrollo de la personalidad. Esta protección</w:t>
      </w:r>
    </w:p>
    <w:p w14:paraId="0000002D" w14:textId="77777777" w:rsidR="003D4C89" w:rsidRDefault="00026CF9">
      <w:pPr>
        <w:spacing w:line="360" w:lineRule="auto"/>
        <w:ind w:left="720"/>
      </w:pPr>
      <w:r>
        <w:t>-expresada mediante las normas penales que sancionan las relaciones sexuales coercitivas- es consecuencia del derecho de niñas, niños adolescentes a la igualdad y a la no discriminación, a la integridad y dignid</w:t>
      </w:r>
      <w:r>
        <w:t xml:space="preserve">ad personales, así como a una vida libre de violencia. Estos derechos constituyen, en términos del artículo 20., apartado </w:t>
      </w:r>
      <w:r>
        <w:lastRenderedPageBreak/>
        <w:t>A, fracción VIII, de la Constitución Política de los Estados Unidos Mexicanos, límites válidos a la aplicación de normas de derecho co</w:t>
      </w:r>
      <w:r>
        <w:t xml:space="preserve">nsuetudinario indígena. </w:t>
      </w:r>
    </w:p>
    <w:p w14:paraId="0000002E" w14:textId="77777777" w:rsidR="003D4C89" w:rsidRDefault="003D4C89">
      <w:pPr>
        <w:spacing w:line="360" w:lineRule="auto"/>
        <w:rPr>
          <w:sz w:val="28"/>
          <w:szCs w:val="28"/>
        </w:rPr>
      </w:pPr>
    </w:p>
    <w:p w14:paraId="0000002F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jurisprudencia reconoce que</w:t>
      </w:r>
      <w:r>
        <w:rPr>
          <w:b/>
          <w:sz w:val="28"/>
          <w:szCs w:val="28"/>
        </w:rPr>
        <w:t xml:space="preserve"> la violencia no solo es una forma de discriminación, sino también su consecuencia, y que el Estado debe adoptar todas las medidas necesarias para combatirla</w:t>
      </w:r>
      <w:r>
        <w:rPr>
          <w:sz w:val="28"/>
          <w:szCs w:val="28"/>
        </w:rPr>
        <w:t>, incluyendo la sanción penal de las formas</w:t>
      </w:r>
      <w:r>
        <w:rPr>
          <w:sz w:val="28"/>
          <w:szCs w:val="28"/>
        </w:rPr>
        <w:t xml:space="preserve"> de violencia menos </w:t>
      </w:r>
      <w:proofErr w:type="gramStart"/>
      <w:r>
        <w:rPr>
          <w:sz w:val="28"/>
          <w:szCs w:val="28"/>
        </w:rPr>
        <w:t>visibles</w:t>
      </w:r>
      <w:proofErr w:type="gramEnd"/>
      <w:r>
        <w:rPr>
          <w:sz w:val="28"/>
          <w:szCs w:val="28"/>
        </w:rPr>
        <w:t xml:space="preserve"> pero igualmente invasivas, como lo es el acecho. </w:t>
      </w:r>
    </w:p>
    <w:p w14:paraId="00000030" w14:textId="77777777" w:rsidR="003D4C89" w:rsidRDefault="003D4C89">
      <w:pPr>
        <w:spacing w:line="360" w:lineRule="auto"/>
        <w:jc w:val="both"/>
        <w:rPr>
          <w:sz w:val="28"/>
          <w:szCs w:val="28"/>
        </w:rPr>
      </w:pPr>
    </w:p>
    <w:p w14:paraId="00000031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Uno de los casos más representativos a nivel nacional es el de la maestra Valeria Macías, del Estado de Nuevo León, quien durante más de ocho años fue víctima de acecho por par</w:t>
      </w:r>
      <w:r>
        <w:rPr>
          <w:sz w:val="28"/>
          <w:szCs w:val="28"/>
        </w:rPr>
        <w:t xml:space="preserve">te de un exalumno. A pesar de haber interpuesto múltiples denuncias, las autoridades no pudieron intervenir debido a la inexistencia de un tipo penal que permitiera sancionar este comportamiento. Su caso no solo evidenció la falta de herramientas legales, </w:t>
      </w:r>
      <w:r>
        <w:rPr>
          <w:sz w:val="28"/>
          <w:szCs w:val="28"/>
        </w:rPr>
        <w:t xml:space="preserve">sino también la necesidad urgente de adaptar el marco normativo a las nuevas realidades sociales y tecnológicas. </w:t>
      </w:r>
    </w:p>
    <w:p w14:paraId="00000032" w14:textId="77777777" w:rsidR="003D4C89" w:rsidRDefault="003D4C89">
      <w:pPr>
        <w:spacing w:line="360" w:lineRule="auto"/>
        <w:jc w:val="both"/>
        <w:rPr>
          <w:sz w:val="28"/>
          <w:szCs w:val="28"/>
        </w:rPr>
      </w:pPr>
    </w:p>
    <w:p w14:paraId="00000033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Gracias a su perseverancia, en el estado de Nuevo León aprobó el día 25 de marzo del 2025 una reforma al Código Penal para tipificar el acech</w:t>
      </w:r>
      <w:r>
        <w:rPr>
          <w:sz w:val="28"/>
          <w:szCs w:val="28"/>
        </w:rPr>
        <w:t xml:space="preserve">o como delito, bajo el nombre de Ley Valeria, misma que ha marcado un precedente jurídico relevante y ha sido replicada en otras entidades como Coahuila, Guanajuato y Tamaulipas. </w:t>
      </w:r>
    </w:p>
    <w:p w14:paraId="00000034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incorporación de este tipo penal responde también a estándares internacio</w:t>
      </w:r>
      <w:r>
        <w:rPr>
          <w:sz w:val="28"/>
          <w:szCs w:val="28"/>
        </w:rPr>
        <w:t xml:space="preserve">nales en materia de derechos humanos, particularmente a lo </w:t>
      </w:r>
      <w:r>
        <w:rPr>
          <w:sz w:val="28"/>
          <w:szCs w:val="28"/>
        </w:rPr>
        <w:lastRenderedPageBreak/>
        <w:t xml:space="preserve">dispuesto en la </w:t>
      </w:r>
      <w:r>
        <w:rPr>
          <w:b/>
          <w:sz w:val="28"/>
          <w:szCs w:val="28"/>
        </w:rPr>
        <w:t xml:space="preserve">Convención Interamericana para prevenir, sancionar y erradicar la violencia contra la mujer (Convención de Belém do Pará), </w:t>
      </w:r>
      <w:r>
        <w:rPr>
          <w:sz w:val="28"/>
          <w:szCs w:val="28"/>
        </w:rPr>
        <w:t xml:space="preserve">asimismo, la necesidad de establecer </w:t>
      </w:r>
      <w:r>
        <w:rPr>
          <w:b/>
          <w:sz w:val="28"/>
          <w:szCs w:val="28"/>
        </w:rPr>
        <w:t>agravantes</w:t>
      </w:r>
      <w:r>
        <w:rPr>
          <w:sz w:val="28"/>
          <w:szCs w:val="28"/>
        </w:rPr>
        <w:t xml:space="preserve"> cuando el </w:t>
      </w:r>
      <w:r>
        <w:rPr>
          <w:b/>
          <w:sz w:val="28"/>
          <w:szCs w:val="28"/>
        </w:rPr>
        <w:t>acecho</w:t>
      </w:r>
      <w:r>
        <w:rPr>
          <w:sz w:val="28"/>
          <w:szCs w:val="28"/>
        </w:rPr>
        <w:t xml:space="preserve"> se realiza </w:t>
      </w:r>
      <w:r>
        <w:rPr>
          <w:b/>
          <w:sz w:val="28"/>
          <w:szCs w:val="28"/>
        </w:rPr>
        <w:t>por medios electrónicos</w:t>
      </w:r>
      <w:r>
        <w:rPr>
          <w:sz w:val="28"/>
          <w:szCs w:val="28"/>
        </w:rPr>
        <w:t xml:space="preserve">, o bien cuando se trata de </w:t>
      </w:r>
      <w:r>
        <w:rPr>
          <w:b/>
          <w:sz w:val="28"/>
          <w:szCs w:val="28"/>
        </w:rPr>
        <w:t>víctimas</w:t>
      </w:r>
      <w:r>
        <w:rPr>
          <w:sz w:val="28"/>
          <w:szCs w:val="28"/>
        </w:rPr>
        <w:t xml:space="preserve"> en situación de </w:t>
      </w:r>
      <w:r>
        <w:rPr>
          <w:b/>
          <w:sz w:val="28"/>
          <w:szCs w:val="28"/>
        </w:rPr>
        <w:t>vulnerabilidad</w:t>
      </w:r>
      <w:r>
        <w:rPr>
          <w:sz w:val="28"/>
          <w:szCs w:val="28"/>
        </w:rPr>
        <w:t xml:space="preserve">, como </w:t>
      </w:r>
      <w:r>
        <w:rPr>
          <w:b/>
          <w:sz w:val="28"/>
          <w:szCs w:val="28"/>
        </w:rPr>
        <w:t>mujeres, niñas, niños, personas con discapacidad o personas adultas mayores</w:t>
      </w:r>
      <w:r>
        <w:rPr>
          <w:sz w:val="28"/>
          <w:szCs w:val="28"/>
        </w:rPr>
        <w:t xml:space="preserve">. </w:t>
      </w:r>
    </w:p>
    <w:p w14:paraId="00000035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este contexto, resulta pertinente citar la jurisprudencia emitida por la Suprema Corte de Justicia de la Nación.</w:t>
      </w:r>
    </w:p>
    <w:p w14:paraId="00000036" w14:textId="77777777" w:rsidR="003D4C89" w:rsidRDefault="003D4C89">
      <w:pPr>
        <w:spacing w:line="360" w:lineRule="auto"/>
        <w:ind w:firstLine="720"/>
        <w:rPr>
          <w:sz w:val="24"/>
          <w:szCs w:val="24"/>
        </w:rPr>
      </w:pPr>
    </w:p>
    <w:p w14:paraId="00000037" w14:textId="77777777" w:rsidR="003D4C89" w:rsidRDefault="00026CF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Registro digital: 159909 </w:t>
      </w:r>
    </w:p>
    <w:p w14:paraId="00000038" w14:textId="77777777" w:rsidR="003D4C89" w:rsidRDefault="00026CF9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Instancia: Primera Sala </w:t>
      </w:r>
    </w:p>
    <w:p w14:paraId="00000039" w14:textId="77777777" w:rsidR="003D4C89" w:rsidRDefault="00026CF9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Décima </w:t>
      </w:r>
      <w:proofErr w:type="spellStart"/>
      <w:r>
        <w:rPr>
          <w:sz w:val="24"/>
          <w:szCs w:val="24"/>
        </w:rPr>
        <w:t>Épоса</w:t>
      </w:r>
      <w:proofErr w:type="spellEnd"/>
      <w:r>
        <w:rPr>
          <w:sz w:val="24"/>
          <w:szCs w:val="24"/>
        </w:rPr>
        <w:t xml:space="preserve"> </w:t>
      </w:r>
    </w:p>
    <w:p w14:paraId="0000003A" w14:textId="77777777" w:rsidR="003D4C89" w:rsidRDefault="00026CF9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Materias(s): Penal </w:t>
      </w:r>
    </w:p>
    <w:p w14:paraId="0000003B" w14:textId="77777777" w:rsidR="003D4C89" w:rsidRDefault="00026CF9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Tesis: 1a./J. 20/2012 (9a.)</w:t>
      </w:r>
    </w:p>
    <w:p w14:paraId="0000003C" w14:textId="77777777" w:rsidR="003D4C89" w:rsidRDefault="00026CF9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Fuente: Semanario Judicial</w:t>
      </w:r>
      <w:r>
        <w:rPr>
          <w:sz w:val="24"/>
          <w:szCs w:val="24"/>
        </w:rPr>
        <w:t xml:space="preserve"> de la Federación y su Gaceta. Libro XIV, </w:t>
      </w:r>
      <w:proofErr w:type="gramStart"/>
      <w:r>
        <w:rPr>
          <w:sz w:val="24"/>
          <w:szCs w:val="24"/>
        </w:rPr>
        <w:t>Noviembre</w:t>
      </w:r>
      <w:proofErr w:type="gramEnd"/>
      <w:r>
        <w:rPr>
          <w:sz w:val="24"/>
          <w:szCs w:val="24"/>
        </w:rPr>
        <w:t xml:space="preserve"> de 2012, Tomo 1, página 611 </w:t>
      </w:r>
    </w:p>
    <w:p w14:paraId="0000003D" w14:textId="77777777" w:rsidR="003D4C89" w:rsidRDefault="00026CF9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Tipo: Jurisprudencia </w:t>
      </w:r>
    </w:p>
    <w:p w14:paraId="0000003E" w14:textId="77777777" w:rsidR="003D4C89" w:rsidRDefault="003D4C89">
      <w:pPr>
        <w:spacing w:line="360" w:lineRule="auto"/>
        <w:ind w:left="720"/>
        <w:rPr>
          <w:sz w:val="24"/>
          <w:szCs w:val="24"/>
        </w:rPr>
      </w:pPr>
    </w:p>
    <w:p w14:paraId="0000003F" w14:textId="77777777" w:rsidR="003D4C89" w:rsidRDefault="00026CF9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DERECHO PENAL. SU FUNCIÓN ACCESORIA EN OTRAS RAMAS DEL DERECHO. </w:t>
      </w:r>
    </w:p>
    <w:p w14:paraId="00000040" w14:textId="77777777" w:rsidR="003D4C89" w:rsidRDefault="003D4C89">
      <w:pPr>
        <w:spacing w:line="360" w:lineRule="auto"/>
        <w:ind w:left="720"/>
        <w:rPr>
          <w:sz w:val="24"/>
          <w:szCs w:val="24"/>
        </w:rPr>
      </w:pPr>
    </w:p>
    <w:p w14:paraId="00000041" w14:textId="77777777" w:rsidR="003D4C89" w:rsidRDefault="00026CF9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El derecho penal no es autónomo respecto de las demás ramas del derecho; así, en ocasi</w:t>
      </w:r>
      <w:r>
        <w:rPr>
          <w:sz w:val="24"/>
          <w:szCs w:val="24"/>
        </w:rPr>
        <w:t>ones es accesorio del derecho civil, mercantil o laboral, para caracterizar delitos como los de contenido patrimonial o los cometidos contra los trabajadores. Ahora bien, en un principio, la accesoriedad del derecho penal se limitaba en el ámbito de la téc</w:t>
      </w:r>
      <w:r>
        <w:rPr>
          <w:sz w:val="24"/>
          <w:szCs w:val="24"/>
        </w:rPr>
        <w:t xml:space="preserve">nica legislativa a la integración de los elementos normativos propios del injusto penal; sin embargo, la creciente necesidad de regulación punitiva hizo imposible que las modalidades de </w:t>
      </w:r>
      <w:r>
        <w:rPr>
          <w:sz w:val="24"/>
          <w:szCs w:val="24"/>
        </w:rPr>
        <w:lastRenderedPageBreak/>
        <w:t>intervención se limitaran a la incorporación en los tipos penales de d</w:t>
      </w:r>
      <w:r>
        <w:rPr>
          <w:sz w:val="24"/>
          <w:szCs w:val="24"/>
        </w:rPr>
        <w:t xml:space="preserve">eterminados conceptos jurídicos no penales y, por ello, se recurrió a fórmulas de remisión a la normativa extrapenal, pues sólo así pudo lograrse un instrumento esencial que posibilita una efectividad oportuna, siempre que no se desatiendan los principios </w:t>
      </w:r>
      <w:r>
        <w:rPr>
          <w:sz w:val="24"/>
          <w:szCs w:val="24"/>
        </w:rPr>
        <w:t>de racionalidad y efectividad que rigen la materia. En ese tenor, en determinadas materias y cuestiones, y con ciertos límites, se permite que el legislador redacte los tipos penales que coordinen la tutela penal de un sector de actividad con una regulació</w:t>
      </w:r>
      <w:r>
        <w:rPr>
          <w:sz w:val="24"/>
          <w:szCs w:val="24"/>
        </w:rPr>
        <w:t>n extrapenal, lo que también responde a criterios de unidad del ordenamiento jurídico y de eficacia de protección jurídica; esto es, puede ocurrir que el derecho penal se convierta en accesorio de una determinada rama del derecho cuando el bien jurídicamen</w:t>
      </w:r>
      <w:r>
        <w:rPr>
          <w:sz w:val="24"/>
          <w:szCs w:val="24"/>
        </w:rPr>
        <w:t xml:space="preserve">te tutelado por ésta, amerite mayor protección o cuando ocurran hechos especialmente graves que han de evitarse, por ejemplo, cuando el paso de una infracción administrativa al delito se basa en la </w:t>
      </w:r>
      <w:proofErr w:type="spellStart"/>
      <w:r>
        <w:rPr>
          <w:sz w:val="24"/>
          <w:szCs w:val="24"/>
        </w:rPr>
        <w:t>causación</w:t>
      </w:r>
      <w:proofErr w:type="spellEnd"/>
      <w:r>
        <w:rPr>
          <w:sz w:val="24"/>
          <w:szCs w:val="24"/>
        </w:rPr>
        <w:t xml:space="preserve"> de un daño o en la creación de un peligro que re</w:t>
      </w:r>
      <w:r>
        <w:rPr>
          <w:sz w:val="24"/>
          <w:szCs w:val="24"/>
        </w:rPr>
        <w:t xml:space="preserve">basa la efectividad previsora y sancionadora del derecho administrativo. </w:t>
      </w:r>
    </w:p>
    <w:p w14:paraId="00000042" w14:textId="77777777" w:rsidR="003D4C89" w:rsidRDefault="003D4C89">
      <w:pPr>
        <w:spacing w:line="360" w:lineRule="auto"/>
        <w:rPr>
          <w:sz w:val="28"/>
          <w:szCs w:val="28"/>
        </w:rPr>
      </w:pPr>
    </w:p>
    <w:p w14:paraId="00000043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Esta jurisprudencia sustenta la necesidad de intervenir desde la esfera penal en aquellas conductas que, como el acecho, generan un daño o un riesgo que trasciende la capacidad de r</w:t>
      </w:r>
      <w:r>
        <w:rPr>
          <w:sz w:val="28"/>
          <w:szCs w:val="28"/>
        </w:rPr>
        <w:t>espuesta del derecho administrativo o civil. Al tipificar el delito de acecho, cumplimos con el deber de garantizar la protección eficaz del bien jurídico de la libertad personal y la seguridad emocional de las personas, a través de la previsión de sancion</w:t>
      </w:r>
      <w:r>
        <w:rPr>
          <w:sz w:val="28"/>
          <w:szCs w:val="28"/>
        </w:rPr>
        <w:t xml:space="preserve">es proporcionales y preventivas. </w:t>
      </w:r>
    </w:p>
    <w:p w14:paraId="00000044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presente iniciativa tiene por objeto incorporar esta figura al Código Penal del Estado de Chihuahua, con el propósito de prevenir, sancionar y erradicar el acecho como manifestación de violencia psicológica, </w:t>
      </w:r>
      <w:r>
        <w:rPr>
          <w:sz w:val="28"/>
          <w:szCs w:val="28"/>
        </w:rPr>
        <w:lastRenderedPageBreak/>
        <w:t>emocional y</w:t>
      </w:r>
      <w:r>
        <w:rPr>
          <w:sz w:val="28"/>
          <w:szCs w:val="28"/>
        </w:rPr>
        <w:t xml:space="preserve"> estructural. A través de la tipificación de este delito, se busca dotar a las instituciones de justicia de los elementos necesarios para actuar de manera oportuna y con perspectiva de género, antes de que estas conductas escalen en gravedad.</w:t>
      </w:r>
    </w:p>
    <w:p w14:paraId="00000045" w14:textId="77777777" w:rsidR="003D4C89" w:rsidRDefault="003D4C89">
      <w:pPr>
        <w:spacing w:line="360" w:lineRule="auto"/>
        <w:jc w:val="both"/>
        <w:rPr>
          <w:sz w:val="28"/>
          <w:szCs w:val="28"/>
        </w:rPr>
      </w:pPr>
    </w:p>
    <w:p w14:paraId="00000046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Esta reforma</w:t>
      </w:r>
      <w:r>
        <w:rPr>
          <w:sz w:val="28"/>
          <w:szCs w:val="28"/>
        </w:rPr>
        <w:t xml:space="preserve"> reconoce las nuevas dinámicas de violencia digital y el uso de herramientas tecnológicas para ejercer control, vigilancia y hostigamiento a través de redes sociales, mensajería instantánea, sistema de geolocalización, entre otros. De ahí la necesidad de e</w:t>
      </w:r>
      <w:r>
        <w:rPr>
          <w:sz w:val="28"/>
          <w:szCs w:val="28"/>
        </w:rPr>
        <w:t xml:space="preserve">stablecer agravantes cuando el acecho se realiza por medios electrónicos, o bien cuando se trata de víctimas en situación de vulnerabilidad, como mujeres, niñas, niños, personas con discapacidad o personas adultas mayores. </w:t>
      </w:r>
    </w:p>
    <w:p w14:paraId="00000047" w14:textId="77777777" w:rsidR="003D4C89" w:rsidRDefault="003D4C89">
      <w:pPr>
        <w:spacing w:line="360" w:lineRule="auto"/>
        <w:jc w:val="both"/>
        <w:rPr>
          <w:sz w:val="28"/>
          <w:szCs w:val="28"/>
        </w:rPr>
      </w:pPr>
    </w:p>
    <w:p w14:paraId="00000048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 lo tanto, esta iniciativa b</w:t>
      </w:r>
      <w:r>
        <w:rPr>
          <w:sz w:val="28"/>
          <w:szCs w:val="28"/>
        </w:rPr>
        <w:t>usca visibilizar y sancionar penalmente el acecho, reconociéndolo como una conducta que violenta el derecho a una vida libre de violencia, la paz personal y la dignidad humana. La tipificación propuesta se alinea con criterios de la Suprema Corte de Justic</w:t>
      </w:r>
      <w:r>
        <w:rPr>
          <w:sz w:val="28"/>
          <w:szCs w:val="28"/>
        </w:rPr>
        <w:t>ia de la Nación, que mandatan al Estado a adoptar las medidas necesarias para prevenir, sancionar y erradicar la violencia, entendida como causa y consecuencia de la discriminación. Asimismo, se inspira en precedentes relevantes como la "Ley Valeria" en Nu</w:t>
      </w:r>
      <w:r>
        <w:rPr>
          <w:sz w:val="28"/>
          <w:szCs w:val="28"/>
        </w:rPr>
        <w:t xml:space="preserve">evo León y responde a estándares internacionales como la Convención de Belém do Pará. </w:t>
      </w:r>
    </w:p>
    <w:p w14:paraId="00000049" w14:textId="77777777" w:rsidR="003D4C89" w:rsidRDefault="003D4C89">
      <w:pPr>
        <w:spacing w:line="360" w:lineRule="auto"/>
        <w:jc w:val="both"/>
        <w:rPr>
          <w:sz w:val="28"/>
          <w:szCs w:val="28"/>
        </w:rPr>
      </w:pPr>
    </w:p>
    <w:p w14:paraId="0000004A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La incorporación de este tipo penal, con sus correspondientes agravantes por uso de medios electrónicos o por la vulnerabilidad de la víctima, dotará a nuestras institu</w:t>
      </w:r>
      <w:r>
        <w:rPr>
          <w:sz w:val="28"/>
          <w:szCs w:val="28"/>
        </w:rPr>
        <w:t xml:space="preserve">ciones de las herramientas necesarias para intervenir preventivamente antes de que estas conductas escalen a delitos de mayor gravedad, cumpliendo así con el deber de garantizar una protección eficaz a la libertad y seguridad emocional de las personas. </w:t>
      </w:r>
    </w:p>
    <w:p w14:paraId="0000004B" w14:textId="77777777" w:rsidR="003D4C89" w:rsidRDefault="003D4C89">
      <w:pPr>
        <w:spacing w:line="360" w:lineRule="auto"/>
        <w:jc w:val="both"/>
        <w:rPr>
          <w:sz w:val="28"/>
          <w:szCs w:val="28"/>
        </w:rPr>
      </w:pPr>
    </w:p>
    <w:p w14:paraId="0000004C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</w:rPr>
        <w:t xml:space="preserve">inalmente, es de mi conocimiento que el día martes 22 de abril del presente año 2025, fue presentada por el </w:t>
      </w:r>
      <w:proofErr w:type="spellStart"/>
      <w:r>
        <w:rPr>
          <w:sz w:val="28"/>
          <w:szCs w:val="28"/>
        </w:rPr>
        <w:t>Dip</w:t>
      </w:r>
      <w:proofErr w:type="spellEnd"/>
      <w:r>
        <w:rPr>
          <w:sz w:val="28"/>
          <w:szCs w:val="28"/>
        </w:rPr>
        <w:t>. Saúl Mireles una Iniciativa con carácter de decreto que busca adicionar el Capítulo III Ter al Título Quinto del Código Penal del Estado de Chi</w:t>
      </w:r>
      <w:r>
        <w:rPr>
          <w:sz w:val="28"/>
          <w:szCs w:val="28"/>
        </w:rPr>
        <w:t>huahua, con el propósito de legislar sobre el delito de acecho. Lejos de contraponerse, la presente iniciativa se suma a dicho esfuerzo, reconociendo el trabajo y reiterando la impostergable importancia de abordar lo que en Chihuahua es una violenta realid</w:t>
      </w:r>
      <w:r>
        <w:rPr>
          <w:sz w:val="28"/>
          <w:szCs w:val="28"/>
        </w:rPr>
        <w:t>ad y que se debe de sancionar. Esta propuesta tiene la firme intención de sumar, abrir debate proactivo, y con ello, perfeccionar los instrumentos de justicia, que al final, son parte del derecho fundamental a vivir sin miedo en nuestro Estado de Chihuahua</w:t>
      </w:r>
      <w:r>
        <w:rPr>
          <w:sz w:val="28"/>
          <w:szCs w:val="28"/>
        </w:rPr>
        <w:t xml:space="preserve">. </w:t>
      </w:r>
    </w:p>
    <w:p w14:paraId="0000004D" w14:textId="77777777" w:rsidR="003D4C89" w:rsidRDefault="003D4C89">
      <w:pPr>
        <w:spacing w:line="360" w:lineRule="auto"/>
        <w:rPr>
          <w:sz w:val="28"/>
          <w:szCs w:val="28"/>
        </w:rPr>
      </w:pPr>
    </w:p>
    <w:p w14:paraId="0000004E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 lo anteriormente expuesto, someto a su consideración el proyecto de Decreto contenido en el documento base.</w:t>
      </w:r>
    </w:p>
    <w:p w14:paraId="0000004F" w14:textId="77777777" w:rsidR="003D4C89" w:rsidRDefault="003D4C89">
      <w:pPr>
        <w:spacing w:line="360" w:lineRule="auto"/>
        <w:jc w:val="both"/>
        <w:rPr>
          <w:sz w:val="28"/>
          <w:szCs w:val="28"/>
        </w:rPr>
      </w:pPr>
    </w:p>
    <w:p w14:paraId="00000050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Por lo anteriormente expuesto me permito presentar la siguiente iniciativa con carácter de</w:t>
      </w:r>
    </w:p>
    <w:p w14:paraId="00000051" w14:textId="77777777" w:rsidR="003D4C89" w:rsidRDefault="003D4C89">
      <w:pPr>
        <w:spacing w:line="360" w:lineRule="auto"/>
        <w:rPr>
          <w:sz w:val="28"/>
          <w:szCs w:val="28"/>
        </w:rPr>
      </w:pPr>
    </w:p>
    <w:p w14:paraId="00000052" w14:textId="77777777" w:rsidR="003D4C89" w:rsidRDefault="00026C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D E C R E T O </w:t>
      </w:r>
    </w:p>
    <w:p w14:paraId="00000053" w14:textId="77777777" w:rsidR="003D4C89" w:rsidRDefault="003D4C89">
      <w:pPr>
        <w:spacing w:line="360" w:lineRule="auto"/>
        <w:jc w:val="center"/>
        <w:rPr>
          <w:sz w:val="28"/>
          <w:szCs w:val="28"/>
        </w:rPr>
      </w:pPr>
    </w:p>
    <w:p w14:paraId="00000054" w14:textId="77777777" w:rsidR="003D4C89" w:rsidRDefault="00026CF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ARTÍCULO ÚNICO</w:t>
      </w:r>
      <w:r>
        <w:rPr>
          <w:sz w:val="28"/>
          <w:szCs w:val="28"/>
        </w:rPr>
        <w:t xml:space="preserve">. Se adiciona un Capítulo </w:t>
      </w:r>
      <w:proofErr w:type="spellStart"/>
      <w:r>
        <w:rPr>
          <w:sz w:val="28"/>
          <w:szCs w:val="28"/>
        </w:rPr>
        <w:t>IIl</w:t>
      </w:r>
      <w:proofErr w:type="spellEnd"/>
      <w:r>
        <w:rPr>
          <w:sz w:val="28"/>
          <w:szCs w:val="28"/>
        </w:rPr>
        <w:t xml:space="preserve"> al Título Décimo "Delitos contra la dignidad de las personas", un artículo 199 y las fracciones I, II </w:t>
      </w:r>
      <w:r>
        <w:rPr>
          <w:sz w:val="28"/>
          <w:szCs w:val="28"/>
        </w:rPr>
        <w:t xml:space="preserve">y III del artículo 200, todas correspondientes al Código Penal del Estado de Chihuahua, para quedar redactado de la siguiente manera: </w:t>
      </w:r>
    </w:p>
    <w:p w14:paraId="00000055" w14:textId="77777777" w:rsidR="003D4C89" w:rsidRDefault="003D4C89">
      <w:pPr>
        <w:spacing w:line="360" w:lineRule="auto"/>
        <w:rPr>
          <w:b/>
          <w:sz w:val="28"/>
          <w:szCs w:val="28"/>
        </w:rPr>
      </w:pPr>
    </w:p>
    <w:p w14:paraId="00000056" w14:textId="77777777" w:rsidR="003D4C89" w:rsidRDefault="00026C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DÉCIMO</w:t>
      </w:r>
    </w:p>
    <w:p w14:paraId="00000057" w14:textId="77777777" w:rsidR="003D4C89" w:rsidRDefault="00026CF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DELITOS CONTRA LA DIGNIDAD DE LAS PERSONAS </w:t>
      </w:r>
    </w:p>
    <w:p w14:paraId="00000058" w14:textId="77777777" w:rsidR="003D4C89" w:rsidRDefault="00026C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CAPÍTULO III </w:t>
      </w:r>
    </w:p>
    <w:p w14:paraId="00000059" w14:textId="77777777" w:rsidR="003D4C89" w:rsidRDefault="00026C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ACECHО</w:t>
      </w:r>
    </w:p>
    <w:p w14:paraId="0000005A" w14:textId="77777777" w:rsidR="003D4C89" w:rsidRDefault="00026CF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ARTÍCULO 199. Comete el delito de acecho </w:t>
      </w:r>
      <w:r>
        <w:rPr>
          <w:b/>
          <w:sz w:val="28"/>
          <w:szCs w:val="28"/>
        </w:rPr>
        <w:t xml:space="preserve">quien realice actos reiterados, sistemáticos o continuos de cercanía física o virtual, vigilancia, seguimiento, comunicación directa o indirecta, envío de mensajes, regalos o cualquier otra forma de contacto que se haga sin el consentimiento de la persona </w:t>
      </w:r>
      <w:r>
        <w:rPr>
          <w:b/>
          <w:sz w:val="28"/>
          <w:szCs w:val="28"/>
        </w:rPr>
        <w:t>que soporta el hecho, se le impondrán de seis meses a dos años de prisión y de treinta a ciento y veinte días de multa.</w:t>
      </w:r>
    </w:p>
    <w:p w14:paraId="0000005B" w14:textId="77777777" w:rsidR="003D4C89" w:rsidRDefault="00026CF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ARTÍCULO 200. Se aplicarán de un año hasta tres años de prisión, a quién cometa delito de acecho: </w:t>
      </w:r>
    </w:p>
    <w:p w14:paraId="0000005C" w14:textId="77777777" w:rsidR="003D4C89" w:rsidRDefault="00026CF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El sujeto activo se valga para la </w:t>
      </w:r>
      <w:r>
        <w:rPr>
          <w:b/>
          <w:sz w:val="28"/>
          <w:szCs w:val="28"/>
        </w:rPr>
        <w:t>comisión del delito de una relación jerárquica, sentimental o de parentesco, laboral o de subordinación;</w:t>
      </w:r>
    </w:p>
    <w:p w14:paraId="0000005D" w14:textId="77777777" w:rsidR="003D4C89" w:rsidRDefault="00026CF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Se cometa en contra de una persona menor de edad o que no tenga la capacidad para comprender el significado del hecho; </w:t>
      </w:r>
    </w:p>
    <w:p w14:paraId="0000005E" w14:textId="77777777" w:rsidR="003D4C89" w:rsidRDefault="00026CF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III. Durante la comisión se</w:t>
      </w:r>
      <w:r>
        <w:rPr>
          <w:b/>
          <w:sz w:val="28"/>
          <w:szCs w:val="28"/>
        </w:rPr>
        <w:t xml:space="preserve"> haga uso o acceso ilícito a equipos informáticos y de comunicación, o por medio de actos reiterados, invasivos o sistemáticos dentro de los medios digitales, tecnológicos, redes sociales o mensajería de la víctima. </w:t>
      </w:r>
    </w:p>
    <w:p w14:paraId="0000005F" w14:textId="77777777" w:rsidR="003D4C89" w:rsidRDefault="003D4C89">
      <w:pPr>
        <w:spacing w:line="360" w:lineRule="auto"/>
        <w:rPr>
          <w:b/>
          <w:sz w:val="28"/>
          <w:szCs w:val="28"/>
        </w:rPr>
      </w:pPr>
    </w:p>
    <w:p w14:paraId="00000060" w14:textId="77777777" w:rsidR="003D4C89" w:rsidRDefault="00026C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TRANSITORIOS </w:t>
      </w:r>
    </w:p>
    <w:p w14:paraId="00000061" w14:textId="77777777" w:rsidR="003D4C89" w:rsidRDefault="003D4C89">
      <w:pPr>
        <w:spacing w:line="360" w:lineRule="auto"/>
        <w:jc w:val="center"/>
        <w:rPr>
          <w:sz w:val="28"/>
          <w:szCs w:val="28"/>
        </w:rPr>
      </w:pPr>
    </w:p>
    <w:p w14:paraId="00000062" w14:textId="77777777" w:rsidR="003D4C89" w:rsidRDefault="00026C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ÚNICO. - El presente de</w:t>
      </w:r>
      <w:r>
        <w:rPr>
          <w:sz w:val="28"/>
          <w:szCs w:val="28"/>
        </w:rPr>
        <w:t xml:space="preserve">creto entrará en vigor al día siguiente de su publicación en el Periódico Oficial del Estado </w:t>
      </w:r>
    </w:p>
    <w:p w14:paraId="00000063" w14:textId="77777777" w:rsidR="003D4C89" w:rsidRDefault="00026CF9">
      <w:pPr>
        <w:spacing w:line="360" w:lineRule="auto"/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D a d 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en Oficialía de partes del Poder Legislativo, al mes de Abril del Año Dos Mil Veinticinco.</w:t>
      </w:r>
    </w:p>
    <w:p w14:paraId="00000064" w14:textId="77777777" w:rsidR="003D4C89" w:rsidRDefault="003D4C89">
      <w:pPr>
        <w:spacing w:line="360" w:lineRule="auto"/>
        <w:rPr>
          <w:sz w:val="28"/>
          <w:szCs w:val="28"/>
        </w:rPr>
      </w:pPr>
    </w:p>
    <w:p w14:paraId="00000065" w14:textId="77777777" w:rsidR="003D4C89" w:rsidRDefault="00026CF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A T E N T A M E N T E</w:t>
      </w:r>
    </w:p>
    <w:p w14:paraId="00000066" w14:textId="77777777" w:rsidR="003D4C89" w:rsidRDefault="003D4C89">
      <w:pPr>
        <w:spacing w:line="360" w:lineRule="auto"/>
        <w:jc w:val="center"/>
        <w:rPr>
          <w:sz w:val="28"/>
          <w:szCs w:val="28"/>
        </w:rPr>
      </w:pPr>
    </w:p>
    <w:p w14:paraId="00000067" w14:textId="77777777" w:rsidR="003D4C89" w:rsidRDefault="003D4C89">
      <w:pPr>
        <w:spacing w:line="360" w:lineRule="auto"/>
        <w:jc w:val="center"/>
        <w:rPr>
          <w:sz w:val="28"/>
          <w:szCs w:val="28"/>
        </w:rPr>
      </w:pPr>
    </w:p>
    <w:p w14:paraId="00000068" w14:textId="77777777" w:rsidR="003D4C89" w:rsidRDefault="003D4C89">
      <w:pPr>
        <w:spacing w:line="360" w:lineRule="auto"/>
        <w:jc w:val="center"/>
        <w:rPr>
          <w:sz w:val="28"/>
          <w:szCs w:val="28"/>
        </w:rPr>
      </w:pPr>
    </w:p>
    <w:p w14:paraId="00000069" w14:textId="77777777" w:rsidR="003D4C89" w:rsidRDefault="00026C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DIP. ROSANA DIAZ REYES </w:t>
      </w:r>
    </w:p>
    <w:p w14:paraId="0000006A" w14:textId="77777777" w:rsidR="003D4C89" w:rsidRDefault="003D4C89">
      <w:pPr>
        <w:spacing w:line="360" w:lineRule="auto"/>
        <w:rPr>
          <w:sz w:val="28"/>
          <w:szCs w:val="28"/>
        </w:rPr>
      </w:pPr>
    </w:p>
    <w:sectPr w:rsidR="003D4C8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DF32" w14:textId="77777777" w:rsidR="00000000" w:rsidRDefault="00026CF9">
      <w:pPr>
        <w:spacing w:line="240" w:lineRule="auto"/>
      </w:pPr>
      <w:r>
        <w:separator/>
      </w:r>
    </w:p>
  </w:endnote>
  <w:endnote w:type="continuationSeparator" w:id="0">
    <w:p w14:paraId="0A751B0D" w14:textId="77777777" w:rsidR="00000000" w:rsidRDefault="00026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8D12" w14:textId="77777777" w:rsidR="00000000" w:rsidRDefault="00026CF9">
      <w:pPr>
        <w:spacing w:line="240" w:lineRule="auto"/>
      </w:pPr>
      <w:r>
        <w:separator/>
      </w:r>
    </w:p>
  </w:footnote>
  <w:footnote w:type="continuationSeparator" w:id="0">
    <w:p w14:paraId="259B17EA" w14:textId="77777777" w:rsidR="00000000" w:rsidRDefault="00026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3D4C89" w:rsidRDefault="00026CF9">
    <w:pPr>
      <w:spacing w:before="240" w:after="240"/>
      <w:jc w:val="right"/>
      <w:rPr>
        <w:b/>
        <w:i/>
      </w:rPr>
    </w:pPr>
    <w:r>
      <w:rPr>
        <w:b/>
        <w:i/>
      </w:rPr>
      <w:t>“2025, Año del Bicentenario de la Primera Constitución del Estado de Chihuahua”</w:t>
    </w:r>
  </w:p>
  <w:p w14:paraId="0000006C" w14:textId="77777777" w:rsidR="003D4C89" w:rsidRDefault="00026CF9">
    <w:pPr>
      <w:spacing w:before="240" w:after="240"/>
      <w:jc w:val="right"/>
      <w:rPr>
        <w:b/>
      </w:rPr>
    </w:pPr>
    <w:r>
      <w:rPr>
        <w:b/>
      </w:rPr>
      <w:t>Grupo Parlamentario de MORENA</w:t>
    </w:r>
  </w:p>
  <w:p w14:paraId="0000006D" w14:textId="77777777" w:rsidR="003D4C89" w:rsidRDefault="00026CF9">
    <w:pPr>
      <w:spacing w:before="240" w:after="240"/>
      <w:jc w:val="right"/>
      <w:rPr>
        <w:b/>
      </w:rPr>
    </w:pPr>
    <w:r>
      <w:rPr>
        <w:b/>
      </w:rPr>
      <w:t xml:space="preserve"> </w:t>
    </w:r>
  </w:p>
  <w:p w14:paraId="0000006E" w14:textId="77777777" w:rsidR="003D4C89" w:rsidRDefault="00026CF9">
    <w:pPr>
      <w:spacing w:before="240" w:after="240"/>
      <w:jc w:val="right"/>
    </w:pPr>
    <w:proofErr w:type="spellStart"/>
    <w:r>
      <w:rPr>
        <w:b/>
      </w:rPr>
      <w:t>Dip</w:t>
    </w:r>
    <w:proofErr w:type="spellEnd"/>
    <w:r>
      <w:rPr>
        <w:b/>
      </w:rPr>
      <w:t>. Rosana Díaz Reyes</w:t>
    </w:r>
  </w:p>
  <w:p w14:paraId="0000006F" w14:textId="77777777" w:rsidR="003D4C89" w:rsidRDefault="003D4C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89"/>
    <w:rsid w:val="00026CF9"/>
    <w:rsid w:val="003D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A39891-7FBB-4732-AF0D-8D5CF43F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2824</Words>
  <Characters>15533</Characters>
  <Application>Microsoft Office Word</Application>
  <DocSecurity>0</DocSecurity>
  <Lines>129</Lines>
  <Paragraphs>36</Paragraphs>
  <ScaleCrop>false</ScaleCrop>
  <Company/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Daniela Flores Chacon</dc:creator>
  <cp:lastModifiedBy>Andrea Daniela Flores Chacon</cp:lastModifiedBy>
  <cp:revision>2</cp:revision>
  <dcterms:created xsi:type="dcterms:W3CDTF">2025-05-21T18:44:00Z</dcterms:created>
  <dcterms:modified xsi:type="dcterms:W3CDTF">2025-05-21T18:44:00Z</dcterms:modified>
</cp:coreProperties>
</file>