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1F6" w14:textId="77777777" w:rsidR="00DB3F45" w:rsidRPr="009715A5" w:rsidRDefault="00DB3F45">
      <w:pPr>
        <w:rPr>
          <w:rFonts w:ascii="Arial" w:hAnsi="Arial" w:cs="Arial"/>
          <w:u w:val="single"/>
        </w:rPr>
      </w:pPr>
    </w:p>
    <w:p w14:paraId="0869172B" w14:textId="77777777" w:rsidR="007F665E" w:rsidRDefault="007F665E" w:rsidP="007F665E">
      <w:pPr>
        <w:ind w:left="1985"/>
        <w:jc w:val="right"/>
        <w:rPr>
          <w:rFonts w:ascii="Arial" w:hAnsi="Arial" w:cs="Arial"/>
        </w:rPr>
      </w:pPr>
    </w:p>
    <w:p w14:paraId="2085A1D4" w14:textId="77777777" w:rsidR="007F665E" w:rsidRDefault="007F665E" w:rsidP="007F665E">
      <w:pPr>
        <w:ind w:left="1985"/>
        <w:rPr>
          <w:rFonts w:ascii="Arial" w:hAnsi="Arial" w:cs="Arial"/>
        </w:rPr>
      </w:pPr>
    </w:p>
    <w:p w14:paraId="419DFBEF" w14:textId="77777777" w:rsidR="007F665E" w:rsidRPr="007F665E" w:rsidRDefault="007F665E" w:rsidP="00187E94">
      <w:pPr>
        <w:spacing w:after="0" w:line="240" w:lineRule="auto"/>
        <w:ind w:left="1985"/>
        <w:rPr>
          <w:rFonts w:ascii="Arial" w:hAnsi="Arial" w:cs="Arial"/>
        </w:rPr>
      </w:pPr>
    </w:p>
    <w:p w14:paraId="2A54670D" w14:textId="77777777" w:rsidR="00187E94" w:rsidRDefault="00187E94" w:rsidP="00187E94">
      <w:pPr>
        <w:spacing w:after="0" w:line="240" w:lineRule="auto"/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0302170C" w14:textId="77777777" w:rsidR="00187E94" w:rsidRDefault="00187E94" w:rsidP="00187E94">
      <w:pPr>
        <w:spacing w:after="0" w:line="240" w:lineRule="auto"/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1AE0C679" w14:textId="77777777" w:rsidR="008C70DE" w:rsidRPr="00AB13E9" w:rsidRDefault="008C70DE" w:rsidP="00187E94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AB13E9">
        <w:rPr>
          <w:rFonts w:ascii="Century Gothic" w:hAnsi="Century Gothic"/>
          <w:b/>
          <w:bCs/>
          <w:sz w:val="28"/>
          <w:szCs w:val="28"/>
          <w:lang w:val="es-ES_tradnl"/>
        </w:rPr>
        <w:t>H. CONGRESO DEL ESTADO DE CHIHUAHUA</w:t>
      </w:r>
    </w:p>
    <w:p w14:paraId="4F7B8C4A" w14:textId="68B7EDA3" w:rsidR="008C70DE" w:rsidRPr="00AB13E9" w:rsidRDefault="008C70DE" w:rsidP="00187E94">
      <w:pPr>
        <w:spacing w:after="0" w:line="240" w:lineRule="auto"/>
        <w:rPr>
          <w:rFonts w:ascii="Century Gothic" w:hAnsi="Century Gothic"/>
          <w:b/>
          <w:bCs/>
          <w:sz w:val="28"/>
          <w:szCs w:val="28"/>
          <w:lang w:val="es-ES_tradnl"/>
        </w:rPr>
      </w:pPr>
      <w:r w:rsidRPr="00AB13E9">
        <w:rPr>
          <w:rFonts w:ascii="Century Gothic" w:hAnsi="Century Gothic"/>
          <w:b/>
          <w:bCs/>
          <w:sz w:val="28"/>
          <w:szCs w:val="28"/>
          <w:lang w:val="es-ES_tradnl"/>
        </w:rPr>
        <w:t xml:space="preserve">P R E S E N T E: </w:t>
      </w:r>
    </w:p>
    <w:p w14:paraId="023AD91E" w14:textId="77777777" w:rsidR="00187E94" w:rsidRPr="00AB13E9" w:rsidRDefault="00187E94" w:rsidP="00187E94">
      <w:pPr>
        <w:spacing w:after="0" w:line="240" w:lineRule="auto"/>
        <w:rPr>
          <w:rFonts w:ascii="Century Gothic" w:hAnsi="Century Gothic"/>
          <w:sz w:val="28"/>
          <w:szCs w:val="28"/>
          <w:lang w:val="es-ES_tradnl"/>
        </w:rPr>
      </w:pPr>
    </w:p>
    <w:p w14:paraId="737E46D6" w14:textId="77777777" w:rsidR="001718D5" w:rsidRPr="00AB13E9" w:rsidRDefault="001718D5" w:rsidP="00187E94">
      <w:pPr>
        <w:spacing w:after="0" w:line="240" w:lineRule="auto"/>
        <w:rPr>
          <w:rFonts w:ascii="Century Gothic" w:hAnsi="Century Gothic"/>
          <w:sz w:val="28"/>
          <w:szCs w:val="28"/>
          <w:lang w:val="es-ES_tradnl"/>
        </w:rPr>
      </w:pPr>
    </w:p>
    <w:p w14:paraId="51C1CF1E" w14:textId="1B620257" w:rsidR="008C70DE" w:rsidRPr="00AB13E9" w:rsidRDefault="003E5DA1" w:rsidP="00FA34EB">
      <w:pPr>
        <w:spacing w:line="360" w:lineRule="auto"/>
        <w:jc w:val="both"/>
        <w:rPr>
          <w:rFonts w:ascii="Century Gothic" w:hAnsi="Century Gothic"/>
          <w:b/>
          <w:i/>
          <w:sz w:val="28"/>
          <w:szCs w:val="28"/>
          <w:u w:val="single"/>
        </w:rPr>
      </w:pP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La suscrita </w:t>
      </w:r>
      <w:r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GEORGINA BUJANDA RÍOS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>, en mi calidad de Diputada de la Sexagésima Séptima Legislatura del H. Congreso del Estado, integrante de la Fracción Parlamentaria del Part</w:t>
      </w:r>
      <w:r w:rsidR="00DB6361">
        <w:rPr>
          <w:rFonts w:ascii="Century Gothic" w:eastAsia="Century Gothic" w:hAnsi="Century Gothic" w:cs="Century Gothic"/>
          <w:color w:val="000000"/>
          <w:sz w:val="28"/>
          <w:szCs w:val="28"/>
        </w:rPr>
        <w:t>ido Acción Nacional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>, con fundamento en los artículos 71 fracción III de la Constitución Política de los estados Unidos Mexicanos; 68, fracción I de la Constitución Política del Estado de Chihuahua, 167 y 168 de la Ley Orgánica del Poder Legislativo, 75 y 76 del Reglamento Interior y Prácticas Parlamentarias del Poder Legisla</w:t>
      </w:r>
      <w:r w:rsidR="00AB13E9"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>tivo y demás relativos, acudo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ante esta Honorable Asamblea Legislativa, a someter a consideración la presente </w:t>
      </w:r>
      <w:r w:rsidR="00FA34EB"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INICIATIVA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con carácter </w:t>
      </w:r>
      <w:r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DE DECRETO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, para </w:t>
      </w:r>
      <w:r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ADICIONAR </w:t>
      </w:r>
      <w:r w:rsidR="00E71210"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una porción a 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>la</w:t>
      </w:r>
      <w:r w:rsidR="00FA34EB"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FRACCIÓN VIII</w:t>
      </w:r>
      <w:r w:rsidR="00E71210"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del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</w:t>
      </w:r>
      <w:r w:rsidR="00FA34EB"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ARTÍCULO 27 DE LA </w:t>
      </w:r>
      <w:r w:rsidR="00FA34EB" w:rsidRPr="00AB13E9">
        <w:rPr>
          <w:rFonts w:ascii="Century Gothic" w:eastAsia="Arial" w:hAnsi="Century Gothic" w:cs="Arial"/>
          <w:b/>
          <w:sz w:val="28"/>
          <w:szCs w:val="28"/>
        </w:rPr>
        <w:t>LEY ESTATAL DEL DERECHO DE LAS MUJERESA UNA VIDA LIBRE</w:t>
      </w:r>
      <w:r w:rsidR="00FA34EB" w:rsidRPr="00AB13E9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, a efecto de que se </w:t>
      </w:r>
      <w:r w:rsidR="00FA34EB" w:rsidRPr="00AB13E9">
        <w:rPr>
          <w:rFonts w:ascii="Century Gothic" w:hAnsi="Century Gothic"/>
          <w:b/>
          <w:i/>
          <w:sz w:val="28"/>
          <w:szCs w:val="28"/>
          <w:u w:val="single"/>
        </w:rPr>
        <w:t>cuente con personal capacitado en lenguas indígenas para eliminar la brecha lingüística y facilitar la comunicación efectiva con las mujeres indígenas</w:t>
      </w:r>
      <w:r w:rsidRPr="00AB13E9">
        <w:rPr>
          <w:rFonts w:ascii="Century Gothic" w:eastAsia="Century Gothic" w:hAnsi="Century Gothic" w:cs="Century Gothic"/>
          <w:color w:val="000000"/>
          <w:sz w:val="28"/>
          <w:szCs w:val="28"/>
        </w:rPr>
        <w:t>; lo anterior bajo la siguiente:</w:t>
      </w:r>
    </w:p>
    <w:p w14:paraId="1333A2BE" w14:textId="77777777" w:rsidR="008C70DE" w:rsidRPr="00AB13E9" w:rsidRDefault="008C70DE" w:rsidP="008C70DE">
      <w:pPr>
        <w:rPr>
          <w:rFonts w:ascii="Century Gothic" w:hAnsi="Century Gothic"/>
          <w:sz w:val="28"/>
          <w:szCs w:val="28"/>
        </w:rPr>
      </w:pPr>
    </w:p>
    <w:p w14:paraId="1380AC31" w14:textId="77777777" w:rsidR="005A6343" w:rsidRPr="00AB13E9" w:rsidRDefault="005A6343" w:rsidP="008C70DE">
      <w:pPr>
        <w:rPr>
          <w:rFonts w:ascii="Century Gothic" w:hAnsi="Century Gothic"/>
          <w:sz w:val="28"/>
          <w:szCs w:val="28"/>
        </w:rPr>
      </w:pPr>
    </w:p>
    <w:p w14:paraId="4A5A8A80" w14:textId="77777777" w:rsidR="005A6343" w:rsidRPr="00AB13E9" w:rsidRDefault="005A6343" w:rsidP="008C70DE">
      <w:pPr>
        <w:rPr>
          <w:rFonts w:ascii="Century Gothic" w:hAnsi="Century Gothic"/>
          <w:sz w:val="28"/>
          <w:szCs w:val="28"/>
        </w:rPr>
      </w:pPr>
    </w:p>
    <w:p w14:paraId="0E801AE8" w14:textId="77777777" w:rsidR="005A6343" w:rsidRPr="00AB13E9" w:rsidRDefault="005A6343" w:rsidP="008C70DE">
      <w:pPr>
        <w:rPr>
          <w:rFonts w:ascii="Century Gothic" w:hAnsi="Century Gothic"/>
          <w:sz w:val="28"/>
          <w:szCs w:val="28"/>
        </w:rPr>
      </w:pPr>
    </w:p>
    <w:p w14:paraId="7D46929E" w14:textId="77777777" w:rsidR="001718D5" w:rsidRPr="00AB13E9" w:rsidRDefault="008C70DE" w:rsidP="001718D5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EXPOSICION DE MOTIVOS</w:t>
      </w:r>
    </w:p>
    <w:p w14:paraId="7236EF6C" w14:textId="77777777" w:rsidR="005F1C84" w:rsidRPr="00AB13E9" w:rsidRDefault="005F1C84" w:rsidP="001718D5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3668E938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>L</w:t>
      </w:r>
      <w:r w:rsidR="005A6343" w:rsidRPr="00AB13E9">
        <w:rPr>
          <w:rFonts w:ascii="Century Gothic" w:hAnsi="Century Gothic"/>
          <w:sz w:val="28"/>
          <w:szCs w:val="28"/>
        </w:rPr>
        <w:t xml:space="preserve">as mujeres indígenas enfrentan múltiples formas de violencia, incluyendo violencia intrafamiliar, violación, robo, lesiones, abusos sexuales, incumplimiento de la alimentación para sus hijos, fraude y amenazas. </w:t>
      </w:r>
    </w:p>
    <w:p w14:paraId="1D0FCBFD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8821645" w14:textId="71C7E7AD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>Durante el 2021, un total de 561 mujeres de pueblos indígenas denunciaron ante las autoridades haber sufrido algún tipo de agresión, y hasta el 29 de julio del año siguiente, se habían recibido otras 323 querellas por los mismos tipos de ilícitos.</w:t>
      </w:r>
    </w:p>
    <w:p w14:paraId="419D35F3" w14:textId="77777777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2F52AAF" w14:textId="08E6C67A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 xml:space="preserve">Estas mujeres pertenecen a diversas etnias como Rarámuri, </w:t>
      </w:r>
      <w:proofErr w:type="gramStart"/>
      <w:r w:rsidRPr="00AB13E9">
        <w:rPr>
          <w:rFonts w:ascii="Century Gothic" w:hAnsi="Century Gothic"/>
          <w:sz w:val="28"/>
          <w:szCs w:val="28"/>
        </w:rPr>
        <w:t>Náhuatl</w:t>
      </w:r>
      <w:proofErr w:type="gramEnd"/>
      <w:r w:rsidRPr="00AB13E9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AB13E9">
        <w:rPr>
          <w:rFonts w:ascii="Century Gothic" w:hAnsi="Century Gothic"/>
          <w:sz w:val="28"/>
          <w:szCs w:val="28"/>
        </w:rPr>
        <w:t>Tepehuan</w:t>
      </w:r>
      <w:proofErr w:type="spellEnd"/>
      <w:r w:rsidRPr="00AB13E9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AB13E9">
        <w:rPr>
          <w:rFonts w:ascii="Century Gothic" w:hAnsi="Century Gothic"/>
          <w:sz w:val="28"/>
          <w:szCs w:val="28"/>
        </w:rPr>
        <w:t>Oculteco</w:t>
      </w:r>
      <w:proofErr w:type="spellEnd"/>
      <w:r w:rsidRPr="00AB13E9">
        <w:rPr>
          <w:rFonts w:ascii="Century Gothic" w:hAnsi="Century Gothic"/>
          <w:sz w:val="28"/>
          <w:szCs w:val="28"/>
        </w:rPr>
        <w:t xml:space="preserve"> y otros grupos originarios. Además de la violencia ejercida por sus parejas, las mujeres indígenas también enfrentan violencia que incluye la falta de garantías de sus derechos, como el acceso a la anticoncepción y la información sobre síntomas de salud en su lengua materna.</w:t>
      </w:r>
    </w:p>
    <w:p w14:paraId="0211715F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966B746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106439B0" w14:textId="77777777" w:rsidR="00E71210" w:rsidRPr="00AB13E9" w:rsidRDefault="00E71210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1858DA24" w14:textId="77777777" w:rsidR="00AB13E9" w:rsidRPr="00AB13E9" w:rsidRDefault="00AB13E9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5DF7F7BC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 xml:space="preserve">La necesidad de contar con hablantes de lenguas indígenas en los refugios para mujeres surge de la profunda diversidad cultural y lingüística que caracteriza a las comunidades indígenas. Estos refugios desempeñan un papel crucial al ofrecer seguridad y respaldo a mujeres que han sufrido violencia de género, y es fundamental que estos espacios sean culturalmente sensibles y accesibles. </w:t>
      </w:r>
    </w:p>
    <w:p w14:paraId="34BD8CCC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65870CF" w14:textId="0CE7D405" w:rsidR="005A6343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>La presencia de hablantes de lenguas indígenas garantiza que las mujeres de estas comunidades puedan acceder a servicios y apoyo en su lengua materna, superando así las barreras lingüísticas que podrían impedirles buscar ayuda.</w:t>
      </w:r>
    </w:p>
    <w:p w14:paraId="7C121D38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7005DA78" w14:textId="77777777" w:rsidR="00E71210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 xml:space="preserve">La comunicación efectiva es fundamental en la atención a mujeres que buscan refugio tras enfrentar violencia de género. La inclusión de hablantes de lenguas indígenas en el personal de estos refugios facilita una comunicación clara y comprensible, permitiendo a las mujeres expresar sus experiencias y necesidades de manera completa, lo que reduce </w:t>
      </w:r>
    </w:p>
    <w:p w14:paraId="78B4D9D2" w14:textId="77777777" w:rsidR="00E71210" w:rsidRPr="00AB13E9" w:rsidRDefault="00E71210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D155668" w14:textId="77777777" w:rsidR="00E71210" w:rsidRPr="00AB13E9" w:rsidRDefault="00E71210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46A0BD35" w14:textId="77777777" w:rsidR="00E71210" w:rsidRPr="00AB13E9" w:rsidRDefault="00E71210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9EC6575" w14:textId="2B9B1D04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>malentendidos y crea un ambiente de confianza y entendimiento cultural.</w:t>
      </w:r>
    </w:p>
    <w:p w14:paraId="7D80CAB6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50EDAC24" w14:textId="77777777" w:rsidR="005F1C84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>Además de ofrecer servicios lingüísticos, la presencia de hablantes de lenguas indígenas en refugios implica crear un ambiente acogedor y culturalmente apropiado. Sentirse comprendida y respaldada en su identidad cultural específica puede tener un gran impacto en el bienestar emocional y psicológico de las mujeres indígenas que buscan refugio.</w:t>
      </w:r>
    </w:p>
    <w:p w14:paraId="7CED176B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1DF9AC69" w14:textId="48F1BD04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 xml:space="preserve"> En definitiva, incorporar hablantes de lenguas indígenas fortalece la capacidad de los refugios para abordar las necesidades específicas de estas mujeres, contribuyendo a construir comunidades más seguras, inclusivas y culturalmente sensibles.</w:t>
      </w:r>
    </w:p>
    <w:p w14:paraId="2EA86353" w14:textId="77777777" w:rsidR="005F1C84" w:rsidRPr="00AB13E9" w:rsidRDefault="005F1C84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0D846D60" w14:textId="77777777" w:rsidR="005F1C84" w:rsidRPr="00AB13E9" w:rsidRDefault="005F1C84" w:rsidP="005F1C84">
      <w:pPr>
        <w:spacing w:line="360" w:lineRule="auto"/>
        <w:jc w:val="both"/>
        <w:rPr>
          <w:rFonts w:ascii="Century Gothic" w:eastAsia="Arial" w:hAnsi="Century Gothic" w:cs="Arial"/>
          <w:b/>
          <w:sz w:val="28"/>
          <w:szCs w:val="28"/>
        </w:rPr>
      </w:pPr>
      <w:r w:rsidRPr="00AB13E9">
        <w:rPr>
          <w:rFonts w:ascii="Century Gothic" w:hAnsi="Century Gothic"/>
          <w:sz w:val="28"/>
          <w:szCs w:val="28"/>
        </w:rPr>
        <w:t xml:space="preserve">Por lo anteriormente expuesto, someto a su consideración el siguiente proyecto de: </w:t>
      </w:r>
    </w:p>
    <w:p w14:paraId="0E57F643" w14:textId="77777777" w:rsidR="005A6343" w:rsidRPr="00AB13E9" w:rsidRDefault="005A6343" w:rsidP="005A6343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1F876389" w14:textId="77777777" w:rsidR="00E71210" w:rsidRPr="00AB13E9" w:rsidRDefault="00E71210" w:rsidP="00937786">
      <w:pPr>
        <w:spacing w:line="360" w:lineRule="auto"/>
        <w:jc w:val="center"/>
        <w:rPr>
          <w:rFonts w:ascii="Century Gothic" w:eastAsia="Arial" w:hAnsi="Century Gothic" w:cs="Arial"/>
          <w:b/>
          <w:sz w:val="28"/>
          <w:szCs w:val="28"/>
        </w:rPr>
      </w:pPr>
    </w:p>
    <w:p w14:paraId="28024AF9" w14:textId="77777777" w:rsidR="00E71210" w:rsidRPr="00AB13E9" w:rsidRDefault="00E71210" w:rsidP="00937786">
      <w:pPr>
        <w:spacing w:line="360" w:lineRule="auto"/>
        <w:jc w:val="center"/>
        <w:rPr>
          <w:rFonts w:ascii="Century Gothic" w:eastAsia="Arial" w:hAnsi="Century Gothic" w:cs="Arial"/>
          <w:b/>
          <w:sz w:val="28"/>
          <w:szCs w:val="28"/>
        </w:rPr>
      </w:pPr>
    </w:p>
    <w:p w14:paraId="6ED917B3" w14:textId="322A11CB" w:rsidR="00523431" w:rsidRPr="00AB13E9" w:rsidRDefault="008C70DE" w:rsidP="00937786">
      <w:pPr>
        <w:spacing w:line="360" w:lineRule="auto"/>
        <w:jc w:val="center"/>
        <w:rPr>
          <w:rFonts w:ascii="Century Gothic" w:eastAsia="Arial" w:hAnsi="Century Gothic" w:cs="Arial"/>
          <w:b/>
          <w:sz w:val="28"/>
          <w:szCs w:val="28"/>
        </w:rPr>
      </w:pPr>
      <w:r w:rsidRPr="00AB13E9">
        <w:rPr>
          <w:rFonts w:ascii="Century Gothic" w:eastAsia="Arial" w:hAnsi="Century Gothic" w:cs="Arial"/>
          <w:b/>
          <w:sz w:val="28"/>
          <w:szCs w:val="28"/>
        </w:rPr>
        <w:t>DECRETO</w:t>
      </w:r>
    </w:p>
    <w:p w14:paraId="26145EB1" w14:textId="65E1F7F3" w:rsidR="008C70DE" w:rsidRPr="00AB13E9" w:rsidRDefault="00BA1A34" w:rsidP="00FA34EB">
      <w:pPr>
        <w:spacing w:line="360" w:lineRule="auto"/>
        <w:jc w:val="both"/>
        <w:rPr>
          <w:rFonts w:ascii="Century Gothic" w:eastAsia="Arial" w:hAnsi="Century Gothic" w:cs="Arial"/>
          <w:b/>
          <w:sz w:val="28"/>
          <w:szCs w:val="28"/>
        </w:rPr>
      </w:pPr>
      <w:r w:rsidRPr="00AB13E9">
        <w:rPr>
          <w:rFonts w:ascii="Century Gothic" w:eastAsia="Arial" w:hAnsi="Century Gothic" w:cs="Arial"/>
          <w:b/>
          <w:sz w:val="28"/>
          <w:szCs w:val="28"/>
        </w:rPr>
        <w:t>ARTÍCULO</w:t>
      </w:r>
      <w:r w:rsidR="00523431" w:rsidRPr="00AB13E9">
        <w:rPr>
          <w:rFonts w:ascii="Century Gothic" w:eastAsia="Arial" w:hAnsi="Century Gothic" w:cs="Arial"/>
          <w:b/>
          <w:sz w:val="28"/>
          <w:szCs w:val="28"/>
        </w:rPr>
        <w:t xml:space="preserve"> </w:t>
      </w:r>
      <w:proofErr w:type="gramStart"/>
      <w:r w:rsidR="00523431" w:rsidRPr="00AB13E9">
        <w:rPr>
          <w:rFonts w:ascii="Century Gothic" w:eastAsia="Arial" w:hAnsi="Century Gothic" w:cs="Arial"/>
          <w:b/>
          <w:sz w:val="28"/>
          <w:szCs w:val="28"/>
        </w:rPr>
        <w:t>ÚNICO.-</w:t>
      </w:r>
      <w:proofErr w:type="gramEnd"/>
      <w:r w:rsidR="00523431" w:rsidRPr="00AB13E9">
        <w:rPr>
          <w:rFonts w:ascii="Century Gothic" w:eastAsia="Arial" w:hAnsi="Century Gothic" w:cs="Arial"/>
          <w:b/>
          <w:sz w:val="28"/>
          <w:szCs w:val="28"/>
        </w:rPr>
        <w:t xml:space="preserve"> </w:t>
      </w:r>
      <w:r w:rsidR="00523431" w:rsidRPr="00AB13E9">
        <w:rPr>
          <w:rFonts w:ascii="Century Gothic" w:eastAsia="Arial" w:hAnsi="Century Gothic" w:cs="Arial"/>
          <w:sz w:val="28"/>
          <w:szCs w:val="28"/>
        </w:rPr>
        <w:t>Se</w:t>
      </w:r>
      <w:r w:rsidR="00B41209" w:rsidRPr="00AB13E9">
        <w:rPr>
          <w:rFonts w:ascii="Century Gothic" w:eastAsia="Arial" w:hAnsi="Century Gothic" w:cs="Arial"/>
          <w:b/>
          <w:sz w:val="28"/>
          <w:szCs w:val="28"/>
        </w:rPr>
        <w:t xml:space="preserve"> ADICIONA</w:t>
      </w:r>
      <w:r w:rsidR="005F1C84" w:rsidRPr="00AB13E9">
        <w:rPr>
          <w:rFonts w:ascii="Century Gothic" w:eastAsia="Arial" w:hAnsi="Century Gothic" w:cs="Arial"/>
          <w:b/>
          <w:sz w:val="28"/>
          <w:szCs w:val="28"/>
        </w:rPr>
        <w:t xml:space="preserve"> una porción al </w:t>
      </w:r>
      <w:r w:rsidR="00FA34EB" w:rsidRPr="00AB13E9">
        <w:rPr>
          <w:rFonts w:ascii="Century Gothic" w:eastAsia="Arial" w:hAnsi="Century Gothic" w:cs="Arial"/>
          <w:b/>
          <w:sz w:val="28"/>
          <w:szCs w:val="28"/>
        </w:rPr>
        <w:t xml:space="preserve">artículo </w:t>
      </w:r>
      <w:r w:rsidR="00FA34EB" w:rsidRPr="00AB13E9">
        <w:rPr>
          <w:rFonts w:ascii="Century Gothic" w:eastAsia="Arial" w:hAnsi="Century Gothic" w:cs="Arial"/>
          <w:b/>
          <w:sz w:val="28"/>
          <w:szCs w:val="28"/>
          <w:u w:val="single"/>
        </w:rPr>
        <w:t>27 FRACCION VIII</w:t>
      </w:r>
      <w:r w:rsidR="00FA34EB" w:rsidRPr="00AB13E9">
        <w:rPr>
          <w:rFonts w:ascii="Century Gothic" w:eastAsia="Arial" w:hAnsi="Century Gothic" w:cs="Arial"/>
          <w:b/>
          <w:sz w:val="28"/>
          <w:szCs w:val="28"/>
        </w:rPr>
        <w:t xml:space="preserve"> de la LEY ESTATAL DEL DERECHO DE LAS MUJERESA UNA VIDA LIBRE DE VIOLENCIA</w:t>
      </w:r>
      <w:r w:rsidR="00523431" w:rsidRPr="00AB13E9">
        <w:rPr>
          <w:rFonts w:ascii="Century Gothic" w:eastAsia="Arial" w:hAnsi="Century Gothic" w:cs="Arial"/>
          <w:sz w:val="28"/>
          <w:szCs w:val="28"/>
        </w:rPr>
        <w:t>,</w:t>
      </w:r>
      <w:r w:rsidR="00FA34EB" w:rsidRPr="00AB13E9">
        <w:rPr>
          <w:rFonts w:ascii="Century Gothic" w:eastAsia="Arial" w:hAnsi="Century Gothic" w:cs="Arial"/>
          <w:sz w:val="28"/>
          <w:szCs w:val="28"/>
        </w:rPr>
        <w:t xml:space="preserve"> relativo a la difusión de información en las comunidades indígenas </w:t>
      </w:r>
      <w:r w:rsidR="00B41209" w:rsidRPr="00AB13E9">
        <w:rPr>
          <w:rFonts w:ascii="Century Gothic" w:eastAsia="Arial" w:hAnsi="Century Gothic" w:cs="Arial"/>
          <w:sz w:val="28"/>
          <w:szCs w:val="28"/>
        </w:rPr>
        <w:t xml:space="preserve"> ,</w:t>
      </w:r>
      <w:r w:rsidR="00523431" w:rsidRPr="00AB13E9">
        <w:rPr>
          <w:rFonts w:ascii="Century Gothic" w:eastAsia="Arial" w:hAnsi="Century Gothic" w:cs="Arial"/>
          <w:sz w:val="28"/>
          <w:szCs w:val="28"/>
        </w:rPr>
        <w:t xml:space="preserve"> para quedar redactado de la siguiente manera: </w:t>
      </w:r>
    </w:p>
    <w:p w14:paraId="3B33B1AD" w14:textId="77777777" w:rsidR="00BA1A34" w:rsidRPr="00AB13E9" w:rsidRDefault="00BA1A34" w:rsidP="00523431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414DD382" w14:textId="65BB5637" w:rsidR="00FA34EB" w:rsidRPr="00AB13E9" w:rsidRDefault="00FA34EB" w:rsidP="00FA34EB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 xml:space="preserve">ARTICULO 27. SON ATRIBUCIONES Y OBLIGACIONES DEL ESTADO: </w:t>
      </w:r>
    </w:p>
    <w:p w14:paraId="61B7F851" w14:textId="59A39AE0" w:rsidR="00FA34EB" w:rsidRPr="00AB13E9" w:rsidRDefault="00F14F21" w:rsidP="00FA34EB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I-VII (…)</w:t>
      </w:r>
    </w:p>
    <w:p w14:paraId="56AB35DF" w14:textId="1E230283" w:rsidR="00B41209" w:rsidRPr="00AB13E9" w:rsidRDefault="00FA34EB" w:rsidP="00FA34EB">
      <w:pPr>
        <w:spacing w:line="360" w:lineRule="auto"/>
        <w:jc w:val="both"/>
        <w:rPr>
          <w:rFonts w:ascii="Century Gothic" w:hAnsi="Century Gothic"/>
          <w:b/>
          <w:i/>
          <w:sz w:val="28"/>
          <w:szCs w:val="28"/>
          <w:u w:val="single"/>
        </w:rPr>
      </w:pPr>
      <w:r w:rsidRPr="00AB13E9">
        <w:rPr>
          <w:rFonts w:ascii="Century Gothic" w:hAnsi="Century Gothic"/>
          <w:b/>
          <w:sz w:val="28"/>
          <w:szCs w:val="28"/>
        </w:rPr>
        <w:t>VIII.</w:t>
      </w:r>
      <w:r w:rsidRPr="00AB13E9">
        <w:rPr>
          <w:rFonts w:ascii="Century Gothic" w:hAnsi="Century Gothic"/>
          <w:sz w:val="28"/>
          <w:szCs w:val="28"/>
        </w:rPr>
        <w:t xml:space="preserve"> Difundir en las comunidades indígenas información sobre los derechos de las mujeres, y diseñar un programa de prevención de la violencia en contra de niñas y adolescentes desde una perspectiva intercultural</w:t>
      </w:r>
      <w:r w:rsidRPr="00AB13E9">
        <w:rPr>
          <w:rFonts w:ascii="Century Gothic" w:hAnsi="Century Gothic"/>
          <w:b/>
          <w:sz w:val="28"/>
          <w:szCs w:val="28"/>
        </w:rPr>
        <w:t xml:space="preserve">. </w:t>
      </w:r>
      <w:r w:rsidRPr="00AB13E9">
        <w:rPr>
          <w:rFonts w:ascii="Century Gothic" w:hAnsi="Century Gothic"/>
          <w:b/>
          <w:i/>
          <w:sz w:val="28"/>
          <w:szCs w:val="28"/>
          <w:u w:val="single"/>
        </w:rPr>
        <w:t>ASÍ MISMO DEBERÁ CONTAR CON PERSONAL CAPACITADO EN LENGUAS INDÍGENAS PARA ELIMINAR LA BRECHA LINGÜÍSTICA Y FACILITAR LA COMUNICACIÓN EFECTIVA CON LAS MUJERES INDÍGENAS.</w:t>
      </w:r>
    </w:p>
    <w:p w14:paraId="3D6C0342" w14:textId="77777777" w:rsidR="00E71210" w:rsidRPr="00AB13E9" w:rsidRDefault="00E71210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73C5D1D1" w14:textId="77777777" w:rsidR="00E71210" w:rsidRPr="00AB13E9" w:rsidRDefault="00E71210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070F2CC6" w14:textId="77777777" w:rsidR="00E71210" w:rsidRPr="00AB13E9" w:rsidRDefault="00E71210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6C35667E" w14:textId="77777777" w:rsidR="00E71210" w:rsidRPr="00AB13E9" w:rsidRDefault="00E71210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57A9E350" w14:textId="77777777" w:rsidR="00E71210" w:rsidRPr="00AB13E9" w:rsidRDefault="00E71210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50D63F83" w14:textId="44BE75B0" w:rsidR="00580AAA" w:rsidRPr="00AB13E9" w:rsidRDefault="00FA34EB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T</w:t>
      </w:r>
      <w:r w:rsidR="00580AAA" w:rsidRPr="00AB13E9">
        <w:rPr>
          <w:rFonts w:ascii="Century Gothic" w:hAnsi="Century Gothic"/>
          <w:b/>
          <w:sz w:val="28"/>
          <w:szCs w:val="28"/>
        </w:rPr>
        <w:t>RANSITORIOS:</w:t>
      </w:r>
    </w:p>
    <w:p w14:paraId="464F63F9" w14:textId="77777777" w:rsidR="00580AAA" w:rsidRPr="00AB13E9" w:rsidRDefault="00580AAA" w:rsidP="00580AAA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6EBB2A0F" w14:textId="77777777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ÚNICO:</w:t>
      </w:r>
      <w:r w:rsidRPr="00AB13E9">
        <w:rPr>
          <w:rFonts w:ascii="Century Gothic" w:hAnsi="Century Gothic"/>
          <w:sz w:val="28"/>
          <w:szCs w:val="28"/>
        </w:rPr>
        <w:t xml:space="preserve"> El presente decreto entrará en vigor al día siguiente de su publicación en el Periódico Oficial del Estado. </w:t>
      </w:r>
    </w:p>
    <w:p w14:paraId="1D498327" w14:textId="77777777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83932D4" w14:textId="77777777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ECONÓMICO:</w:t>
      </w:r>
      <w:r w:rsidRPr="00AB13E9">
        <w:rPr>
          <w:rFonts w:ascii="Century Gothic" w:hAnsi="Century Gothic"/>
          <w:sz w:val="28"/>
          <w:szCs w:val="28"/>
        </w:rPr>
        <w:t xml:space="preserve"> Aprobado que sea, túrnese a la Secretaría para que elabore la minuta de decreto correspondiente.</w:t>
      </w:r>
    </w:p>
    <w:p w14:paraId="1720A78D" w14:textId="77777777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5AC89BB8" w14:textId="2E439984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DADO</w:t>
      </w:r>
      <w:r w:rsidRPr="00AB13E9">
        <w:rPr>
          <w:rFonts w:ascii="Century Gothic" w:hAnsi="Century Gothic"/>
          <w:sz w:val="28"/>
          <w:szCs w:val="28"/>
        </w:rPr>
        <w:t xml:space="preserve"> en el salón de sesiones del Poder Legislativo de Chihuahua, a los </w:t>
      </w:r>
      <w:r w:rsidR="00FA34EB" w:rsidRPr="00AB13E9">
        <w:rPr>
          <w:rFonts w:ascii="Century Gothic" w:hAnsi="Century Gothic"/>
          <w:sz w:val="28"/>
          <w:szCs w:val="28"/>
        </w:rPr>
        <w:t>13</w:t>
      </w:r>
      <w:r w:rsidR="007347A4" w:rsidRPr="00AB13E9">
        <w:rPr>
          <w:rFonts w:ascii="Century Gothic" w:hAnsi="Century Gothic"/>
          <w:sz w:val="28"/>
          <w:szCs w:val="28"/>
        </w:rPr>
        <w:t xml:space="preserve"> </w:t>
      </w:r>
      <w:r w:rsidRPr="00AB13E9">
        <w:rPr>
          <w:rFonts w:ascii="Century Gothic" w:hAnsi="Century Gothic"/>
          <w:sz w:val="28"/>
          <w:szCs w:val="28"/>
        </w:rPr>
        <w:t xml:space="preserve">días del mes de </w:t>
      </w:r>
      <w:r w:rsidR="007347A4" w:rsidRPr="00AB13E9">
        <w:rPr>
          <w:rFonts w:ascii="Century Gothic" w:hAnsi="Century Gothic"/>
          <w:sz w:val="28"/>
          <w:szCs w:val="28"/>
        </w:rPr>
        <w:t>marz</w:t>
      </w:r>
      <w:r w:rsidR="00B42910" w:rsidRPr="00AB13E9">
        <w:rPr>
          <w:rFonts w:ascii="Century Gothic" w:hAnsi="Century Gothic"/>
          <w:sz w:val="28"/>
          <w:szCs w:val="28"/>
        </w:rPr>
        <w:t>o del año dos mil veinticuatro</w:t>
      </w:r>
      <w:r w:rsidRPr="00AB13E9">
        <w:rPr>
          <w:rFonts w:ascii="Century Gothic" w:hAnsi="Century Gothic"/>
          <w:sz w:val="28"/>
          <w:szCs w:val="28"/>
        </w:rPr>
        <w:t xml:space="preserve">. </w:t>
      </w:r>
    </w:p>
    <w:p w14:paraId="65D8C576" w14:textId="77777777" w:rsidR="00FA34EB" w:rsidRPr="00AB13E9" w:rsidRDefault="00FA34EB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  <w:sectPr w:rsidR="00FA34EB" w:rsidRPr="00AB13E9" w:rsidSect="00FA34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701" w:right="1701" w:bottom="1417" w:left="1701" w:header="708" w:footer="708" w:gutter="0"/>
          <w:cols w:space="708"/>
          <w:docGrid w:linePitch="360"/>
        </w:sectPr>
      </w:pPr>
    </w:p>
    <w:p w14:paraId="5D0AD754" w14:textId="161CB1AC" w:rsidR="00580AAA" w:rsidRPr="00AB13E9" w:rsidRDefault="00580AAA" w:rsidP="00580AAA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</w:p>
    <w:p w14:paraId="2B825180" w14:textId="6F31D383" w:rsidR="00E71210" w:rsidRPr="00AB13E9" w:rsidRDefault="00E71210" w:rsidP="00580AAA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 xml:space="preserve">ATENTAMENTE LA DE LA VOZ </w:t>
      </w:r>
    </w:p>
    <w:p w14:paraId="417D6262" w14:textId="77777777" w:rsidR="00E71210" w:rsidRPr="00AB13E9" w:rsidRDefault="00E71210" w:rsidP="00580AAA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244942D9" w14:textId="29963B01" w:rsidR="00E71210" w:rsidRPr="00AB13E9" w:rsidRDefault="00E71210" w:rsidP="00580AAA">
      <w:pPr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AB13E9">
        <w:rPr>
          <w:rFonts w:ascii="Century Gothic" w:hAnsi="Century Gothic"/>
          <w:b/>
          <w:sz w:val="28"/>
          <w:szCs w:val="28"/>
        </w:rPr>
        <w:t>DIP. GEORGINA BUJANDA</w:t>
      </w:r>
    </w:p>
    <w:p w14:paraId="19AB0472" w14:textId="77777777" w:rsidR="00580AAA" w:rsidRPr="00AB13E9" w:rsidRDefault="00580AAA" w:rsidP="007F665E">
      <w:pPr>
        <w:ind w:left="-567"/>
        <w:jc w:val="both"/>
        <w:rPr>
          <w:rFonts w:ascii="Arial" w:hAnsi="Arial" w:cs="Arial"/>
          <w:sz w:val="28"/>
          <w:szCs w:val="28"/>
          <w:u w:val="single"/>
        </w:rPr>
      </w:pPr>
    </w:p>
    <w:p w14:paraId="508CA2DB" w14:textId="77777777" w:rsidR="008A5352" w:rsidRPr="00E71210" w:rsidRDefault="008A5352" w:rsidP="007F665E">
      <w:pPr>
        <w:ind w:left="-567"/>
        <w:jc w:val="both"/>
        <w:rPr>
          <w:rFonts w:ascii="Arial" w:hAnsi="Arial" w:cs="Arial"/>
          <w:sz w:val="28"/>
          <w:szCs w:val="28"/>
          <w:u w:val="single"/>
        </w:rPr>
      </w:pPr>
    </w:p>
    <w:p w14:paraId="3DEA178D" w14:textId="77777777" w:rsidR="008A5352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p w14:paraId="58964008" w14:textId="77777777" w:rsidR="008A5352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p w14:paraId="25A871CD" w14:textId="77777777" w:rsidR="008A5352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p w14:paraId="66D39553" w14:textId="77777777" w:rsidR="008A5352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p w14:paraId="5E147BEC" w14:textId="77777777" w:rsidR="008A5352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p w14:paraId="539DC0FC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66016986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5F3A1BAF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5344F8E4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180D2762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4BACAB4D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3A347480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09662FF0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6F39B028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1327EDC3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7DD915CC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0C2629A6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2F188692" w14:textId="77777777" w:rsidR="00E71210" w:rsidRDefault="00E71210" w:rsidP="007F665E">
      <w:pPr>
        <w:ind w:left="-567"/>
        <w:jc w:val="both"/>
        <w:rPr>
          <w:rFonts w:ascii="Arial" w:hAnsi="Arial" w:cs="Arial"/>
          <w:u w:val="single"/>
        </w:rPr>
      </w:pPr>
    </w:p>
    <w:p w14:paraId="67982050" w14:textId="77777777" w:rsidR="008A5352" w:rsidRDefault="008A5352" w:rsidP="008A5352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  <w:sectPr w:rsidR="008A5352" w:rsidSect="008A5352">
          <w:type w:val="continuous"/>
          <w:pgSz w:w="12240" w:h="15840"/>
          <w:pgMar w:top="1701" w:right="1701" w:bottom="1417" w:left="1701" w:header="708" w:footer="708" w:gutter="0"/>
          <w:cols w:num="2" w:space="708"/>
          <w:docGrid w:linePitch="360"/>
        </w:sectPr>
      </w:pPr>
    </w:p>
    <w:p w14:paraId="08B6DA68" w14:textId="3BB9F27B" w:rsidR="008A5352" w:rsidRDefault="008A5352" w:rsidP="008A5352">
      <w:pPr>
        <w:spacing w:before="150" w:after="150"/>
        <w:jc w:val="center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rFonts w:ascii="Century Gothic" w:eastAsia="Arial" w:hAnsi="Century Gothic" w:cs="Arial"/>
          <w:b/>
          <w:color w:val="4A4A4A"/>
          <w:sz w:val="20"/>
          <w:szCs w:val="20"/>
        </w:rPr>
        <w:t>ATENTAMENTE</w:t>
      </w:r>
    </w:p>
    <w:p w14:paraId="48FD096E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8F8ECD0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  <w:sectPr w:rsidR="008A5352" w:rsidSect="008A5352">
          <w:type w:val="continuous"/>
          <w:pgSz w:w="12240" w:h="15840"/>
          <w:pgMar w:top="1701" w:right="1701" w:bottom="1417" w:left="1701" w:header="708" w:footer="708" w:gutter="0"/>
          <w:cols w:space="708"/>
          <w:docGrid w:linePitch="360"/>
        </w:sectPr>
      </w:pPr>
    </w:p>
    <w:p w14:paraId="1FECC2C6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DFB95FA" w14:textId="0EA0C6F3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Georgina Alejandra Bujanda Ríos</w:t>
      </w:r>
    </w:p>
    <w:p w14:paraId="07B549BA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0DA16F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59B117D7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Ismael Mario Rodríguez Saldaña</w:t>
      </w:r>
    </w:p>
    <w:p w14:paraId="79EC7FD3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0F0B100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CC2FD7B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 xml:space="preserve">. Yesenia Guadalupe Reyes </w:t>
      </w: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Calzadías</w:t>
      </w:r>
      <w:proofErr w:type="spellEnd"/>
    </w:p>
    <w:p w14:paraId="4F831F2A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744F7E89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8B6420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Marisela Terrazas Muñoz</w:t>
      </w:r>
    </w:p>
    <w:p w14:paraId="73110FB0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7093D5C2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727C795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Ismael Pérez Pavía</w:t>
      </w:r>
    </w:p>
    <w:p w14:paraId="2C492221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0CAF2621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3656872C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 xml:space="preserve">. </w:t>
      </w: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Rocio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 xml:space="preserve"> Guadalupe Sarmiento Rufino</w:t>
      </w:r>
    </w:p>
    <w:p w14:paraId="308C6BE4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613D98E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128DDA41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Saúl Mireles Corral</w:t>
      </w:r>
    </w:p>
    <w:p w14:paraId="38B0892D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6C9B4D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232C894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7E9C5B4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</w:p>
    <w:p w14:paraId="7B39677C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19"/>
          <w:szCs w:val="19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19"/>
          <w:szCs w:val="19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19"/>
          <w:szCs w:val="19"/>
        </w:rPr>
        <w:t>. José Alfredo Chávez Madrid</w:t>
      </w:r>
    </w:p>
    <w:p w14:paraId="63CFDF25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0124EAF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Carlos Alfredo Olson San Vicente</w:t>
      </w:r>
    </w:p>
    <w:p w14:paraId="09617628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AFE8344" w14:textId="2BB1A295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10FEC463" w14:textId="1E716870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 xml:space="preserve">. </w:t>
      </w:r>
      <w:r w:rsidR="00FA34EB">
        <w:rPr>
          <w:rFonts w:ascii="Century Gothic" w:eastAsia="Arial" w:hAnsi="Century Gothic" w:cs="Arial"/>
          <w:b/>
          <w:color w:val="4A4A4A"/>
          <w:sz w:val="20"/>
          <w:szCs w:val="20"/>
        </w:rPr>
        <w:t xml:space="preserve">Carla Rivas Martínez </w:t>
      </w:r>
    </w:p>
    <w:p w14:paraId="18C0C709" w14:textId="75A6491D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6A0592B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4089A99A" w14:textId="5AAEFA39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Roberto Marcelino Carreón Huitrón</w:t>
      </w:r>
    </w:p>
    <w:p w14:paraId="7C3C50C2" w14:textId="4355A42D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0F31E2F" w14:textId="3D8ACD8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79D9C6B7" w14:textId="3E27A819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Luis Alberto Aguilar Lozoya</w:t>
      </w:r>
    </w:p>
    <w:p w14:paraId="32A94BEC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23D276E0" w14:textId="7EB81191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C27368E" w14:textId="2F6DD3E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Diana Ivette Pereda Gutiérrez</w:t>
      </w:r>
    </w:p>
    <w:p w14:paraId="6764D4DA" w14:textId="60D24C4E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2246A549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0B3F9F30" w14:textId="795837A5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Gabriel Ángel García Cantú</w:t>
      </w:r>
    </w:p>
    <w:p w14:paraId="22CABAB9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566A0D38" w14:textId="33FE4D53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3D89F828" w14:textId="4FCD6BD3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proofErr w:type="spellStart"/>
      <w:r>
        <w:rPr>
          <w:rFonts w:ascii="Century Gothic" w:eastAsia="Arial" w:hAnsi="Century Gothic" w:cs="Arial"/>
          <w:b/>
          <w:color w:val="4A4A4A"/>
          <w:sz w:val="20"/>
          <w:szCs w:val="20"/>
        </w:rPr>
        <w:t>Dip</w:t>
      </w:r>
      <w:proofErr w:type="spellEnd"/>
      <w:r>
        <w:rPr>
          <w:rFonts w:ascii="Century Gothic" w:eastAsia="Arial" w:hAnsi="Century Gothic" w:cs="Arial"/>
          <w:b/>
          <w:color w:val="4A4A4A"/>
          <w:sz w:val="20"/>
          <w:szCs w:val="20"/>
        </w:rPr>
        <w:t>. Rosa Isela Martínez Díaz</w:t>
      </w:r>
    </w:p>
    <w:p w14:paraId="7A7278F0" w14:textId="77777777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  <w:sectPr w:rsidR="008A5352" w:rsidSect="008A5352">
          <w:type w:val="continuous"/>
          <w:pgSz w:w="12240" w:h="15840"/>
          <w:pgMar w:top="1701" w:right="1701" w:bottom="1417" w:left="1701" w:header="708" w:footer="708" w:gutter="0"/>
          <w:cols w:num="2" w:space="708"/>
          <w:docGrid w:linePitch="360"/>
        </w:sectPr>
      </w:pPr>
    </w:p>
    <w:p w14:paraId="7101F610" w14:textId="2F88BA00" w:rsidR="008A5352" w:rsidRDefault="00FA34EB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DA4D" wp14:editId="4375A69E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6621780" cy="495300"/>
                <wp:effectExtent l="0" t="0" r="26670" b="19050"/>
                <wp:wrapNone/>
                <wp:docPr id="822164450" name="Rectángulo 822164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FEDD" w14:textId="773A6409" w:rsidR="008A5352" w:rsidRPr="008A5352" w:rsidRDefault="008A5352" w:rsidP="008A5352">
                            <w:pPr>
                              <w:jc w:val="both"/>
                              <w:rPr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8A5352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Esta hoja de firmas pertenece a la </w:t>
                            </w:r>
                            <w:r w:rsidRPr="008A5352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>INICIATIVA CON PROYECTO DE DECRETO</w:t>
                            </w:r>
                            <w:r w:rsidRPr="008A5352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 para </w:t>
                            </w:r>
                            <w:r w:rsidR="00FA34EB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>ADICIONAR</w:t>
                            </w:r>
                            <w:r w:rsidR="00FA34EB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  <w:r w:rsidR="00FA34EB" w:rsidRPr="00FA34EB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 xml:space="preserve">LA FRACCIÓN VIII del ARTÍCULO 27 </w:t>
                            </w:r>
                            <w:r w:rsidRPr="008A5352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de </w:t>
                            </w:r>
                            <w:r w:rsidRPr="008A5352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 xml:space="preserve">la </w:t>
                            </w:r>
                            <w:r w:rsidR="00FA34EB" w:rsidRPr="00FA34EB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>LEY ESTATAL DEL DERECHO DE LAS MUJERESA UNA VIDA LIBRE DE VIOLENCIA</w:t>
                            </w:r>
                            <w:r w:rsidRPr="008A5352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, a efecto de que, se integre la perspectiva de juventudes en diversas disposiciones. Presentada el </w:t>
                            </w:r>
                            <w:r w:rsidR="00FA34EB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>día 13 de marzo</w:t>
                            </w:r>
                            <w:r w:rsidRPr="008A5352">
                              <w:rPr>
                                <w:b/>
                                <w:sz w:val="16"/>
                                <w:szCs w:val="14"/>
                                <w:lang w:val="es-ES_tradnl"/>
                              </w:rPr>
                              <w:t xml:space="preserve">  de 2024</w:t>
                            </w:r>
                            <w:r w:rsidRPr="008A5352">
                              <w:rPr>
                                <w:sz w:val="16"/>
                                <w:szCs w:val="14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793C7A" w14:textId="77777777" w:rsidR="008A5352" w:rsidRDefault="008A5352" w:rsidP="008A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8DA4D" id="Rectángulo 822164450" o:spid="_x0000_s1026" style="position:absolute;left:0;text-align:left;margin-left:0;margin-top:9.6pt;width:521.4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" fillcolor="white [3201]" strokecolor="#a5a5a5 [3206]" strokeweight="1pt">
                <v:textbox>
                  <w:txbxContent>
                    <w:p w14:paraId="4F77FEDD" w14:textId="773A6409" w:rsidR="008A5352" w:rsidRPr="008A5352" w:rsidRDefault="008A5352" w:rsidP="008A5352">
                      <w:pPr>
                        <w:jc w:val="both"/>
                        <w:rPr>
                          <w:sz w:val="16"/>
                          <w:szCs w:val="14"/>
                          <w:lang w:val="es-ES_tradnl"/>
                        </w:rPr>
                      </w:pPr>
                      <w:r w:rsidRPr="008A5352">
                        <w:rPr>
                          <w:sz w:val="16"/>
                          <w:szCs w:val="14"/>
                          <w:lang w:val="es-ES_tradnl"/>
                        </w:rPr>
                        <w:t xml:space="preserve">Esta hoja de firmas pertenece a la </w:t>
                      </w:r>
                      <w:r w:rsidRPr="008A5352">
                        <w:rPr>
                          <w:b/>
                          <w:sz w:val="16"/>
                          <w:szCs w:val="14"/>
                          <w:lang w:val="es-ES_tradnl"/>
                        </w:rPr>
                        <w:t>INICIATIVA CON PROYECTO DE DECRETO</w:t>
                      </w:r>
                      <w:r w:rsidRPr="008A5352">
                        <w:rPr>
                          <w:sz w:val="16"/>
                          <w:szCs w:val="14"/>
                          <w:lang w:val="es-ES_tradnl"/>
                        </w:rPr>
                        <w:t xml:space="preserve"> para </w:t>
                      </w:r>
                      <w:r w:rsidR="00FA34EB">
                        <w:rPr>
                          <w:b/>
                          <w:sz w:val="16"/>
                          <w:szCs w:val="14"/>
                          <w:lang w:val="es-ES_tradnl"/>
                        </w:rPr>
                        <w:t>ADICIONAR</w:t>
                      </w:r>
                      <w:r w:rsidR="00FA34EB">
                        <w:rPr>
                          <w:sz w:val="16"/>
                          <w:szCs w:val="14"/>
                          <w:lang w:val="es-ES_tradnl"/>
                        </w:rPr>
                        <w:t xml:space="preserve"> </w:t>
                      </w:r>
                      <w:r w:rsidR="00FA34EB" w:rsidRPr="00FA34EB">
                        <w:rPr>
                          <w:b/>
                          <w:sz w:val="16"/>
                          <w:szCs w:val="14"/>
                          <w:lang w:val="es-ES_tradnl"/>
                        </w:rPr>
                        <w:t xml:space="preserve">LA FRACCIÓN VIII del ARTÍCULO 27 </w:t>
                      </w:r>
                      <w:r w:rsidRPr="008A5352">
                        <w:rPr>
                          <w:sz w:val="16"/>
                          <w:szCs w:val="14"/>
                          <w:lang w:val="es-ES_tradnl"/>
                        </w:rPr>
                        <w:t xml:space="preserve">de </w:t>
                      </w:r>
                      <w:r w:rsidRPr="008A5352">
                        <w:rPr>
                          <w:b/>
                          <w:sz w:val="16"/>
                          <w:szCs w:val="14"/>
                          <w:lang w:val="es-ES_tradnl"/>
                        </w:rPr>
                        <w:t xml:space="preserve">la </w:t>
                      </w:r>
                      <w:r w:rsidR="00FA34EB" w:rsidRPr="00FA34EB">
                        <w:rPr>
                          <w:b/>
                          <w:sz w:val="16"/>
                          <w:szCs w:val="14"/>
                          <w:lang w:val="es-ES_tradnl"/>
                        </w:rPr>
                        <w:t>LEY ESTATAL DEL DERECHO DE LAS MUJERESA UNA VIDA LIBRE DE VIOLENCIA</w:t>
                      </w:r>
                      <w:r w:rsidRPr="008A5352">
                        <w:rPr>
                          <w:sz w:val="16"/>
                          <w:szCs w:val="14"/>
                          <w:lang w:val="es-ES_tradnl"/>
                        </w:rPr>
                        <w:t xml:space="preserve">, a efecto de que, se integre la perspectiva de juventudes en diversas disposiciones. Presentada el </w:t>
                      </w:r>
                      <w:r w:rsidR="00FA34EB">
                        <w:rPr>
                          <w:b/>
                          <w:sz w:val="16"/>
                          <w:szCs w:val="14"/>
                          <w:lang w:val="es-ES_tradnl"/>
                        </w:rPr>
                        <w:t>día 13 de marzo</w:t>
                      </w:r>
                      <w:r w:rsidRPr="008A5352">
                        <w:rPr>
                          <w:b/>
                          <w:sz w:val="16"/>
                          <w:szCs w:val="14"/>
                          <w:lang w:val="es-ES_tradnl"/>
                        </w:rPr>
                        <w:t xml:space="preserve">  de 2024</w:t>
                      </w:r>
                      <w:r w:rsidRPr="008A5352">
                        <w:rPr>
                          <w:sz w:val="16"/>
                          <w:szCs w:val="14"/>
                          <w:lang w:val="es-ES_tradnl"/>
                        </w:rPr>
                        <w:t xml:space="preserve">. </w:t>
                      </w:r>
                    </w:p>
                    <w:p w14:paraId="49793C7A" w14:textId="77777777" w:rsidR="008A5352" w:rsidRDefault="008A5352" w:rsidP="008A5352"/>
                  </w:txbxContent>
                </v:textbox>
                <w10:wrap anchorx="margin"/>
              </v:rect>
            </w:pict>
          </mc:Fallback>
        </mc:AlternateContent>
      </w:r>
    </w:p>
    <w:p w14:paraId="7349B45A" w14:textId="05C34708" w:rsidR="008A5352" w:rsidRDefault="008A5352" w:rsidP="008A5352">
      <w:pPr>
        <w:spacing w:before="150" w:after="150"/>
        <w:jc w:val="both"/>
        <w:rPr>
          <w:rFonts w:ascii="Century Gothic" w:eastAsia="Arial" w:hAnsi="Century Gothic" w:cs="Arial"/>
          <w:b/>
          <w:color w:val="4A4A4A"/>
          <w:sz w:val="20"/>
          <w:szCs w:val="20"/>
        </w:rPr>
      </w:pPr>
    </w:p>
    <w:p w14:paraId="19077DF6" w14:textId="590F2053" w:rsidR="008A5352" w:rsidRPr="00A4474A" w:rsidRDefault="008A5352" w:rsidP="007F665E">
      <w:pPr>
        <w:ind w:left="-567"/>
        <w:jc w:val="both"/>
        <w:rPr>
          <w:rFonts w:ascii="Arial" w:hAnsi="Arial" w:cs="Arial"/>
          <w:u w:val="single"/>
        </w:rPr>
      </w:pPr>
    </w:p>
    <w:sectPr w:rsidR="008A5352" w:rsidRPr="00A4474A" w:rsidSect="008A5352">
      <w:type w:val="continuous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0BB4" w14:textId="77777777" w:rsidR="006972BD" w:rsidRDefault="006972BD" w:rsidP="007F665E">
      <w:pPr>
        <w:spacing w:after="0" w:line="240" w:lineRule="auto"/>
      </w:pPr>
      <w:r>
        <w:separator/>
      </w:r>
    </w:p>
  </w:endnote>
  <w:endnote w:type="continuationSeparator" w:id="0">
    <w:p w14:paraId="110853FC" w14:textId="77777777" w:rsidR="006972BD" w:rsidRDefault="006972BD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charset w:val="00"/>
    <w:family w:val="modern"/>
    <w:pitch w:val="variable"/>
    <w:sig w:usb0="00000003" w:usb1="4000204B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9A29" w14:textId="77777777" w:rsidR="004C1D83" w:rsidRDefault="004C1D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8E4C" w14:textId="77777777" w:rsidR="004C1D83" w:rsidRDefault="004C1D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8C84" w14:textId="77777777" w:rsidR="004C1D83" w:rsidRDefault="004C1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679B" w14:textId="77777777" w:rsidR="006972BD" w:rsidRDefault="006972BD" w:rsidP="007F665E">
      <w:pPr>
        <w:spacing w:after="0" w:line="240" w:lineRule="auto"/>
      </w:pPr>
      <w:r>
        <w:separator/>
      </w:r>
    </w:p>
  </w:footnote>
  <w:footnote w:type="continuationSeparator" w:id="0">
    <w:p w14:paraId="423ED870" w14:textId="77777777" w:rsidR="006972BD" w:rsidRDefault="006972BD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14A1" w14:textId="77777777" w:rsidR="004C1D83" w:rsidRDefault="004C1D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6FA229AB" w:rsidR="007F665E" w:rsidRDefault="007F66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6EAEB8" wp14:editId="5A83019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7C94" w14:textId="77777777" w:rsidR="004C1D83" w:rsidRDefault="004C1D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CBC"/>
    <w:multiLevelType w:val="hybridMultilevel"/>
    <w:tmpl w:val="7286DB3E"/>
    <w:lvl w:ilvl="0" w:tplc="266EA7A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5AA2B70"/>
    <w:multiLevelType w:val="hybridMultilevel"/>
    <w:tmpl w:val="6B144940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B8297F"/>
    <w:multiLevelType w:val="hybridMultilevel"/>
    <w:tmpl w:val="BF603B1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3BE6299"/>
    <w:multiLevelType w:val="hybridMultilevel"/>
    <w:tmpl w:val="DB7E1EB4"/>
    <w:lvl w:ilvl="0" w:tplc="5C886B9C">
      <w:start w:val="1"/>
      <w:numFmt w:val="upperRoman"/>
      <w:lvlText w:val="%1."/>
      <w:lvlJc w:val="left"/>
      <w:pPr>
        <w:ind w:left="578" w:hanging="720"/>
      </w:pPr>
      <w:rPr>
        <w:rFonts w:cstheme="minorBidi" w:hint="default"/>
        <w:b w:val="0"/>
        <w:i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835249A"/>
    <w:multiLevelType w:val="hybridMultilevel"/>
    <w:tmpl w:val="CEDA394A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5D997B02"/>
    <w:multiLevelType w:val="hybridMultilevel"/>
    <w:tmpl w:val="BCC0966A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C320F03"/>
    <w:multiLevelType w:val="hybridMultilevel"/>
    <w:tmpl w:val="2E9A11FC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1718D5"/>
    <w:rsid w:val="00187E94"/>
    <w:rsid w:val="001911AA"/>
    <w:rsid w:val="00256146"/>
    <w:rsid w:val="00291896"/>
    <w:rsid w:val="002E4894"/>
    <w:rsid w:val="003148B1"/>
    <w:rsid w:val="00326670"/>
    <w:rsid w:val="00353DD7"/>
    <w:rsid w:val="003C48E7"/>
    <w:rsid w:val="003D3DCB"/>
    <w:rsid w:val="003E5DA1"/>
    <w:rsid w:val="00444C92"/>
    <w:rsid w:val="00480B2B"/>
    <w:rsid w:val="004C1D83"/>
    <w:rsid w:val="004C60C5"/>
    <w:rsid w:val="004D5B3F"/>
    <w:rsid w:val="00523431"/>
    <w:rsid w:val="00546F9B"/>
    <w:rsid w:val="00561A86"/>
    <w:rsid w:val="00580AAA"/>
    <w:rsid w:val="0059206D"/>
    <w:rsid w:val="005A6343"/>
    <w:rsid w:val="005D500F"/>
    <w:rsid w:val="005F1C84"/>
    <w:rsid w:val="005F7DB5"/>
    <w:rsid w:val="00652673"/>
    <w:rsid w:val="006972BD"/>
    <w:rsid w:val="006A339C"/>
    <w:rsid w:val="0070484A"/>
    <w:rsid w:val="007347A4"/>
    <w:rsid w:val="00740750"/>
    <w:rsid w:val="007659A7"/>
    <w:rsid w:val="007926CD"/>
    <w:rsid w:val="007D0AFF"/>
    <w:rsid w:val="007F665E"/>
    <w:rsid w:val="008818DB"/>
    <w:rsid w:val="008945BD"/>
    <w:rsid w:val="008A5352"/>
    <w:rsid w:val="008C70DE"/>
    <w:rsid w:val="008F5B89"/>
    <w:rsid w:val="008F6A06"/>
    <w:rsid w:val="009038D5"/>
    <w:rsid w:val="00937786"/>
    <w:rsid w:val="009715A5"/>
    <w:rsid w:val="00A4474A"/>
    <w:rsid w:val="00AB13E9"/>
    <w:rsid w:val="00AF3AF7"/>
    <w:rsid w:val="00B41209"/>
    <w:rsid w:val="00B42910"/>
    <w:rsid w:val="00BA1A34"/>
    <w:rsid w:val="00BA6F58"/>
    <w:rsid w:val="00C17A1B"/>
    <w:rsid w:val="00CA783E"/>
    <w:rsid w:val="00CE5C19"/>
    <w:rsid w:val="00D03976"/>
    <w:rsid w:val="00D65DAA"/>
    <w:rsid w:val="00DB3F45"/>
    <w:rsid w:val="00DB6361"/>
    <w:rsid w:val="00E4376A"/>
    <w:rsid w:val="00E71210"/>
    <w:rsid w:val="00EB012D"/>
    <w:rsid w:val="00F14F21"/>
    <w:rsid w:val="00F85652"/>
    <w:rsid w:val="00F87F75"/>
    <w:rsid w:val="00F92CDA"/>
    <w:rsid w:val="00FA34E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customStyle="1" w:styleId="Normal1">
    <w:name w:val="Normal1"/>
    <w:rsid w:val="008C70DE"/>
    <w:rPr>
      <w:rFonts w:ascii="Soberana Sans" w:eastAsia="Soberana Sans" w:hAnsi="Soberana Sans" w:cs="Soberana Sans"/>
      <w:lang w:eastAsia="es-MX"/>
    </w:rPr>
  </w:style>
  <w:style w:type="paragraph" w:styleId="Prrafodelista">
    <w:name w:val="List Paragraph"/>
    <w:basedOn w:val="Normal"/>
    <w:uiPriority w:val="34"/>
    <w:qFormat/>
    <w:rsid w:val="0052343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718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8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18D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INE24</b:Tag>
    <b:SourceType>DocumentFromInternetSite</b:SourceType>
    <b:Guid>{D6845DC7-BC44-414E-8CBD-732BA1613DE4}</b:Guid>
    <b:Year>2024</b:Year>
    <b:Month>marzo</b:Month>
    <b:Day>11</b:Day>
    <b:URL>http://www.beta.inegi.org.mx/contenidos/saladeprensa/apr%20oposito/2018/violencia2018_Nal.pdf</b:URL>
    <b:Author>
      <b:Author>
        <b:NameList>
          <b:Person>
            <b:Last>INEGI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D0846FA-F8DB-40EF-9549-C062A9E0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Brenda Sarahi Gonzalez Dominguez</cp:lastModifiedBy>
  <cp:revision>2</cp:revision>
  <cp:lastPrinted>2024-03-13T16:20:00Z</cp:lastPrinted>
  <dcterms:created xsi:type="dcterms:W3CDTF">2024-03-13T18:39:00Z</dcterms:created>
  <dcterms:modified xsi:type="dcterms:W3CDTF">2024-03-13T18:39:00Z</dcterms:modified>
</cp:coreProperties>
</file>