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67F0" w14:textId="77777777" w:rsidR="00783BDD" w:rsidRDefault="00783BDD">
      <w:pPr>
        <w:spacing w:after="0"/>
        <w:rPr>
          <w:rFonts w:ascii="Century Gothic" w:eastAsia="Century Gothic" w:hAnsi="Century Gothic" w:cs="Century Gothic"/>
          <w:b/>
        </w:rPr>
      </w:pPr>
    </w:p>
    <w:p w14:paraId="592C50EE" w14:textId="77777777" w:rsidR="00783BDD" w:rsidRDefault="00571FB7">
      <w:pPr>
        <w:spacing w:after="0"/>
        <w:rPr>
          <w:rFonts w:ascii="Century Gothic" w:eastAsia="Century Gothic" w:hAnsi="Century Gothic" w:cs="Century Gothic"/>
          <w:b/>
        </w:rPr>
      </w:pPr>
      <w:r>
        <w:rPr>
          <w:rFonts w:ascii="Century Gothic" w:eastAsia="Century Gothic" w:hAnsi="Century Gothic" w:cs="Century Gothic"/>
          <w:b/>
        </w:rPr>
        <w:t>HONORABLE CONGRESO DEL ESTADO DE CHIHUAHUA</w:t>
      </w:r>
    </w:p>
    <w:p w14:paraId="1429A623" w14:textId="77777777" w:rsidR="00783BDD" w:rsidRDefault="00571FB7">
      <w:pPr>
        <w:spacing w:after="0"/>
        <w:rPr>
          <w:rFonts w:ascii="Century Gothic" w:eastAsia="Century Gothic" w:hAnsi="Century Gothic" w:cs="Century Gothic"/>
          <w:b/>
        </w:rPr>
      </w:pPr>
      <w:r>
        <w:rPr>
          <w:rFonts w:ascii="Century Gothic" w:eastAsia="Century Gothic" w:hAnsi="Century Gothic" w:cs="Century Gothic"/>
          <w:b/>
        </w:rPr>
        <w:t>P R E S E N T E.-</w:t>
      </w:r>
    </w:p>
    <w:p w14:paraId="1CD740DE" w14:textId="77777777" w:rsidR="00783BDD" w:rsidRDefault="00783BDD">
      <w:pPr>
        <w:spacing w:after="0"/>
        <w:rPr>
          <w:rFonts w:ascii="Century Gothic" w:eastAsia="Century Gothic" w:hAnsi="Century Gothic" w:cs="Century Gothic"/>
          <w:b/>
        </w:rPr>
      </w:pPr>
    </w:p>
    <w:p w14:paraId="08E04850" w14:textId="77777777" w:rsidR="00783BDD" w:rsidRDefault="00571FB7">
      <w:pPr>
        <w:rPr>
          <w:rFonts w:ascii="Century Gothic" w:eastAsia="Century Gothic" w:hAnsi="Century Gothic" w:cs="Century Gothic"/>
        </w:rPr>
      </w:pPr>
      <w:r>
        <w:rPr>
          <w:rFonts w:ascii="Century Gothic" w:eastAsia="Century Gothic" w:hAnsi="Century Gothic" w:cs="Century Gothic"/>
        </w:rPr>
        <w:t xml:space="preserve">El suscrito, Ismael Pérez Pavía, en mi carácter de diputado de la Sexagésima Séptima Legislatura del Honorable Congreso del Estado, Integrante del Grupo Parlamentario del Partido Acción Nacional y en su representación, con fundamento en lo dispuesto por las fracciones I y II del artículo 64; y fracción I del artículo 68 de la Constitución Política del Estado de Chihuahua, así como de la fracción I del artículo 167 de la Ley Orgánica del Poder Legislativo, así como el artículo 77 del Reglamento Interior y de Prácticas Parlamentarias del Poder Legislativo, acudo a esta honorable Soberanía a efecto de presentar  </w:t>
      </w:r>
      <w:r>
        <w:rPr>
          <w:rFonts w:ascii="Century Gothic" w:eastAsia="Century Gothic" w:hAnsi="Century Gothic" w:cs="Century Gothic"/>
          <w:b/>
        </w:rPr>
        <w:t xml:space="preserve">Iniciativa con carácter de decreto ante el Congreso de la Unión a efecto de reformar el artículo 296 de la Ley del Seguro Social, con el fin de reforzar la tutela del derecho de prioridad para niños, niñas y adolescentes, </w:t>
      </w:r>
      <w:r>
        <w:rPr>
          <w:rFonts w:ascii="Century Gothic" w:eastAsia="Century Gothic" w:hAnsi="Century Gothic" w:cs="Century Gothic"/>
        </w:rPr>
        <w:t>lo anterior con sustento en la siguiente:</w:t>
      </w:r>
    </w:p>
    <w:p w14:paraId="1F42D95D" w14:textId="77777777" w:rsidR="00783BDD" w:rsidRDefault="00783BDD">
      <w:pPr>
        <w:jc w:val="center"/>
        <w:rPr>
          <w:rFonts w:ascii="Century Gothic" w:eastAsia="Century Gothic" w:hAnsi="Century Gothic" w:cs="Century Gothic"/>
          <w:b/>
        </w:rPr>
      </w:pPr>
    </w:p>
    <w:p w14:paraId="62999661" w14:textId="77777777" w:rsidR="00783BDD" w:rsidRDefault="00571FB7">
      <w:pPr>
        <w:jc w:val="center"/>
        <w:rPr>
          <w:rFonts w:ascii="Century Gothic" w:eastAsia="Century Gothic" w:hAnsi="Century Gothic" w:cs="Century Gothic"/>
        </w:rPr>
      </w:pPr>
      <w:r>
        <w:rPr>
          <w:rFonts w:ascii="Century Gothic" w:eastAsia="Century Gothic" w:hAnsi="Century Gothic" w:cs="Century Gothic"/>
          <w:b/>
        </w:rPr>
        <w:t>EXPOSICIÓN DE MOTIVOS:</w:t>
      </w:r>
    </w:p>
    <w:p w14:paraId="392B0006" w14:textId="77777777" w:rsidR="00783BDD" w:rsidRDefault="00571FB7">
      <w:pPr>
        <w:rPr>
          <w:rFonts w:ascii="Century Gothic" w:eastAsia="Century Gothic" w:hAnsi="Century Gothic" w:cs="Century Gothic"/>
        </w:rPr>
      </w:pPr>
      <w:r>
        <w:rPr>
          <w:rFonts w:ascii="Century Gothic" w:eastAsia="Century Gothic" w:hAnsi="Century Gothic" w:cs="Century Gothic"/>
        </w:rPr>
        <w:t>Es imperativo reconocer que las niñas y los niños son una prioridad absoluta en nuestra sociedad, por lo que es primordial garantizar el pleno uso y ejercicio de sus derechos que conlleve a un desarrollo integral.</w:t>
      </w:r>
    </w:p>
    <w:p w14:paraId="41ACB887" w14:textId="77777777" w:rsidR="00783BDD" w:rsidRDefault="00571FB7">
      <w:pPr>
        <w:rPr>
          <w:rFonts w:ascii="Century Gothic" w:eastAsia="Century Gothic" w:hAnsi="Century Gothic" w:cs="Century Gothic"/>
        </w:rPr>
      </w:pPr>
      <w:r>
        <w:rPr>
          <w:rFonts w:ascii="Century Gothic" w:eastAsia="Century Gothic" w:hAnsi="Century Gothic" w:cs="Century Gothic"/>
        </w:rPr>
        <w:t>El interés superior de la niñez es un principio fundamental en el ámbito de los derechos de las niñas, los niños y adolescentes. Este principio establece que todas las decisiones y acciones que afecten a las y los niños deben priorizar su bienestar y desarrollo integral por encima de cualquier otro interés, ya sea particular, institucional o de otra índole.</w:t>
      </w:r>
    </w:p>
    <w:p w14:paraId="14AE00D0" w14:textId="77777777" w:rsidR="00030379" w:rsidRDefault="00030379">
      <w:pPr>
        <w:rPr>
          <w:rFonts w:ascii="Century Gothic" w:eastAsia="Century Gothic" w:hAnsi="Century Gothic" w:cs="Century Gothic"/>
        </w:rPr>
      </w:pPr>
    </w:p>
    <w:p w14:paraId="32AD322A" w14:textId="77777777" w:rsidR="00030379" w:rsidRDefault="00030379">
      <w:pPr>
        <w:rPr>
          <w:rFonts w:ascii="Century Gothic" w:eastAsia="Century Gothic" w:hAnsi="Century Gothic" w:cs="Century Gothic"/>
        </w:rPr>
      </w:pPr>
    </w:p>
    <w:p w14:paraId="1A2FDE6C" w14:textId="7261F2D1" w:rsidR="00783BDD" w:rsidRDefault="00571FB7">
      <w:pPr>
        <w:rPr>
          <w:rFonts w:ascii="Century Gothic" w:eastAsia="Century Gothic" w:hAnsi="Century Gothic" w:cs="Century Gothic"/>
        </w:rPr>
      </w:pPr>
      <w:r>
        <w:rPr>
          <w:rFonts w:ascii="Century Gothic" w:eastAsia="Century Gothic" w:hAnsi="Century Gothic" w:cs="Century Gothic"/>
        </w:rPr>
        <w:t>Este principio rector que guía la interpretación y aplicación de la ley en asuntos relacionados con las y los niños; busca garantizar su bienestar, protección y desarrollo integral.</w:t>
      </w:r>
    </w:p>
    <w:p w14:paraId="3974A4BC" w14:textId="77777777" w:rsidR="00783BDD" w:rsidRDefault="00571FB7">
      <w:pPr>
        <w:rPr>
          <w:rFonts w:ascii="Century Gothic" w:eastAsia="Century Gothic" w:hAnsi="Century Gothic" w:cs="Century Gothic"/>
        </w:rPr>
      </w:pPr>
      <w:r>
        <w:rPr>
          <w:rFonts w:ascii="Century Gothic" w:eastAsia="Century Gothic" w:hAnsi="Century Gothic" w:cs="Century Gothic"/>
        </w:rPr>
        <w:t>Por ello, las estancias infantiles y las guarderías desempeñan un papel fundamental en el bienestar y desarrollo de la niñez mexicana. Proporcionan un entorno seguro para las y los niños, lo que les permite recibir cuidado, atención y educación adecuados mientras sus padres trabajan o estudian. Esto no solo beneficia a las y los niños, sino también a sus familias y a la sociedad en general al promover la equidad y la igualdad de oportunidades desde temprana edad.</w:t>
      </w:r>
    </w:p>
    <w:p w14:paraId="4AE08F6C" w14:textId="77777777" w:rsidR="00783BDD" w:rsidRDefault="00571FB7">
      <w:pPr>
        <w:rPr>
          <w:rFonts w:ascii="Century Gothic" w:eastAsia="Century Gothic" w:hAnsi="Century Gothic" w:cs="Century Gothic"/>
        </w:rPr>
      </w:pPr>
      <w:r>
        <w:rPr>
          <w:rFonts w:ascii="Century Gothic" w:eastAsia="Century Gothic" w:hAnsi="Century Gothic" w:cs="Century Gothic"/>
        </w:rPr>
        <w:t>Lamentablemente, es una triste realidad el maltrato que algunas niñas y niños sufren en algunas estancias infantiles, especialmente en algunas administradas por el IMSS. Este maltrato puede manifestarse de diversas formas, desde abusos físicos hasta casos de abuso sexual, dejando a los menores en una situación de vulnerabilidad extrema.</w:t>
      </w:r>
    </w:p>
    <w:p w14:paraId="23EAF4E2" w14:textId="77777777" w:rsidR="00783BDD" w:rsidRDefault="00571FB7">
      <w:pPr>
        <w:rPr>
          <w:rFonts w:ascii="Century Gothic" w:eastAsia="Century Gothic" w:hAnsi="Century Gothic" w:cs="Century Gothic"/>
        </w:rPr>
      </w:pPr>
      <w:r>
        <w:rPr>
          <w:rFonts w:ascii="Century Gothic" w:eastAsia="Century Gothic" w:hAnsi="Century Gothic" w:cs="Century Gothic"/>
        </w:rPr>
        <w:t>Tal es el caso que se suscitó aquí en la Ciudad de Chihuahua, en donde una menor de edad presento señales de abuso en una guardería inscrita al IMSS, derivado de ello se opuso escrito y un recurso de queja ante el IMSS, los cuales no fueron resueltos por la autoridad en tiempo y forma y que a la fecha no se ha obtenido respuesta alguna siendo omisos en sus obligaciones.</w:t>
      </w:r>
    </w:p>
    <w:p w14:paraId="3C4CDC11" w14:textId="77777777" w:rsidR="00030379" w:rsidRDefault="00571FB7">
      <w:pPr>
        <w:rPr>
          <w:rFonts w:ascii="Century Gothic" w:eastAsia="Century Gothic" w:hAnsi="Century Gothic" w:cs="Century Gothic"/>
        </w:rPr>
      </w:pPr>
      <w:r>
        <w:rPr>
          <w:rFonts w:ascii="Century Gothic" w:eastAsia="Century Gothic" w:hAnsi="Century Gothic" w:cs="Century Gothic"/>
        </w:rPr>
        <w:t xml:space="preserve">El artículo 296 de la Ley del Seguro Social, consagra el recurso de queja administrativa con la finalidad de dar a conocer las insatisfacciones de los usuarios por actos u omisiones del personal vinculados con la prestación de los servicios médicos; sin embargo, excluye la posibilidad de la queja </w:t>
      </w:r>
    </w:p>
    <w:p w14:paraId="749C68F7" w14:textId="77777777" w:rsidR="00030379" w:rsidRDefault="00030379">
      <w:pPr>
        <w:rPr>
          <w:rFonts w:ascii="Century Gothic" w:eastAsia="Century Gothic" w:hAnsi="Century Gothic" w:cs="Century Gothic"/>
        </w:rPr>
      </w:pPr>
    </w:p>
    <w:p w14:paraId="07C268D1" w14:textId="77777777" w:rsidR="00030379" w:rsidRDefault="00030379">
      <w:pPr>
        <w:rPr>
          <w:rFonts w:ascii="Century Gothic" w:eastAsia="Century Gothic" w:hAnsi="Century Gothic" w:cs="Century Gothic"/>
        </w:rPr>
      </w:pPr>
    </w:p>
    <w:p w14:paraId="07C142FE" w14:textId="2F73C7BD" w:rsidR="00783BDD" w:rsidRDefault="00571FB7">
      <w:pPr>
        <w:rPr>
          <w:rFonts w:ascii="Century Gothic" w:eastAsia="Century Gothic" w:hAnsi="Century Gothic" w:cs="Century Gothic"/>
        </w:rPr>
      </w:pPr>
      <w:r>
        <w:rPr>
          <w:rFonts w:ascii="Century Gothic" w:eastAsia="Century Gothic" w:hAnsi="Century Gothic" w:cs="Century Gothic"/>
        </w:rPr>
        <w:t>tratándose del personal e insatisfacción de las obligaciones que se derivan de la prestación de otros servicios, como lo es el de las estancias infantiles.</w:t>
      </w:r>
    </w:p>
    <w:p w14:paraId="1C33C94A" w14:textId="77777777" w:rsidR="00783BDD" w:rsidRDefault="00571FB7">
      <w:pPr>
        <w:rPr>
          <w:rFonts w:ascii="Century Gothic" w:eastAsia="Century Gothic" w:hAnsi="Century Gothic" w:cs="Century Gothic"/>
        </w:rPr>
      </w:pPr>
      <w:r>
        <w:rPr>
          <w:rFonts w:ascii="Century Gothic" w:eastAsia="Century Gothic" w:hAnsi="Century Gothic" w:cs="Century Gothic"/>
        </w:rPr>
        <w:t xml:space="preserve">Este vacío normativo, implica </w:t>
      </w:r>
      <w:proofErr w:type="gramStart"/>
      <w:r>
        <w:rPr>
          <w:rFonts w:ascii="Century Gothic" w:eastAsia="Century Gothic" w:hAnsi="Century Gothic" w:cs="Century Gothic"/>
        </w:rPr>
        <w:t>que</w:t>
      </w:r>
      <w:proofErr w:type="gramEnd"/>
      <w:r>
        <w:rPr>
          <w:rFonts w:ascii="Century Gothic" w:eastAsia="Century Gothic" w:hAnsi="Century Gothic" w:cs="Century Gothic"/>
        </w:rPr>
        <w:t xml:space="preserve"> si un grupo de niñas y niños son abusados física o sexualmente en las guarderías del IMSS, no habrá forma inmediata de conocer la postura de la autoridad. Esta omisión, se puede traducir en delitos graves contra las infancias que pueden permanecer meses y años en el cajón. Si en las guarderías hay golpes, abusos sexuales, maltratos a los pequeños, pueden quedar inmunes por la dilación de la autoridad federal. </w:t>
      </w:r>
    </w:p>
    <w:p w14:paraId="09BDEC82" w14:textId="77777777" w:rsidR="00783BDD" w:rsidRDefault="00571FB7">
      <w:pPr>
        <w:rPr>
          <w:rFonts w:ascii="Century Gothic" w:eastAsia="Century Gothic" w:hAnsi="Century Gothic" w:cs="Century Gothic"/>
        </w:rPr>
      </w:pPr>
      <w:r>
        <w:rPr>
          <w:rFonts w:ascii="Century Gothic" w:eastAsia="Century Gothic" w:hAnsi="Century Gothic" w:cs="Century Gothic"/>
        </w:rPr>
        <w:t>Estas omisiones y retardos a la justicia son una renuncia dolosa al interés superior de la niñez y al “derecho de prioridad” que deben garantizar todas las autoridades administrativas y tribunales judiciales.  Este principio es una garantía de tutela y atención inmediata, así se establece en el artículo 17 de la Ley de Niñas, Niños y Adolescentes. Así dice lo siguiente:</w:t>
      </w:r>
    </w:p>
    <w:p w14:paraId="5626FBC9" w14:textId="77777777" w:rsidR="00783BDD" w:rsidRDefault="00571FB7">
      <w:pPr>
        <w:ind w:left="708"/>
        <w:rPr>
          <w:rFonts w:ascii="Century Gothic" w:eastAsia="Century Gothic" w:hAnsi="Century Gothic" w:cs="Century Gothic"/>
          <w:i/>
        </w:rPr>
      </w:pPr>
      <w:r>
        <w:rPr>
          <w:rFonts w:ascii="Century Gothic" w:eastAsia="Century Gothic" w:hAnsi="Century Gothic" w:cs="Century Gothic"/>
          <w:i/>
        </w:rPr>
        <w:t>Art 17. Niñas, niños y adolescentes tienen derecho a que se les asegure prioridad en el ejercicio de todos sus derechos.</w:t>
      </w:r>
    </w:p>
    <w:p w14:paraId="30962F94" w14:textId="77777777" w:rsidR="00783BDD" w:rsidRDefault="00571FB7">
      <w:pPr>
        <w:rPr>
          <w:rFonts w:ascii="Century Gothic" w:eastAsia="Century Gothic" w:hAnsi="Century Gothic" w:cs="Century Gothic"/>
        </w:rPr>
      </w:pPr>
      <w:r>
        <w:rPr>
          <w:rFonts w:ascii="Century Gothic" w:eastAsia="Century Gothic" w:hAnsi="Century Gothic" w:cs="Century Gothic"/>
        </w:rPr>
        <w:t>La falta de mecanismos efectivos para proteger a las niñas y niños en las estancias infantiles deja a estos menores en una situación de absoluta indefensión. Es responsabilidad del IMSS y la Federación garantizar su bienestar y seguridad en todo momento, especialmente en entornos donde deberían recibir cuidado y protección.</w:t>
      </w:r>
    </w:p>
    <w:p w14:paraId="3A54CDCE" w14:textId="77777777" w:rsidR="00030379" w:rsidRDefault="00571FB7">
      <w:pPr>
        <w:rPr>
          <w:rFonts w:ascii="Century Gothic" w:eastAsia="Century Gothic" w:hAnsi="Century Gothic" w:cs="Century Gothic"/>
        </w:rPr>
      </w:pPr>
      <w:r>
        <w:rPr>
          <w:rFonts w:ascii="Century Gothic" w:eastAsia="Century Gothic" w:hAnsi="Century Gothic" w:cs="Century Gothic"/>
        </w:rPr>
        <w:t xml:space="preserve">Por ello, proponemos ante este pleno, que la presente iniciativa se remita al Congreso de la Unión para que en el artículo 296 de la Ley del Seguro Social, se inserte el derecho de prioridad de niñas, niños y adolescentes; además de extender la tutela en sede administrativa para </w:t>
      </w:r>
      <w:proofErr w:type="gramStart"/>
      <w:r>
        <w:rPr>
          <w:rFonts w:ascii="Century Gothic" w:eastAsia="Century Gothic" w:hAnsi="Century Gothic" w:cs="Century Gothic"/>
        </w:rPr>
        <w:t>que</w:t>
      </w:r>
      <w:proofErr w:type="gramEnd"/>
      <w:r>
        <w:rPr>
          <w:rFonts w:ascii="Century Gothic" w:eastAsia="Century Gothic" w:hAnsi="Century Gothic" w:cs="Century Gothic"/>
        </w:rPr>
        <w:t xml:space="preserve"> en ese mismo recurso de queja, sea procedente la reclamación contra prestaciones sociales, como el caso del servicio de guarderías. Elevarlo a la ley permitiría dar luz a </w:t>
      </w:r>
    </w:p>
    <w:p w14:paraId="510779E0" w14:textId="77777777" w:rsidR="00030379" w:rsidRDefault="00030379">
      <w:pPr>
        <w:rPr>
          <w:rFonts w:ascii="Century Gothic" w:eastAsia="Century Gothic" w:hAnsi="Century Gothic" w:cs="Century Gothic"/>
        </w:rPr>
      </w:pPr>
    </w:p>
    <w:p w14:paraId="1384A923" w14:textId="169910DD" w:rsidR="00030379" w:rsidRDefault="00571FB7">
      <w:pPr>
        <w:rPr>
          <w:rFonts w:ascii="Century Gothic" w:eastAsia="Century Gothic" w:hAnsi="Century Gothic" w:cs="Century Gothic"/>
        </w:rPr>
      </w:pPr>
      <w:r>
        <w:rPr>
          <w:rFonts w:ascii="Century Gothic" w:eastAsia="Century Gothic" w:hAnsi="Century Gothic" w:cs="Century Gothic"/>
        </w:rPr>
        <w:t>los reglamentos y lineamentos que produce el IMSS, así podríamos evitar que la demora y el tiempo perdido jueguen en contra de las y los niños que sufren abusos</w:t>
      </w:r>
      <w:r w:rsidR="00030379">
        <w:rPr>
          <w:rFonts w:ascii="Century Gothic" w:eastAsia="Century Gothic" w:hAnsi="Century Gothic" w:cs="Century Gothic"/>
        </w:rPr>
        <w:t xml:space="preserve">. </w:t>
      </w:r>
    </w:p>
    <w:tbl>
      <w:tblPr>
        <w:tblStyle w:val="a0"/>
        <w:tblpPr w:leftFromText="141" w:rightFromText="141" w:vertAnchor="text" w:tblpY="445"/>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820"/>
      </w:tblGrid>
      <w:tr w:rsidR="00783BDD" w14:paraId="692B0450" w14:textId="77777777">
        <w:tc>
          <w:tcPr>
            <w:tcW w:w="4673" w:type="dxa"/>
          </w:tcPr>
          <w:p w14:paraId="3E9FDF59" w14:textId="77777777" w:rsidR="00783BDD" w:rsidRDefault="00571FB7">
            <w:pPr>
              <w:rPr>
                <w:rFonts w:ascii="Century Gothic" w:eastAsia="Century Gothic" w:hAnsi="Century Gothic" w:cs="Century Gothic"/>
                <w:b/>
              </w:rPr>
            </w:pPr>
            <w:r>
              <w:rPr>
                <w:rFonts w:ascii="Century Gothic" w:eastAsia="Century Gothic" w:hAnsi="Century Gothic" w:cs="Century Gothic"/>
                <w:b/>
              </w:rPr>
              <w:t>TEXTO VIGENTE</w:t>
            </w:r>
          </w:p>
        </w:tc>
        <w:tc>
          <w:tcPr>
            <w:tcW w:w="4820" w:type="dxa"/>
          </w:tcPr>
          <w:p w14:paraId="164827C9" w14:textId="77777777" w:rsidR="00783BDD" w:rsidRDefault="00571FB7">
            <w:pPr>
              <w:rPr>
                <w:rFonts w:ascii="Century Gothic" w:eastAsia="Century Gothic" w:hAnsi="Century Gothic" w:cs="Century Gothic"/>
                <w:b/>
              </w:rPr>
            </w:pPr>
            <w:r>
              <w:rPr>
                <w:rFonts w:ascii="Century Gothic" w:eastAsia="Century Gothic" w:hAnsi="Century Gothic" w:cs="Century Gothic"/>
                <w:b/>
              </w:rPr>
              <w:t>TEXTO PROPUESTA</w:t>
            </w:r>
          </w:p>
        </w:tc>
      </w:tr>
      <w:tr w:rsidR="00783BDD" w14:paraId="677AD600" w14:textId="77777777">
        <w:trPr>
          <w:trHeight w:val="1830"/>
        </w:trPr>
        <w:tc>
          <w:tcPr>
            <w:tcW w:w="4673" w:type="dxa"/>
          </w:tcPr>
          <w:p w14:paraId="3251570B" w14:textId="77777777" w:rsidR="00783BDD" w:rsidRDefault="00571FB7">
            <w:pPr>
              <w:rPr>
                <w:rFonts w:ascii="Century Gothic" w:eastAsia="Century Gothic" w:hAnsi="Century Gothic" w:cs="Century Gothic"/>
              </w:rPr>
            </w:pPr>
            <w:r>
              <w:rPr>
                <w:rFonts w:ascii="Century Gothic" w:eastAsia="Century Gothic" w:hAnsi="Century Gothic" w:cs="Century Gothic"/>
                <w:b/>
                <w:vertAlign w:val="superscript"/>
              </w:rPr>
              <w:footnoteReference w:id="1"/>
            </w:r>
            <w:proofErr w:type="spellStart"/>
            <w:r>
              <w:rPr>
                <w:rFonts w:ascii="Century Gothic" w:eastAsia="Century Gothic" w:hAnsi="Century Gothic" w:cs="Century Gothic"/>
                <w:b/>
              </w:rPr>
              <w:t>Artículo</w:t>
            </w:r>
            <w:proofErr w:type="spellEnd"/>
            <w:r>
              <w:rPr>
                <w:rFonts w:ascii="Century Gothic" w:eastAsia="Century Gothic" w:hAnsi="Century Gothic" w:cs="Century Gothic"/>
                <w:b/>
              </w:rPr>
              <w:t xml:space="preserve"> 296.</w:t>
            </w:r>
            <w:r>
              <w:rPr>
                <w:rFonts w:ascii="Century Gothic" w:eastAsia="Century Gothic" w:hAnsi="Century Gothic" w:cs="Century Gothic"/>
              </w:rPr>
              <w:t xml:space="preserve"> Los derechohabientes </w:t>
            </w:r>
            <w:proofErr w:type="spellStart"/>
            <w:r>
              <w:rPr>
                <w:rFonts w:ascii="Century Gothic" w:eastAsia="Century Gothic" w:hAnsi="Century Gothic" w:cs="Century Gothic"/>
              </w:rPr>
              <w:t>podrán</w:t>
            </w:r>
            <w:proofErr w:type="spellEnd"/>
            <w:r>
              <w:rPr>
                <w:rFonts w:ascii="Century Gothic" w:eastAsia="Century Gothic" w:hAnsi="Century Gothic" w:cs="Century Gothic"/>
              </w:rPr>
              <w:t xml:space="preserve"> interponer ante el Instituto queja administrativa, la cual </w:t>
            </w:r>
            <w:proofErr w:type="spellStart"/>
            <w:r>
              <w:rPr>
                <w:rFonts w:ascii="Century Gothic" w:eastAsia="Century Gothic" w:hAnsi="Century Gothic" w:cs="Century Gothic"/>
              </w:rPr>
              <w:t>tendra</w:t>
            </w:r>
            <w:proofErr w:type="spellEnd"/>
            <w:r>
              <w:rPr>
                <w:rFonts w:ascii="Century Gothic" w:eastAsia="Century Gothic" w:hAnsi="Century Gothic" w:cs="Century Gothic"/>
              </w:rPr>
              <w:t xml:space="preserve">́ la finalidad de conocer las insatisfacciones de los usuarios por actos u omisiones del personal institucional vinculados con la </w:t>
            </w:r>
            <w:proofErr w:type="spellStart"/>
            <w:r>
              <w:rPr>
                <w:rFonts w:ascii="Century Gothic" w:eastAsia="Century Gothic" w:hAnsi="Century Gothic" w:cs="Century Gothic"/>
              </w:rPr>
              <w:t>prestación</w:t>
            </w:r>
            <w:proofErr w:type="spellEnd"/>
            <w:r>
              <w:rPr>
                <w:rFonts w:ascii="Century Gothic" w:eastAsia="Century Gothic" w:hAnsi="Century Gothic" w:cs="Century Gothic"/>
              </w:rPr>
              <w:t xml:space="preserve"> de los servicios </w:t>
            </w:r>
            <w:proofErr w:type="spellStart"/>
            <w:r>
              <w:rPr>
                <w:rFonts w:ascii="Century Gothic" w:eastAsia="Century Gothic" w:hAnsi="Century Gothic" w:cs="Century Gothic"/>
              </w:rPr>
              <w:t>médicos</w:t>
            </w:r>
            <w:proofErr w:type="spellEnd"/>
            <w:r>
              <w:rPr>
                <w:rFonts w:ascii="Century Gothic" w:eastAsia="Century Gothic" w:hAnsi="Century Gothic" w:cs="Century Gothic"/>
              </w:rPr>
              <w:t xml:space="preserve">, siempre que los mismos no constituyan un acto definitivo impugnable a </w:t>
            </w:r>
            <w:proofErr w:type="spellStart"/>
            <w:r>
              <w:rPr>
                <w:rFonts w:ascii="Century Gothic" w:eastAsia="Century Gothic" w:hAnsi="Century Gothic" w:cs="Century Gothic"/>
              </w:rPr>
              <w:t>través</w:t>
            </w:r>
            <w:proofErr w:type="spellEnd"/>
            <w:r>
              <w:rPr>
                <w:rFonts w:ascii="Century Gothic" w:eastAsia="Century Gothic" w:hAnsi="Century Gothic" w:cs="Century Gothic"/>
              </w:rPr>
              <w:t xml:space="preserve"> del recurso de inconformidad.</w:t>
            </w:r>
          </w:p>
          <w:p w14:paraId="7584FCA3" w14:textId="77777777" w:rsidR="00783BDD" w:rsidRDefault="00571FB7">
            <w:pPr>
              <w:rPr>
                <w:rFonts w:ascii="Century Gothic" w:eastAsia="Century Gothic" w:hAnsi="Century Gothic" w:cs="Century Gothic"/>
              </w:rPr>
            </w:pPr>
            <w:r>
              <w:rPr>
                <w:rFonts w:ascii="Century Gothic" w:eastAsia="Century Gothic" w:hAnsi="Century Gothic" w:cs="Century Gothic"/>
              </w:rPr>
              <w:t xml:space="preserve">El procedimiento administrativo de queja </w:t>
            </w:r>
            <w:proofErr w:type="spellStart"/>
            <w:r>
              <w:rPr>
                <w:rFonts w:ascii="Century Gothic" w:eastAsia="Century Gothic" w:hAnsi="Century Gothic" w:cs="Century Gothic"/>
              </w:rPr>
              <w:t>debera</w:t>
            </w:r>
            <w:proofErr w:type="spellEnd"/>
            <w:r>
              <w:rPr>
                <w:rFonts w:ascii="Century Gothic" w:eastAsia="Century Gothic" w:hAnsi="Century Gothic" w:cs="Century Gothic"/>
              </w:rPr>
              <w:t xml:space="preserve">́ agotarse previamente al conocimiento que deba tener otro </w:t>
            </w:r>
            <w:proofErr w:type="spellStart"/>
            <w:r>
              <w:rPr>
                <w:rFonts w:ascii="Century Gothic" w:eastAsia="Century Gothic" w:hAnsi="Century Gothic" w:cs="Century Gothic"/>
              </w:rPr>
              <w:t>órgano</w:t>
            </w:r>
            <w:proofErr w:type="spellEnd"/>
            <w:r>
              <w:rPr>
                <w:rFonts w:ascii="Century Gothic" w:eastAsia="Century Gothic" w:hAnsi="Century Gothic" w:cs="Century Gothic"/>
              </w:rPr>
              <w:t xml:space="preserve"> o autoridad de </w:t>
            </w:r>
            <w:proofErr w:type="spellStart"/>
            <w:r>
              <w:rPr>
                <w:rFonts w:ascii="Century Gothic" w:eastAsia="Century Gothic" w:hAnsi="Century Gothic" w:cs="Century Gothic"/>
              </w:rPr>
              <w:t>algún</w:t>
            </w:r>
            <w:proofErr w:type="spellEnd"/>
            <w:r>
              <w:rPr>
                <w:rFonts w:ascii="Century Gothic" w:eastAsia="Century Gothic" w:hAnsi="Century Gothic" w:cs="Century Gothic"/>
              </w:rPr>
              <w:t xml:space="preserve"> procedimiento administrativo, recurso o instancia jurisdiccional.</w:t>
            </w:r>
          </w:p>
          <w:p w14:paraId="09DCE989" w14:textId="77777777" w:rsidR="00783BDD" w:rsidRDefault="00571FB7">
            <w:pPr>
              <w:rPr>
                <w:rFonts w:ascii="Century Gothic" w:eastAsia="Century Gothic" w:hAnsi="Century Gothic" w:cs="Century Gothic"/>
              </w:rPr>
            </w:pPr>
            <w:r>
              <w:rPr>
                <w:rFonts w:ascii="Century Gothic" w:eastAsia="Century Gothic" w:hAnsi="Century Gothic" w:cs="Century Gothic"/>
              </w:rPr>
              <w:lastRenderedPageBreak/>
              <w:t xml:space="preserve">La </w:t>
            </w:r>
            <w:proofErr w:type="spellStart"/>
            <w:r>
              <w:rPr>
                <w:rFonts w:ascii="Century Gothic" w:eastAsia="Century Gothic" w:hAnsi="Century Gothic" w:cs="Century Gothic"/>
              </w:rPr>
              <w:t>resolución</w:t>
            </w:r>
            <w:proofErr w:type="spellEnd"/>
            <w:r>
              <w:rPr>
                <w:rFonts w:ascii="Century Gothic" w:eastAsia="Century Gothic" w:hAnsi="Century Gothic" w:cs="Century Gothic"/>
              </w:rPr>
              <w:t xml:space="preserve"> de la queja se </w:t>
            </w:r>
            <w:proofErr w:type="spellStart"/>
            <w:r>
              <w:rPr>
                <w:rFonts w:ascii="Century Gothic" w:eastAsia="Century Gothic" w:hAnsi="Century Gothic" w:cs="Century Gothic"/>
              </w:rPr>
              <w:t>hara</w:t>
            </w:r>
            <w:proofErr w:type="spellEnd"/>
            <w:r>
              <w:rPr>
                <w:rFonts w:ascii="Century Gothic" w:eastAsia="Century Gothic" w:hAnsi="Century Gothic" w:cs="Century Gothic"/>
              </w:rPr>
              <w:t xml:space="preserve">́ en los </w:t>
            </w:r>
            <w:proofErr w:type="spellStart"/>
            <w:r>
              <w:rPr>
                <w:rFonts w:ascii="Century Gothic" w:eastAsia="Century Gothic" w:hAnsi="Century Gothic" w:cs="Century Gothic"/>
              </w:rPr>
              <w:t>términos</w:t>
            </w:r>
            <w:proofErr w:type="spellEnd"/>
            <w:r>
              <w:rPr>
                <w:rFonts w:ascii="Century Gothic" w:eastAsia="Century Gothic" w:hAnsi="Century Gothic" w:cs="Century Gothic"/>
              </w:rPr>
              <w:t xml:space="preserve"> que establezca el instructivo respectivo.</w:t>
            </w:r>
          </w:p>
          <w:p w14:paraId="7AF7EB08" w14:textId="77777777" w:rsidR="00783BDD" w:rsidRDefault="00783BDD">
            <w:pPr>
              <w:rPr>
                <w:rFonts w:ascii="Century Gothic" w:eastAsia="Century Gothic" w:hAnsi="Century Gothic" w:cs="Century Gothic"/>
              </w:rPr>
            </w:pPr>
          </w:p>
        </w:tc>
        <w:tc>
          <w:tcPr>
            <w:tcW w:w="4820" w:type="dxa"/>
          </w:tcPr>
          <w:p w14:paraId="14008FF0" w14:textId="77777777" w:rsidR="00783BDD" w:rsidRDefault="00571FB7">
            <w:pPr>
              <w:rPr>
                <w:rFonts w:ascii="Century Gothic" w:eastAsia="Century Gothic" w:hAnsi="Century Gothic" w:cs="Century Gothic"/>
              </w:rPr>
            </w:pPr>
            <w:proofErr w:type="spellStart"/>
            <w:r>
              <w:rPr>
                <w:rFonts w:ascii="Century Gothic" w:eastAsia="Century Gothic" w:hAnsi="Century Gothic" w:cs="Century Gothic"/>
                <w:b/>
              </w:rPr>
              <w:lastRenderedPageBreak/>
              <w:t>Artículo</w:t>
            </w:r>
            <w:proofErr w:type="spellEnd"/>
            <w:r>
              <w:rPr>
                <w:rFonts w:ascii="Century Gothic" w:eastAsia="Century Gothic" w:hAnsi="Century Gothic" w:cs="Century Gothic"/>
                <w:b/>
              </w:rPr>
              <w:t xml:space="preserve"> 296.</w:t>
            </w:r>
            <w:r>
              <w:rPr>
                <w:rFonts w:ascii="Century Gothic" w:eastAsia="Century Gothic" w:hAnsi="Century Gothic" w:cs="Century Gothic"/>
              </w:rPr>
              <w:t xml:space="preserve"> Los derechohabientes </w:t>
            </w:r>
            <w:proofErr w:type="spellStart"/>
            <w:r>
              <w:rPr>
                <w:rFonts w:ascii="Century Gothic" w:eastAsia="Century Gothic" w:hAnsi="Century Gothic" w:cs="Century Gothic"/>
              </w:rPr>
              <w:t>podrán</w:t>
            </w:r>
            <w:proofErr w:type="spellEnd"/>
            <w:r>
              <w:rPr>
                <w:rFonts w:ascii="Century Gothic" w:eastAsia="Century Gothic" w:hAnsi="Century Gothic" w:cs="Century Gothic"/>
              </w:rPr>
              <w:t xml:space="preserve"> interponer ante el Instituto queja administrativa, la cual </w:t>
            </w:r>
            <w:proofErr w:type="spellStart"/>
            <w:r>
              <w:rPr>
                <w:rFonts w:ascii="Century Gothic" w:eastAsia="Century Gothic" w:hAnsi="Century Gothic" w:cs="Century Gothic"/>
              </w:rPr>
              <w:t>tendra</w:t>
            </w:r>
            <w:proofErr w:type="spellEnd"/>
            <w:r>
              <w:rPr>
                <w:rFonts w:ascii="Century Gothic" w:eastAsia="Century Gothic" w:hAnsi="Century Gothic" w:cs="Century Gothic"/>
              </w:rPr>
              <w:t xml:space="preserve">́ la finalidad de conocer las insatisfacciones de los usuarios por actos u omisiones del personal institucional vinculados con la </w:t>
            </w:r>
            <w:proofErr w:type="spellStart"/>
            <w:r>
              <w:rPr>
                <w:rFonts w:ascii="Century Gothic" w:eastAsia="Century Gothic" w:hAnsi="Century Gothic" w:cs="Century Gothic"/>
              </w:rPr>
              <w:t>prestación</w:t>
            </w:r>
            <w:proofErr w:type="spellEnd"/>
            <w:r>
              <w:rPr>
                <w:rFonts w:ascii="Century Gothic" w:eastAsia="Century Gothic" w:hAnsi="Century Gothic" w:cs="Century Gothic"/>
              </w:rPr>
              <w:t xml:space="preserve"> de los servicios </w:t>
            </w:r>
            <w:proofErr w:type="spellStart"/>
            <w:r>
              <w:rPr>
                <w:rFonts w:ascii="Century Gothic" w:eastAsia="Century Gothic" w:hAnsi="Century Gothic" w:cs="Century Gothic"/>
              </w:rPr>
              <w:t>médicos</w:t>
            </w:r>
            <w:proofErr w:type="spellEnd"/>
            <w:r>
              <w:rPr>
                <w:rFonts w:ascii="Century Gothic" w:eastAsia="Century Gothic" w:hAnsi="Century Gothic" w:cs="Century Gothic"/>
              </w:rPr>
              <w:t xml:space="preserve"> </w:t>
            </w:r>
            <w:r>
              <w:rPr>
                <w:rFonts w:ascii="Century Gothic" w:eastAsia="Century Gothic" w:hAnsi="Century Gothic" w:cs="Century Gothic"/>
                <w:b/>
              </w:rPr>
              <w:t>y sociales</w:t>
            </w:r>
            <w:r>
              <w:rPr>
                <w:rFonts w:ascii="Century Gothic" w:eastAsia="Century Gothic" w:hAnsi="Century Gothic" w:cs="Century Gothic"/>
              </w:rPr>
              <w:t xml:space="preserve">, siempre que los mismos no constituyan un acto definitivo impugnable a </w:t>
            </w:r>
            <w:proofErr w:type="spellStart"/>
            <w:r>
              <w:rPr>
                <w:rFonts w:ascii="Century Gothic" w:eastAsia="Century Gothic" w:hAnsi="Century Gothic" w:cs="Century Gothic"/>
              </w:rPr>
              <w:t>través</w:t>
            </w:r>
            <w:proofErr w:type="spellEnd"/>
            <w:r>
              <w:rPr>
                <w:rFonts w:ascii="Century Gothic" w:eastAsia="Century Gothic" w:hAnsi="Century Gothic" w:cs="Century Gothic"/>
              </w:rPr>
              <w:t xml:space="preserve"> del recurso de inconformidad.</w:t>
            </w:r>
          </w:p>
          <w:p w14:paraId="749EB1BE" w14:textId="77777777" w:rsidR="00783BDD" w:rsidRDefault="00571FB7">
            <w:pPr>
              <w:rPr>
                <w:rFonts w:ascii="Century Gothic" w:eastAsia="Century Gothic" w:hAnsi="Century Gothic" w:cs="Century Gothic"/>
              </w:rPr>
            </w:pPr>
            <w:r>
              <w:rPr>
                <w:rFonts w:ascii="Century Gothic" w:eastAsia="Century Gothic" w:hAnsi="Century Gothic" w:cs="Century Gothic"/>
              </w:rPr>
              <w:t xml:space="preserve">El procedimiento administrativo de queja </w:t>
            </w:r>
            <w:proofErr w:type="spellStart"/>
            <w:r>
              <w:rPr>
                <w:rFonts w:ascii="Century Gothic" w:eastAsia="Century Gothic" w:hAnsi="Century Gothic" w:cs="Century Gothic"/>
              </w:rPr>
              <w:t>debera</w:t>
            </w:r>
            <w:proofErr w:type="spellEnd"/>
            <w:r>
              <w:rPr>
                <w:rFonts w:ascii="Century Gothic" w:eastAsia="Century Gothic" w:hAnsi="Century Gothic" w:cs="Century Gothic"/>
              </w:rPr>
              <w:t xml:space="preserve">́ agotarse previamente al conocimiento que deba tener otro </w:t>
            </w:r>
            <w:proofErr w:type="spellStart"/>
            <w:r>
              <w:rPr>
                <w:rFonts w:ascii="Century Gothic" w:eastAsia="Century Gothic" w:hAnsi="Century Gothic" w:cs="Century Gothic"/>
              </w:rPr>
              <w:t>órgano</w:t>
            </w:r>
            <w:proofErr w:type="spellEnd"/>
            <w:r>
              <w:rPr>
                <w:rFonts w:ascii="Century Gothic" w:eastAsia="Century Gothic" w:hAnsi="Century Gothic" w:cs="Century Gothic"/>
              </w:rPr>
              <w:t xml:space="preserve"> o autoridad de </w:t>
            </w:r>
            <w:proofErr w:type="spellStart"/>
            <w:r>
              <w:rPr>
                <w:rFonts w:ascii="Century Gothic" w:eastAsia="Century Gothic" w:hAnsi="Century Gothic" w:cs="Century Gothic"/>
              </w:rPr>
              <w:t>algún</w:t>
            </w:r>
            <w:proofErr w:type="spellEnd"/>
            <w:r>
              <w:rPr>
                <w:rFonts w:ascii="Century Gothic" w:eastAsia="Century Gothic" w:hAnsi="Century Gothic" w:cs="Century Gothic"/>
              </w:rPr>
              <w:t xml:space="preserve"> procedimiento administrativo, recurso o instancia jurisdiccional.</w:t>
            </w:r>
          </w:p>
          <w:p w14:paraId="0715B1C6" w14:textId="77777777" w:rsidR="00783BDD" w:rsidRDefault="00571FB7">
            <w:pPr>
              <w:rPr>
                <w:rFonts w:ascii="Century Gothic" w:eastAsia="Century Gothic" w:hAnsi="Century Gothic" w:cs="Century Gothic"/>
                <w:b/>
              </w:rPr>
            </w:pPr>
            <w:r>
              <w:rPr>
                <w:rFonts w:ascii="Century Gothic" w:eastAsia="Century Gothic" w:hAnsi="Century Gothic" w:cs="Century Gothic"/>
              </w:rPr>
              <w:t xml:space="preserve">La </w:t>
            </w:r>
            <w:proofErr w:type="spellStart"/>
            <w:r>
              <w:rPr>
                <w:rFonts w:ascii="Century Gothic" w:eastAsia="Century Gothic" w:hAnsi="Century Gothic" w:cs="Century Gothic"/>
              </w:rPr>
              <w:t>resolución</w:t>
            </w:r>
            <w:proofErr w:type="spellEnd"/>
            <w:r>
              <w:rPr>
                <w:rFonts w:ascii="Century Gothic" w:eastAsia="Century Gothic" w:hAnsi="Century Gothic" w:cs="Century Gothic"/>
              </w:rPr>
              <w:t xml:space="preserve"> de la queja se </w:t>
            </w:r>
            <w:proofErr w:type="spellStart"/>
            <w:r>
              <w:rPr>
                <w:rFonts w:ascii="Century Gothic" w:eastAsia="Century Gothic" w:hAnsi="Century Gothic" w:cs="Century Gothic"/>
              </w:rPr>
              <w:t>hara</w:t>
            </w:r>
            <w:proofErr w:type="spellEnd"/>
            <w:r>
              <w:rPr>
                <w:rFonts w:ascii="Century Gothic" w:eastAsia="Century Gothic" w:hAnsi="Century Gothic" w:cs="Century Gothic"/>
              </w:rPr>
              <w:t xml:space="preserve">́ en los </w:t>
            </w:r>
            <w:proofErr w:type="spellStart"/>
            <w:r>
              <w:rPr>
                <w:rFonts w:ascii="Century Gothic" w:eastAsia="Century Gothic" w:hAnsi="Century Gothic" w:cs="Century Gothic"/>
              </w:rPr>
              <w:t>términos</w:t>
            </w:r>
            <w:proofErr w:type="spellEnd"/>
            <w:r>
              <w:rPr>
                <w:rFonts w:ascii="Century Gothic" w:eastAsia="Century Gothic" w:hAnsi="Century Gothic" w:cs="Century Gothic"/>
              </w:rPr>
              <w:t xml:space="preserve"> que establezca el instructivo </w:t>
            </w:r>
            <w:r>
              <w:rPr>
                <w:rFonts w:ascii="Century Gothic" w:eastAsia="Century Gothic" w:hAnsi="Century Gothic" w:cs="Century Gothic"/>
              </w:rPr>
              <w:lastRenderedPageBreak/>
              <w:t xml:space="preserve">respectivo, </w:t>
            </w:r>
            <w:r>
              <w:rPr>
                <w:rFonts w:ascii="Century Gothic" w:eastAsia="Century Gothic" w:hAnsi="Century Gothic" w:cs="Century Gothic"/>
                <w:b/>
              </w:rPr>
              <w:t>observando en todo momento el interés superior de la niñez conforme a lo establecido en la Ley General de Niñas, Niños y Adolescentes.</w:t>
            </w:r>
          </w:p>
          <w:p w14:paraId="6651B432" w14:textId="77777777" w:rsidR="00783BDD" w:rsidRDefault="00783BDD">
            <w:pPr>
              <w:rPr>
                <w:rFonts w:ascii="Century Gothic" w:eastAsia="Century Gothic" w:hAnsi="Century Gothic" w:cs="Century Gothic"/>
              </w:rPr>
            </w:pPr>
          </w:p>
        </w:tc>
      </w:tr>
    </w:tbl>
    <w:p w14:paraId="6E70B728" w14:textId="77777777" w:rsidR="00783BDD" w:rsidRDefault="00571FB7">
      <w:pPr>
        <w:rPr>
          <w:rFonts w:ascii="Century Gothic" w:eastAsia="Century Gothic" w:hAnsi="Century Gothic" w:cs="Century Gothic"/>
        </w:rPr>
      </w:pPr>
      <w:r>
        <w:rPr>
          <w:rFonts w:ascii="Century Gothic" w:eastAsia="Century Gothic" w:hAnsi="Century Gothic" w:cs="Century Gothic"/>
        </w:rPr>
        <w:lastRenderedPageBreak/>
        <w:tab/>
      </w:r>
    </w:p>
    <w:p w14:paraId="752F6EB7" w14:textId="77777777" w:rsidR="00783BDD" w:rsidRDefault="00571FB7">
      <w:pPr>
        <w:rPr>
          <w:rFonts w:ascii="Century Gothic" w:eastAsia="Century Gothic" w:hAnsi="Century Gothic" w:cs="Century Gothic"/>
        </w:rPr>
      </w:pPr>
      <w:r>
        <w:rPr>
          <w:rFonts w:ascii="Century Gothic" w:eastAsia="Century Gothic" w:hAnsi="Century Gothic" w:cs="Century Gothic"/>
        </w:rPr>
        <w:t>A través de esta iniciativa, tenemos una gran oportunidad para combatir los abusos y maltratos a menores de edad.</w:t>
      </w:r>
    </w:p>
    <w:p w14:paraId="37B765FB" w14:textId="77777777" w:rsidR="00783BDD" w:rsidRDefault="00571FB7">
      <w:pPr>
        <w:rPr>
          <w:rFonts w:ascii="Century Gothic" w:eastAsia="Century Gothic" w:hAnsi="Century Gothic" w:cs="Century Gothic"/>
        </w:rPr>
      </w:pPr>
      <w:r>
        <w:rPr>
          <w:rFonts w:ascii="Century Gothic" w:eastAsia="Century Gothic" w:hAnsi="Century Gothic" w:cs="Century Gothic"/>
        </w:rPr>
        <w:t>Desde el Grupo Parlamentario del PAN, la niñez es una prioridad en nuestra agenda política. Por ello, reafirmamos nuestro compromiso con esta causa y a favor de su bienestar.</w:t>
      </w:r>
    </w:p>
    <w:p w14:paraId="11D01FA2" w14:textId="77777777" w:rsidR="00783BDD" w:rsidRDefault="00571FB7">
      <w:pPr>
        <w:tabs>
          <w:tab w:val="left" w:pos="3226"/>
        </w:tabs>
        <w:rPr>
          <w:rFonts w:ascii="Century Gothic" w:eastAsia="Century Gothic" w:hAnsi="Century Gothic" w:cs="Century Gothic"/>
        </w:rPr>
      </w:pPr>
      <w:r>
        <w:rPr>
          <w:rFonts w:ascii="Century Gothic" w:eastAsia="Century Gothic" w:hAnsi="Century Gothic" w:cs="Century Gothic"/>
        </w:rPr>
        <w:t>Por lo anteriormente expuesto, solicito se apruebe ante el Congreso de la Unión el siguiente:</w:t>
      </w:r>
    </w:p>
    <w:p w14:paraId="785A4E55" w14:textId="77777777" w:rsidR="00783BDD" w:rsidRDefault="00571FB7">
      <w:pPr>
        <w:tabs>
          <w:tab w:val="left" w:pos="3226"/>
        </w:tabs>
        <w:jc w:val="center"/>
        <w:rPr>
          <w:rFonts w:ascii="Century Gothic" w:eastAsia="Century Gothic" w:hAnsi="Century Gothic" w:cs="Century Gothic"/>
          <w:b/>
        </w:rPr>
      </w:pPr>
      <w:r>
        <w:rPr>
          <w:rFonts w:ascii="Century Gothic" w:eastAsia="Century Gothic" w:hAnsi="Century Gothic" w:cs="Century Gothic"/>
          <w:b/>
        </w:rPr>
        <w:t>DECRETO:</w:t>
      </w:r>
    </w:p>
    <w:p w14:paraId="3B7C13D5" w14:textId="77777777" w:rsidR="00783BDD" w:rsidRDefault="00571FB7">
      <w:pPr>
        <w:tabs>
          <w:tab w:val="left" w:pos="3226"/>
        </w:tabs>
        <w:rPr>
          <w:rFonts w:ascii="Century Gothic" w:eastAsia="Century Gothic" w:hAnsi="Century Gothic" w:cs="Century Gothic"/>
        </w:rPr>
      </w:pPr>
      <w:r>
        <w:rPr>
          <w:rFonts w:ascii="Century Gothic" w:eastAsia="Century Gothic" w:hAnsi="Century Gothic" w:cs="Century Gothic"/>
          <w:b/>
        </w:rPr>
        <w:t xml:space="preserve">ARTÍCULO PRIMERO: </w:t>
      </w:r>
      <w:r>
        <w:rPr>
          <w:rFonts w:ascii="Century Gothic" w:eastAsia="Century Gothic" w:hAnsi="Century Gothic" w:cs="Century Gothic"/>
        </w:rPr>
        <w:t xml:space="preserve">Se reforme el artículo 296 de la Ley del Seguro Social para que se </w:t>
      </w:r>
      <w:r>
        <w:rPr>
          <w:rFonts w:ascii="Century Gothic" w:eastAsia="Century Gothic" w:hAnsi="Century Gothic" w:cs="Century Gothic"/>
          <w:b/>
        </w:rPr>
        <w:t>adicione el derecho de prioridad y la tutela efectiva de niñas, niños y adolescentes en materia de prestaciones sociales,</w:t>
      </w:r>
      <w:r>
        <w:rPr>
          <w:rFonts w:ascii="Century Gothic" w:eastAsia="Century Gothic" w:hAnsi="Century Gothic" w:cs="Century Gothic"/>
        </w:rPr>
        <w:t xml:space="preserve"> quedando de la siguiente manera:</w:t>
      </w:r>
    </w:p>
    <w:p w14:paraId="22119D16" w14:textId="77777777" w:rsidR="00783BDD" w:rsidRDefault="00571FB7">
      <w:pPr>
        <w:tabs>
          <w:tab w:val="left" w:pos="3226"/>
        </w:tabs>
        <w:rPr>
          <w:rFonts w:ascii="Century Gothic" w:eastAsia="Century Gothic" w:hAnsi="Century Gothic" w:cs="Century Gothic"/>
        </w:rPr>
      </w:pPr>
      <w:r>
        <w:rPr>
          <w:rFonts w:ascii="Century Gothic" w:eastAsia="Century Gothic" w:hAnsi="Century Gothic" w:cs="Century Gothic"/>
        </w:rPr>
        <w:t>“</w:t>
      </w:r>
      <w:proofErr w:type="spellStart"/>
      <w:r>
        <w:rPr>
          <w:rFonts w:ascii="Century Gothic" w:eastAsia="Century Gothic" w:hAnsi="Century Gothic" w:cs="Century Gothic"/>
        </w:rPr>
        <w:t>Artículo</w:t>
      </w:r>
      <w:proofErr w:type="spellEnd"/>
      <w:r>
        <w:rPr>
          <w:rFonts w:ascii="Century Gothic" w:eastAsia="Century Gothic" w:hAnsi="Century Gothic" w:cs="Century Gothic"/>
        </w:rPr>
        <w:t xml:space="preserve"> 296. Los derechohabientes </w:t>
      </w:r>
      <w:proofErr w:type="spellStart"/>
      <w:r>
        <w:rPr>
          <w:rFonts w:ascii="Century Gothic" w:eastAsia="Century Gothic" w:hAnsi="Century Gothic" w:cs="Century Gothic"/>
        </w:rPr>
        <w:t>podrán</w:t>
      </w:r>
      <w:proofErr w:type="spellEnd"/>
      <w:r>
        <w:rPr>
          <w:rFonts w:ascii="Century Gothic" w:eastAsia="Century Gothic" w:hAnsi="Century Gothic" w:cs="Century Gothic"/>
        </w:rPr>
        <w:t xml:space="preserve"> interponer ante el Instituto queja administrativa, la cual tendrá la finalidad de conocer las insatisfacciones de los usuarios por actos u omisiones del personal institucional vinculados con la prestación de los servicios médicos </w:t>
      </w:r>
      <w:r>
        <w:rPr>
          <w:rFonts w:ascii="Century Gothic" w:eastAsia="Century Gothic" w:hAnsi="Century Gothic" w:cs="Century Gothic"/>
          <w:b/>
        </w:rPr>
        <w:t>y sociales</w:t>
      </w:r>
      <w:r>
        <w:rPr>
          <w:rFonts w:ascii="Century Gothic" w:eastAsia="Century Gothic" w:hAnsi="Century Gothic" w:cs="Century Gothic"/>
        </w:rPr>
        <w:t>, siempre que los mismos no constituyan un acto definitivo impugnable a través del recurso de inconformidad.</w:t>
      </w:r>
    </w:p>
    <w:p w14:paraId="77E0BB5A" w14:textId="77777777" w:rsidR="00030379" w:rsidRDefault="00030379">
      <w:pPr>
        <w:tabs>
          <w:tab w:val="left" w:pos="3226"/>
        </w:tabs>
        <w:rPr>
          <w:rFonts w:ascii="Century Gothic" w:eastAsia="Century Gothic" w:hAnsi="Century Gothic" w:cs="Century Gothic"/>
        </w:rPr>
      </w:pPr>
    </w:p>
    <w:p w14:paraId="70172F8B" w14:textId="77777777" w:rsidR="00030379" w:rsidRDefault="00030379">
      <w:pPr>
        <w:tabs>
          <w:tab w:val="left" w:pos="3226"/>
        </w:tabs>
        <w:rPr>
          <w:rFonts w:ascii="Century Gothic" w:eastAsia="Century Gothic" w:hAnsi="Century Gothic" w:cs="Century Gothic"/>
        </w:rPr>
      </w:pPr>
    </w:p>
    <w:p w14:paraId="18C40C24" w14:textId="038067B5" w:rsidR="00783BDD" w:rsidRDefault="00571FB7">
      <w:pPr>
        <w:tabs>
          <w:tab w:val="left" w:pos="3226"/>
        </w:tabs>
        <w:rPr>
          <w:rFonts w:ascii="Century Gothic" w:eastAsia="Century Gothic" w:hAnsi="Century Gothic" w:cs="Century Gothic"/>
        </w:rPr>
      </w:pPr>
      <w:r>
        <w:rPr>
          <w:rFonts w:ascii="Century Gothic" w:eastAsia="Century Gothic" w:hAnsi="Century Gothic" w:cs="Century Gothic"/>
        </w:rPr>
        <w:t>El procedimiento administrativo de queja deberá agotarse previamente al conocimiento que deba tener otro órgano o autoridad de algún procedimiento administrativo, recurso o instancia jurisdiccional.</w:t>
      </w:r>
    </w:p>
    <w:p w14:paraId="34128EEE" w14:textId="77777777" w:rsidR="00783BDD" w:rsidRDefault="00571FB7">
      <w:pPr>
        <w:pBdr>
          <w:top w:val="nil"/>
          <w:left w:val="nil"/>
          <w:bottom w:val="nil"/>
          <w:right w:val="nil"/>
          <w:between w:val="nil"/>
        </w:pBdr>
        <w:spacing w:before="280" w:after="280"/>
        <w:rPr>
          <w:rFonts w:ascii="Century Gothic" w:eastAsia="Century Gothic" w:hAnsi="Century Gothic" w:cs="Century Gothic"/>
          <w:b/>
          <w:color w:val="000000"/>
        </w:rPr>
      </w:pPr>
      <w:r>
        <w:rPr>
          <w:rFonts w:ascii="Century Gothic" w:eastAsia="Century Gothic" w:hAnsi="Century Gothic" w:cs="Century Gothic"/>
          <w:color w:val="000000"/>
        </w:rPr>
        <w:t>La resoluci</w:t>
      </w:r>
      <w:r>
        <w:rPr>
          <w:rFonts w:ascii="Century Gothic" w:eastAsia="Century Gothic" w:hAnsi="Century Gothic" w:cs="Century Gothic"/>
        </w:rPr>
        <w:t xml:space="preserve">ón </w:t>
      </w:r>
      <w:r>
        <w:rPr>
          <w:rFonts w:ascii="Century Gothic" w:eastAsia="Century Gothic" w:hAnsi="Century Gothic" w:cs="Century Gothic"/>
          <w:color w:val="000000"/>
        </w:rPr>
        <w:t>de la queja se har</w:t>
      </w:r>
      <w:r>
        <w:rPr>
          <w:rFonts w:ascii="Century Gothic" w:eastAsia="Century Gothic" w:hAnsi="Century Gothic" w:cs="Century Gothic"/>
        </w:rPr>
        <w:t xml:space="preserve">á </w:t>
      </w:r>
      <w:r>
        <w:rPr>
          <w:rFonts w:ascii="Century Gothic" w:eastAsia="Century Gothic" w:hAnsi="Century Gothic" w:cs="Century Gothic"/>
          <w:color w:val="000000"/>
        </w:rPr>
        <w:t>en los t</w:t>
      </w:r>
      <w:r>
        <w:rPr>
          <w:rFonts w:ascii="Century Gothic" w:eastAsia="Century Gothic" w:hAnsi="Century Gothic" w:cs="Century Gothic"/>
        </w:rPr>
        <w:t xml:space="preserve">érminos </w:t>
      </w:r>
      <w:r>
        <w:rPr>
          <w:rFonts w:ascii="Century Gothic" w:eastAsia="Century Gothic" w:hAnsi="Century Gothic" w:cs="Century Gothic"/>
          <w:color w:val="000000"/>
        </w:rPr>
        <w:t xml:space="preserve">que establezca el instructivo respectivo, </w:t>
      </w:r>
      <w:r>
        <w:rPr>
          <w:rFonts w:ascii="Century Gothic" w:eastAsia="Century Gothic" w:hAnsi="Century Gothic" w:cs="Century Gothic"/>
          <w:b/>
          <w:color w:val="000000"/>
        </w:rPr>
        <w:t>observando en todo momento el interés superior de la niñez conforme a lo establecido en la Ley General de Niñas, Niños y Adolescentes.</w:t>
      </w:r>
    </w:p>
    <w:p w14:paraId="47020FBC" w14:textId="77777777" w:rsidR="00783BDD" w:rsidRDefault="00783BDD">
      <w:pPr>
        <w:pBdr>
          <w:top w:val="nil"/>
          <w:left w:val="nil"/>
          <w:bottom w:val="nil"/>
          <w:right w:val="nil"/>
          <w:between w:val="nil"/>
        </w:pBdr>
        <w:spacing w:before="280" w:after="280"/>
        <w:rPr>
          <w:rFonts w:ascii="Century Gothic" w:eastAsia="Century Gothic" w:hAnsi="Century Gothic" w:cs="Century Gothic"/>
          <w:b/>
        </w:rPr>
      </w:pPr>
    </w:p>
    <w:p w14:paraId="35227FE1" w14:textId="77777777" w:rsidR="00783BDD" w:rsidRDefault="00571FB7">
      <w:pPr>
        <w:tabs>
          <w:tab w:val="left" w:pos="3226"/>
        </w:tabs>
        <w:jc w:val="center"/>
        <w:rPr>
          <w:rFonts w:ascii="Century Gothic" w:eastAsia="Century Gothic" w:hAnsi="Century Gothic" w:cs="Century Gothic"/>
          <w:b/>
        </w:rPr>
      </w:pPr>
      <w:r>
        <w:rPr>
          <w:rFonts w:ascii="Century Gothic" w:eastAsia="Century Gothic" w:hAnsi="Century Gothic" w:cs="Century Gothic"/>
          <w:b/>
        </w:rPr>
        <w:t>TRANSITORIOS:</w:t>
      </w:r>
    </w:p>
    <w:p w14:paraId="0790B9C0" w14:textId="77777777" w:rsidR="00783BDD" w:rsidRDefault="00571FB7">
      <w:pPr>
        <w:tabs>
          <w:tab w:val="left" w:pos="3226"/>
        </w:tabs>
        <w:rPr>
          <w:rFonts w:ascii="Century Gothic" w:eastAsia="Century Gothic" w:hAnsi="Century Gothic" w:cs="Century Gothic"/>
          <w:b/>
        </w:rPr>
      </w:pPr>
      <w:r>
        <w:rPr>
          <w:rFonts w:ascii="Century Gothic" w:eastAsia="Century Gothic" w:hAnsi="Century Gothic" w:cs="Century Gothic"/>
          <w:b/>
        </w:rPr>
        <w:t xml:space="preserve">ARTÍCULO PRIMERO: </w:t>
      </w:r>
      <w:r>
        <w:rPr>
          <w:rFonts w:ascii="Century Gothic" w:eastAsia="Century Gothic" w:hAnsi="Century Gothic" w:cs="Century Gothic"/>
        </w:rPr>
        <w:t xml:space="preserve">El presente Decreto entrará en vigor al día siguiente de su publicación en el Diario Oficial de la Federación. </w:t>
      </w:r>
    </w:p>
    <w:p w14:paraId="5632BA83" w14:textId="77777777" w:rsidR="00783BDD" w:rsidRDefault="00571FB7">
      <w:pPr>
        <w:tabs>
          <w:tab w:val="left" w:pos="3226"/>
        </w:tabs>
        <w:rPr>
          <w:rFonts w:ascii="Century Gothic" w:eastAsia="Century Gothic" w:hAnsi="Century Gothic" w:cs="Century Gothic"/>
        </w:rPr>
      </w:pPr>
      <w:r>
        <w:rPr>
          <w:rFonts w:ascii="Century Gothic" w:eastAsia="Century Gothic" w:hAnsi="Century Gothic" w:cs="Century Gothic"/>
          <w:b/>
        </w:rPr>
        <w:t xml:space="preserve">ECONÓMICO: </w:t>
      </w:r>
      <w:r>
        <w:rPr>
          <w:rFonts w:ascii="Century Gothic" w:eastAsia="Century Gothic" w:hAnsi="Century Gothic" w:cs="Century Gothic"/>
        </w:rPr>
        <w:t xml:space="preserve">Aprobado que sea, túrnese a la Secretaría correspondiente del Congreso de la Unión para los efectos a los que haya lugar. </w:t>
      </w:r>
    </w:p>
    <w:p w14:paraId="732A2388" w14:textId="77777777" w:rsidR="00783BDD" w:rsidRDefault="00783BDD">
      <w:pPr>
        <w:pBdr>
          <w:top w:val="nil"/>
          <w:left w:val="nil"/>
          <w:bottom w:val="nil"/>
          <w:right w:val="nil"/>
          <w:between w:val="nil"/>
        </w:pBdr>
        <w:shd w:val="clear" w:color="auto" w:fill="FFFFFF"/>
        <w:spacing w:after="120"/>
        <w:rPr>
          <w:rFonts w:ascii="Century Gothic" w:eastAsia="Century Gothic" w:hAnsi="Century Gothic" w:cs="Century Gothic"/>
          <w:b/>
          <w:color w:val="000000"/>
          <w:highlight w:val="white"/>
        </w:rPr>
      </w:pPr>
    </w:p>
    <w:p w14:paraId="32A2007C" w14:textId="2821E5C8" w:rsidR="00783BDD" w:rsidRDefault="00571FB7">
      <w:pPr>
        <w:pBdr>
          <w:top w:val="nil"/>
          <w:left w:val="nil"/>
          <w:bottom w:val="nil"/>
          <w:right w:val="nil"/>
          <w:between w:val="nil"/>
        </w:pBdr>
        <w:shd w:val="clear" w:color="auto" w:fill="FFFFFF"/>
        <w:spacing w:after="120"/>
        <w:rPr>
          <w:rFonts w:ascii="Century Gothic" w:eastAsia="Century Gothic" w:hAnsi="Century Gothic" w:cs="Century Gothic"/>
          <w:color w:val="000000"/>
          <w:highlight w:val="white"/>
        </w:rPr>
      </w:pPr>
      <w:r>
        <w:rPr>
          <w:rFonts w:ascii="Century Gothic" w:eastAsia="Century Gothic" w:hAnsi="Century Gothic" w:cs="Century Gothic"/>
          <w:b/>
          <w:color w:val="000000"/>
          <w:highlight w:val="white"/>
        </w:rPr>
        <w:t>DADO</w:t>
      </w:r>
      <w:r>
        <w:rPr>
          <w:rFonts w:ascii="Century Gothic" w:eastAsia="Century Gothic" w:hAnsi="Century Gothic" w:cs="Century Gothic"/>
          <w:color w:val="000000"/>
          <w:highlight w:val="white"/>
        </w:rPr>
        <w:t xml:space="preserve"> en el Salón de Sesiones del Poder Legislativo, en la ciudad de Chihuahua, a los 2</w:t>
      </w:r>
      <w:r w:rsidR="00030379">
        <w:rPr>
          <w:rFonts w:ascii="Century Gothic" w:eastAsia="Century Gothic" w:hAnsi="Century Gothic" w:cs="Century Gothic"/>
          <w:color w:val="000000"/>
          <w:highlight w:val="white"/>
        </w:rPr>
        <w:t>1</w:t>
      </w:r>
      <w:r>
        <w:rPr>
          <w:rFonts w:ascii="Century Gothic" w:eastAsia="Century Gothic" w:hAnsi="Century Gothic" w:cs="Century Gothic"/>
          <w:color w:val="000000"/>
          <w:highlight w:val="white"/>
        </w:rPr>
        <w:t xml:space="preserve"> días del mes de febrero de 2024. </w:t>
      </w:r>
    </w:p>
    <w:p w14:paraId="0BF95411" w14:textId="77777777" w:rsidR="00783BDD" w:rsidRDefault="00783BDD">
      <w:pPr>
        <w:pBdr>
          <w:top w:val="nil"/>
          <w:left w:val="nil"/>
          <w:bottom w:val="nil"/>
          <w:right w:val="nil"/>
          <w:between w:val="nil"/>
        </w:pBdr>
        <w:shd w:val="clear" w:color="auto" w:fill="FFFFFF"/>
        <w:spacing w:after="120"/>
        <w:rPr>
          <w:rFonts w:ascii="Century Gothic" w:eastAsia="Century Gothic" w:hAnsi="Century Gothic" w:cs="Century Gothic"/>
          <w:b/>
          <w:color w:val="000000"/>
          <w:highlight w:val="white"/>
        </w:rPr>
      </w:pPr>
    </w:p>
    <w:p w14:paraId="771ABA6F" w14:textId="77777777" w:rsidR="00783BDD" w:rsidRDefault="00571FB7">
      <w:pPr>
        <w:pBdr>
          <w:top w:val="nil"/>
          <w:left w:val="nil"/>
          <w:bottom w:val="nil"/>
          <w:right w:val="nil"/>
          <w:between w:val="nil"/>
        </w:pBdr>
        <w:shd w:val="clear" w:color="auto" w:fill="FFFFFF"/>
        <w:spacing w:after="100"/>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A T E N T A M E N T E </w:t>
      </w:r>
    </w:p>
    <w:p w14:paraId="576F1F3F" w14:textId="77777777" w:rsidR="00783BDD" w:rsidRDefault="00571FB7">
      <w:pPr>
        <w:pBdr>
          <w:top w:val="nil"/>
          <w:left w:val="nil"/>
          <w:bottom w:val="nil"/>
          <w:right w:val="nil"/>
          <w:between w:val="nil"/>
        </w:pBdr>
        <w:shd w:val="clear" w:color="auto" w:fill="FFFFFF"/>
        <w:spacing w:after="100"/>
        <w:jc w:val="center"/>
        <w:rPr>
          <w:rFonts w:ascii="Century Gothic" w:eastAsia="Century Gothic" w:hAnsi="Century Gothic" w:cs="Century Gothic"/>
          <w:color w:val="000000"/>
        </w:rPr>
      </w:pPr>
      <w:r>
        <w:rPr>
          <w:rFonts w:ascii="Century Gothic" w:eastAsia="Century Gothic" w:hAnsi="Century Gothic" w:cs="Century Gothic"/>
          <w:b/>
          <w:color w:val="000000"/>
        </w:rPr>
        <w:t>GRUPO PARLAMENTARIO DEL PARTIDO ACCION NACIONAL</w:t>
      </w:r>
    </w:p>
    <w:p w14:paraId="5D0E9584" w14:textId="77777777" w:rsidR="00783BDD" w:rsidRDefault="00783BDD">
      <w:pPr>
        <w:pBdr>
          <w:top w:val="nil"/>
          <w:left w:val="nil"/>
          <w:bottom w:val="nil"/>
          <w:right w:val="nil"/>
          <w:between w:val="nil"/>
        </w:pBdr>
        <w:spacing w:after="0" w:line="240" w:lineRule="auto"/>
        <w:jc w:val="left"/>
        <w:rPr>
          <w:rFonts w:ascii="Century Gothic" w:eastAsia="Century Gothic" w:hAnsi="Century Gothic" w:cs="Century Gothic"/>
          <w:b/>
          <w:color w:val="000000"/>
        </w:rPr>
      </w:pPr>
    </w:p>
    <w:p w14:paraId="138ADCCC" w14:textId="77777777" w:rsidR="00783BDD" w:rsidRDefault="00783BDD">
      <w:pPr>
        <w:pBdr>
          <w:top w:val="nil"/>
          <w:left w:val="nil"/>
          <w:bottom w:val="nil"/>
          <w:right w:val="nil"/>
          <w:between w:val="nil"/>
        </w:pBdr>
        <w:spacing w:after="0" w:line="240" w:lineRule="auto"/>
        <w:jc w:val="left"/>
        <w:rPr>
          <w:rFonts w:ascii="Century Gothic" w:eastAsia="Century Gothic" w:hAnsi="Century Gothic" w:cs="Century Gothic"/>
          <w:b/>
          <w:color w:val="000000"/>
        </w:rPr>
      </w:pPr>
    </w:p>
    <w:p w14:paraId="51452A8B" w14:textId="77777777" w:rsidR="00783BDD" w:rsidRDefault="00783BDD">
      <w:pPr>
        <w:pBdr>
          <w:top w:val="nil"/>
          <w:left w:val="nil"/>
          <w:bottom w:val="nil"/>
          <w:right w:val="nil"/>
          <w:between w:val="nil"/>
        </w:pBdr>
        <w:spacing w:after="0" w:line="240" w:lineRule="auto"/>
        <w:jc w:val="left"/>
        <w:rPr>
          <w:rFonts w:ascii="Century Gothic" w:eastAsia="Century Gothic" w:hAnsi="Century Gothic" w:cs="Century Gothic"/>
          <w:b/>
          <w:color w:val="000000"/>
        </w:rPr>
      </w:pPr>
    </w:p>
    <w:p w14:paraId="657DE552" w14:textId="77777777" w:rsidR="00783BDD" w:rsidRDefault="00571FB7">
      <w:pPr>
        <w:pBdr>
          <w:top w:val="nil"/>
          <w:left w:val="nil"/>
          <w:bottom w:val="nil"/>
          <w:right w:val="nil"/>
          <w:between w:val="nil"/>
        </w:pBdr>
        <w:tabs>
          <w:tab w:val="left" w:pos="6120"/>
        </w:tabs>
        <w:jc w:val="center"/>
        <w:rPr>
          <w:rFonts w:ascii="Century Gothic" w:eastAsia="Century Gothic" w:hAnsi="Century Gothic" w:cs="Century Gothic"/>
          <w:b/>
          <w:color w:val="000000"/>
          <w:highlight w:val="white"/>
        </w:rPr>
        <w:sectPr w:rsidR="00783BDD">
          <w:headerReference w:type="default" r:id="rId7"/>
          <w:pgSz w:w="12240" w:h="15840"/>
          <w:pgMar w:top="1417" w:right="1701" w:bottom="1417" w:left="1701" w:header="708" w:footer="708" w:gutter="0"/>
          <w:pgNumType w:start="1"/>
          <w:cols w:space="720"/>
        </w:sectPr>
      </w:pPr>
      <w:r>
        <w:rPr>
          <w:rFonts w:ascii="Century Gothic" w:eastAsia="Century Gothic" w:hAnsi="Century Gothic" w:cs="Century Gothic"/>
          <w:b/>
          <w:color w:val="000000"/>
          <w:highlight w:val="white"/>
        </w:rPr>
        <w:t>DIP. ISMAEL PÉREZ PAVÍA</w:t>
      </w:r>
    </w:p>
    <w:p w14:paraId="29D357ED" w14:textId="77777777" w:rsidR="00783BDD" w:rsidRDefault="00783BDD">
      <w:pPr>
        <w:pBdr>
          <w:top w:val="nil"/>
          <w:left w:val="nil"/>
          <w:bottom w:val="nil"/>
          <w:right w:val="nil"/>
          <w:between w:val="nil"/>
        </w:pBdr>
        <w:spacing w:after="0"/>
        <w:rPr>
          <w:rFonts w:ascii="Times New Roman" w:eastAsia="Times New Roman" w:hAnsi="Times New Roman" w:cs="Times New Roman"/>
          <w:color w:val="000000"/>
        </w:rPr>
        <w:sectPr w:rsidR="00783BDD">
          <w:type w:val="continuous"/>
          <w:pgSz w:w="12240" w:h="15840"/>
          <w:pgMar w:top="1417" w:right="1701" w:bottom="1417" w:left="1701" w:header="708" w:footer="708" w:gutter="0"/>
          <w:cols w:num="2" w:space="720" w:equalWidth="0">
            <w:col w:w="4059" w:space="720"/>
            <w:col w:w="4059" w:space="0"/>
          </w:cols>
        </w:sectPr>
      </w:pPr>
    </w:p>
    <w:p w14:paraId="2BE0F079"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sectPr w:rsidR="00783BDD">
          <w:headerReference w:type="default" r:id="rId8"/>
          <w:pgSz w:w="12240" w:h="15840"/>
          <w:pgMar w:top="1417" w:right="1701" w:bottom="1417" w:left="1701" w:header="708" w:footer="708" w:gutter="0"/>
          <w:cols w:space="720"/>
        </w:sectPr>
      </w:pPr>
    </w:p>
    <w:p w14:paraId="6F760F78" w14:textId="77777777" w:rsidR="00783BDD" w:rsidRDefault="00571FB7">
      <w:pPr>
        <w:pBdr>
          <w:top w:val="nil"/>
          <w:left w:val="nil"/>
          <w:bottom w:val="nil"/>
          <w:right w:val="nil"/>
          <w:between w:val="nil"/>
        </w:pBdr>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DIP. JOSÉ ALFREDO CHÁVEZ MADRID</w:t>
      </w:r>
    </w:p>
    <w:p w14:paraId="1F3C73AB"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6D2E315F"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202909F1" w14:textId="77777777" w:rsidR="00783BDD" w:rsidRDefault="00571FB7">
      <w:pPr>
        <w:pBdr>
          <w:top w:val="nil"/>
          <w:left w:val="nil"/>
          <w:bottom w:val="nil"/>
          <w:right w:val="nil"/>
          <w:between w:val="nil"/>
        </w:pBdr>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DIP. LUIS ALBERTO AGUILAR LOZOYA</w:t>
      </w:r>
    </w:p>
    <w:p w14:paraId="616F22EA"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7F9B45F8"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02D82891" w14:textId="77777777" w:rsidR="00783BDD" w:rsidRDefault="00571FB7">
      <w:pPr>
        <w:pBdr>
          <w:top w:val="nil"/>
          <w:left w:val="nil"/>
          <w:bottom w:val="nil"/>
          <w:right w:val="nil"/>
          <w:between w:val="nil"/>
        </w:pBdr>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DIP. MARISELA TERRAZAS MUÑOZ</w:t>
      </w:r>
    </w:p>
    <w:p w14:paraId="399904B0"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3E55AEC1"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781DF249"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2FE4C1FF" w14:textId="77777777" w:rsidR="00783BDD" w:rsidRDefault="00571FB7">
      <w:pPr>
        <w:pBdr>
          <w:top w:val="nil"/>
          <w:left w:val="nil"/>
          <w:bottom w:val="nil"/>
          <w:right w:val="nil"/>
          <w:between w:val="nil"/>
        </w:pBdr>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DIP. GABRIEL ÁNGEL GARCÍA CANTÚ</w:t>
      </w:r>
    </w:p>
    <w:p w14:paraId="75F327A1"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0C443D15" w14:textId="77777777" w:rsidR="00783BDD" w:rsidRDefault="00783BDD">
      <w:pPr>
        <w:pBdr>
          <w:top w:val="nil"/>
          <w:left w:val="nil"/>
          <w:bottom w:val="nil"/>
          <w:right w:val="nil"/>
          <w:between w:val="nil"/>
        </w:pBdr>
        <w:spacing w:after="0"/>
        <w:jc w:val="left"/>
        <w:rPr>
          <w:rFonts w:ascii="Century Gothic" w:eastAsia="Century Gothic" w:hAnsi="Century Gothic" w:cs="Century Gothic"/>
          <w:b/>
          <w:color w:val="000000"/>
        </w:rPr>
      </w:pPr>
    </w:p>
    <w:p w14:paraId="30E81031" w14:textId="77777777" w:rsidR="00783BDD" w:rsidRDefault="00571FB7">
      <w:pPr>
        <w:pBdr>
          <w:top w:val="nil"/>
          <w:left w:val="nil"/>
          <w:bottom w:val="nil"/>
          <w:right w:val="nil"/>
          <w:between w:val="nil"/>
        </w:pBdr>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DIP. GEORGINA ALEJANDRA BUJANDA RÍOS</w:t>
      </w:r>
    </w:p>
    <w:p w14:paraId="51C1FF2B"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1A66E685"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78A6443F" w14:textId="77777777" w:rsidR="00783BDD" w:rsidRDefault="00571FB7">
      <w:pPr>
        <w:pBdr>
          <w:top w:val="nil"/>
          <w:left w:val="nil"/>
          <w:bottom w:val="nil"/>
          <w:right w:val="nil"/>
          <w:between w:val="nil"/>
        </w:pBdr>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DIP. DIANA IVETTE PEREDA GUTIÉRREZ</w:t>
      </w:r>
    </w:p>
    <w:p w14:paraId="1D950D1D"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7A24DE7C"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737829CA" w14:textId="77777777" w:rsidR="00783BDD" w:rsidRDefault="00571FB7">
      <w:pPr>
        <w:pBdr>
          <w:top w:val="nil"/>
          <w:left w:val="nil"/>
          <w:bottom w:val="nil"/>
          <w:right w:val="nil"/>
          <w:between w:val="nil"/>
        </w:pBdr>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DIP. ISMAEL MARIO RODRÍGUEZ SALDAÑA</w:t>
      </w:r>
    </w:p>
    <w:p w14:paraId="63E81634" w14:textId="77777777" w:rsidR="00783BDD" w:rsidRDefault="00571FB7">
      <w:pPr>
        <w:pBdr>
          <w:top w:val="nil"/>
          <w:left w:val="nil"/>
          <w:bottom w:val="nil"/>
          <w:right w:val="nil"/>
          <w:between w:val="nil"/>
        </w:pBdr>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DIP. CARLOS ALFREDO OLSON SAN VICENTE</w:t>
      </w:r>
    </w:p>
    <w:p w14:paraId="59A8B16A"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37AB1842" w14:textId="77777777" w:rsidR="00783BDD" w:rsidRDefault="00783BDD">
      <w:pPr>
        <w:pBdr>
          <w:top w:val="nil"/>
          <w:left w:val="nil"/>
          <w:bottom w:val="nil"/>
          <w:right w:val="nil"/>
          <w:between w:val="nil"/>
        </w:pBdr>
        <w:spacing w:after="0"/>
        <w:jc w:val="left"/>
        <w:rPr>
          <w:rFonts w:ascii="Century Gothic" w:eastAsia="Century Gothic" w:hAnsi="Century Gothic" w:cs="Century Gothic"/>
          <w:b/>
          <w:color w:val="000000"/>
        </w:rPr>
      </w:pPr>
    </w:p>
    <w:p w14:paraId="39CE7345" w14:textId="77777777" w:rsidR="00783BDD" w:rsidRDefault="00571FB7">
      <w:pPr>
        <w:pBdr>
          <w:top w:val="nil"/>
          <w:left w:val="nil"/>
          <w:bottom w:val="nil"/>
          <w:right w:val="nil"/>
          <w:between w:val="nil"/>
        </w:pBdr>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DIP. ROSA ISELA MARTÍNEZ DÍAZ</w:t>
      </w:r>
    </w:p>
    <w:p w14:paraId="4028E8FF"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7C7F4AB0" w14:textId="77777777" w:rsidR="00783BDD" w:rsidRDefault="00783BDD">
      <w:pPr>
        <w:pBdr>
          <w:top w:val="nil"/>
          <w:left w:val="nil"/>
          <w:bottom w:val="nil"/>
          <w:right w:val="nil"/>
          <w:between w:val="nil"/>
        </w:pBdr>
        <w:spacing w:after="0"/>
        <w:jc w:val="left"/>
        <w:rPr>
          <w:rFonts w:ascii="Century Gothic" w:eastAsia="Century Gothic" w:hAnsi="Century Gothic" w:cs="Century Gothic"/>
          <w:b/>
          <w:color w:val="000000"/>
        </w:rPr>
      </w:pPr>
    </w:p>
    <w:p w14:paraId="3A6129CA" w14:textId="77777777" w:rsidR="00783BDD" w:rsidRDefault="00783BDD">
      <w:pPr>
        <w:pBdr>
          <w:top w:val="nil"/>
          <w:left w:val="nil"/>
          <w:bottom w:val="nil"/>
          <w:right w:val="nil"/>
          <w:between w:val="nil"/>
        </w:pBdr>
        <w:spacing w:after="0"/>
        <w:jc w:val="left"/>
        <w:rPr>
          <w:rFonts w:ascii="Century Gothic" w:eastAsia="Century Gothic" w:hAnsi="Century Gothic" w:cs="Century Gothic"/>
          <w:b/>
          <w:color w:val="000000"/>
        </w:rPr>
      </w:pPr>
    </w:p>
    <w:p w14:paraId="3C8CFAEE" w14:textId="77777777" w:rsidR="00783BDD" w:rsidRDefault="00571FB7">
      <w:pPr>
        <w:pBdr>
          <w:top w:val="nil"/>
          <w:left w:val="nil"/>
          <w:bottom w:val="nil"/>
          <w:right w:val="nil"/>
          <w:between w:val="nil"/>
        </w:pBdr>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DIP. ROCÍO GUADALUPE </w:t>
      </w:r>
    </w:p>
    <w:p w14:paraId="0783606B" w14:textId="77777777" w:rsidR="00783BDD" w:rsidRDefault="00571FB7">
      <w:pPr>
        <w:pBdr>
          <w:top w:val="nil"/>
          <w:left w:val="nil"/>
          <w:bottom w:val="nil"/>
          <w:right w:val="nil"/>
          <w:between w:val="nil"/>
        </w:pBdr>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SARMIENTO RUFINO</w:t>
      </w:r>
    </w:p>
    <w:p w14:paraId="5616A82F"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3E3EFF92"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11DF5E7B" w14:textId="77777777" w:rsidR="00783BDD" w:rsidRDefault="00571FB7">
      <w:pPr>
        <w:pBdr>
          <w:top w:val="nil"/>
          <w:left w:val="nil"/>
          <w:bottom w:val="nil"/>
          <w:right w:val="nil"/>
          <w:between w:val="nil"/>
        </w:pBdr>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DIP. YESENIA GUADALUPE REYES CALZADÍAS</w:t>
      </w:r>
    </w:p>
    <w:p w14:paraId="41385160"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2896AEA9"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37B75A9E" w14:textId="3A9EAB69" w:rsidR="00783BDD" w:rsidRDefault="006F5DE8">
      <w:pPr>
        <w:pBdr>
          <w:top w:val="nil"/>
          <w:left w:val="nil"/>
          <w:bottom w:val="nil"/>
          <w:right w:val="nil"/>
          <w:between w:val="nil"/>
        </w:pBdr>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DIP. CARLA YAMILETH RIVAS MARTÍNEZ</w:t>
      </w:r>
    </w:p>
    <w:p w14:paraId="101C3558" w14:textId="77777777" w:rsidR="00783BDD" w:rsidRDefault="00783BDD">
      <w:pPr>
        <w:pBdr>
          <w:top w:val="nil"/>
          <w:left w:val="nil"/>
          <w:bottom w:val="nil"/>
          <w:right w:val="nil"/>
          <w:between w:val="nil"/>
        </w:pBdr>
        <w:spacing w:after="0"/>
        <w:jc w:val="center"/>
        <w:rPr>
          <w:rFonts w:ascii="Century Gothic" w:eastAsia="Century Gothic" w:hAnsi="Century Gothic" w:cs="Century Gothic"/>
          <w:b/>
          <w:color w:val="000000"/>
        </w:rPr>
      </w:pPr>
    </w:p>
    <w:p w14:paraId="2537318F" w14:textId="77777777" w:rsidR="00783BDD" w:rsidRDefault="00783BDD">
      <w:pPr>
        <w:pBdr>
          <w:top w:val="nil"/>
          <w:left w:val="nil"/>
          <w:bottom w:val="nil"/>
          <w:right w:val="nil"/>
          <w:between w:val="nil"/>
        </w:pBdr>
        <w:spacing w:after="0"/>
        <w:jc w:val="left"/>
        <w:rPr>
          <w:rFonts w:ascii="Century Gothic" w:eastAsia="Century Gothic" w:hAnsi="Century Gothic" w:cs="Century Gothic"/>
          <w:b/>
          <w:color w:val="000000"/>
        </w:rPr>
      </w:pPr>
    </w:p>
    <w:p w14:paraId="51750474" w14:textId="77777777" w:rsidR="00783BDD" w:rsidRDefault="00571FB7">
      <w:pPr>
        <w:pBdr>
          <w:top w:val="nil"/>
          <w:left w:val="nil"/>
          <w:bottom w:val="nil"/>
          <w:right w:val="nil"/>
          <w:between w:val="nil"/>
        </w:pBdr>
        <w:spacing w:after="0"/>
        <w:jc w:val="center"/>
        <w:rPr>
          <w:rFonts w:ascii="Century Gothic" w:eastAsia="Century Gothic" w:hAnsi="Century Gothic" w:cs="Century Gothic"/>
          <w:b/>
          <w:color w:val="000000"/>
        </w:rPr>
      </w:pPr>
      <w:r>
        <w:rPr>
          <w:rFonts w:ascii="Century Gothic" w:eastAsia="Century Gothic" w:hAnsi="Century Gothic" w:cs="Century Gothic"/>
          <w:b/>
          <w:color w:val="000000"/>
        </w:rPr>
        <w:t>DIP. ROBERTO MARCELINO CARREÓN HUITRÓN</w:t>
      </w:r>
    </w:p>
    <w:p w14:paraId="1138B740" w14:textId="77777777" w:rsidR="00783BDD" w:rsidRDefault="00783BDD">
      <w:pPr>
        <w:pBdr>
          <w:top w:val="nil"/>
          <w:left w:val="nil"/>
          <w:bottom w:val="nil"/>
          <w:right w:val="nil"/>
          <w:between w:val="nil"/>
        </w:pBdr>
        <w:spacing w:after="0"/>
        <w:jc w:val="left"/>
        <w:rPr>
          <w:rFonts w:ascii="Century Gothic" w:eastAsia="Century Gothic" w:hAnsi="Century Gothic" w:cs="Century Gothic"/>
          <w:b/>
          <w:color w:val="000000"/>
        </w:rPr>
      </w:pPr>
    </w:p>
    <w:p w14:paraId="47DAD550" w14:textId="77777777" w:rsidR="00783BDD" w:rsidRDefault="00783BDD">
      <w:pPr>
        <w:pBdr>
          <w:top w:val="nil"/>
          <w:left w:val="nil"/>
          <w:bottom w:val="nil"/>
          <w:right w:val="nil"/>
          <w:between w:val="nil"/>
        </w:pBdr>
        <w:spacing w:after="0"/>
        <w:jc w:val="left"/>
        <w:rPr>
          <w:rFonts w:ascii="Century Gothic" w:eastAsia="Century Gothic" w:hAnsi="Century Gothic" w:cs="Century Gothic"/>
          <w:b/>
          <w:color w:val="000000"/>
        </w:rPr>
      </w:pPr>
    </w:p>
    <w:p w14:paraId="31362758" w14:textId="77777777" w:rsidR="00783BDD" w:rsidRDefault="00571FB7">
      <w:pPr>
        <w:pBdr>
          <w:top w:val="nil"/>
          <w:left w:val="nil"/>
          <w:bottom w:val="nil"/>
          <w:right w:val="nil"/>
          <w:between w:val="nil"/>
        </w:pBdr>
        <w:spacing w:after="0"/>
        <w:jc w:val="center"/>
        <w:rPr>
          <w:rFonts w:ascii="Century Gothic" w:eastAsia="Century Gothic" w:hAnsi="Century Gothic" w:cs="Century Gothic"/>
          <w:b/>
          <w:color w:val="000000"/>
        </w:rPr>
        <w:sectPr w:rsidR="00783BDD">
          <w:type w:val="continuous"/>
          <w:pgSz w:w="12240" w:h="15840"/>
          <w:pgMar w:top="1417" w:right="1701" w:bottom="1417" w:left="1701" w:header="708" w:footer="708" w:gutter="0"/>
          <w:cols w:num="2" w:space="720" w:equalWidth="0">
            <w:col w:w="4065" w:space="708"/>
            <w:col w:w="4065" w:space="0"/>
          </w:cols>
        </w:sectPr>
      </w:pPr>
      <w:r>
        <w:rPr>
          <w:rFonts w:ascii="Century Gothic" w:eastAsia="Century Gothic" w:hAnsi="Century Gothic" w:cs="Century Gothic"/>
          <w:b/>
          <w:color w:val="000000"/>
        </w:rPr>
        <w:t>DIP. SAÚL MIRELES CORRAL</w:t>
      </w:r>
    </w:p>
    <w:p w14:paraId="0590272D" w14:textId="77777777" w:rsidR="00783BDD" w:rsidRDefault="00783BDD"/>
    <w:sectPr w:rsidR="00783BDD">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82D8" w14:textId="77777777" w:rsidR="00CD2932" w:rsidRDefault="00CD2932">
      <w:pPr>
        <w:spacing w:after="0" w:line="240" w:lineRule="auto"/>
      </w:pPr>
      <w:r>
        <w:separator/>
      </w:r>
    </w:p>
  </w:endnote>
  <w:endnote w:type="continuationSeparator" w:id="0">
    <w:p w14:paraId="088542F2" w14:textId="77777777" w:rsidR="00CD2932" w:rsidRDefault="00CD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4D9A0" w14:textId="77777777" w:rsidR="00CD2932" w:rsidRDefault="00CD2932">
      <w:pPr>
        <w:spacing w:after="0" w:line="240" w:lineRule="auto"/>
      </w:pPr>
      <w:r>
        <w:separator/>
      </w:r>
    </w:p>
  </w:footnote>
  <w:footnote w:type="continuationSeparator" w:id="0">
    <w:p w14:paraId="5FA74611" w14:textId="77777777" w:rsidR="00CD2932" w:rsidRDefault="00CD2932">
      <w:pPr>
        <w:spacing w:after="0" w:line="240" w:lineRule="auto"/>
      </w:pPr>
      <w:r>
        <w:continuationSeparator/>
      </w:r>
    </w:p>
  </w:footnote>
  <w:footnote w:id="1">
    <w:p w14:paraId="1888A7E4" w14:textId="77777777" w:rsidR="00783BDD" w:rsidRDefault="00571FB7">
      <w:pPr>
        <w:pBdr>
          <w:top w:val="nil"/>
          <w:left w:val="nil"/>
          <w:bottom w:val="nil"/>
          <w:right w:val="nil"/>
          <w:between w:val="nil"/>
        </w:pBdr>
        <w:spacing w:after="0" w:line="240" w:lineRule="auto"/>
        <w:rPr>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7EC0" w14:textId="77777777" w:rsidR="00783BDD" w:rsidRDefault="00571FB7">
    <w:pPr>
      <w:pBdr>
        <w:top w:val="nil"/>
        <w:left w:val="nil"/>
        <w:bottom w:val="nil"/>
        <w:right w:val="nil"/>
        <w:between w:val="nil"/>
      </w:pBdr>
      <w:tabs>
        <w:tab w:val="right" w:pos="9020"/>
        <w:tab w:val="left" w:pos="3703"/>
      </w:tabs>
      <w:spacing w:after="0" w:line="240" w:lineRule="auto"/>
      <w:jc w:val="left"/>
      <w:rPr>
        <w:rFonts w:ascii="Helvetica Neue" w:eastAsia="Helvetica Neue" w:hAnsi="Helvetica Neue" w:cs="Helvetica Neue"/>
        <w:color w:val="000000"/>
      </w:rPr>
    </w:pPr>
    <w:r>
      <w:rPr>
        <w:rFonts w:ascii="Helvetica Neue" w:eastAsia="Helvetica Neue" w:hAnsi="Helvetica Neue" w:cs="Helvetica Neue"/>
        <w:noProof/>
        <w:color w:val="000000"/>
      </w:rPr>
      <w:drawing>
        <wp:anchor distT="0" distB="0" distL="0" distR="0" simplePos="0" relativeHeight="251658240" behindDoc="1" locked="0" layoutInCell="1" hidden="0" allowOverlap="1" wp14:anchorId="67DF6EAA" wp14:editId="01A56A45">
          <wp:simplePos x="0" y="0"/>
          <wp:positionH relativeFrom="page">
            <wp:posOffset>211826</wp:posOffset>
          </wp:positionH>
          <wp:positionV relativeFrom="page">
            <wp:posOffset>165289</wp:posOffset>
          </wp:positionV>
          <wp:extent cx="996286" cy="928048"/>
          <wp:effectExtent l="0" t="0" r="0" b="0"/>
          <wp:wrapNone/>
          <wp:docPr id="1073741834"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996286" cy="928048"/>
                  </a:xfrm>
                  <a:prstGeom prst="rect">
                    <a:avLst/>
                  </a:prstGeom>
                  <a:ln/>
                </pic:spPr>
              </pic:pic>
            </a:graphicData>
          </a:graphic>
        </wp:anchor>
      </w:drawing>
    </w:r>
    <w:r>
      <w:rPr>
        <w:rFonts w:ascii="Helvetica Neue" w:eastAsia="Helvetica Neue" w:hAnsi="Helvetica Neue" w:cs="Helvetica Neue"/>
        <w:noProof/>
        <w:color w:val="000000"/>
      </w:rPr>
      <mc:AlternateContent>
        <mc:Choice Requires="wpg">
          <w:drawing>
            <wp:anchor distT="0" distB="0" distL="0" distR="0" simplePos="0" relativeHeight="251659264" behindDoc="1" locked="0" layoutInCell="1" hidden="0" allowOverlap="1" wp14:anchorId="41EA8BDE" wp14:editId="5E04A355">
              <wp:simplePos x="0" y="0"/>
              <wp:positionH relativeFrom="page">
                <wp:posOffset>1371374</wp:posOffset>
              </wp:positionH>
              <wp:positionV relativeFrom="page">
                <wp:posOffset>455344</wp:posOffset>
              </wp:positionV>
              <wp:extent cx="5330417" cy="902334"/>
              <wp:effectExtent l="0" t="0" r="0" b="0"/>
              <wp:wrapNone/>
              <wp:docPr id="1073741832" name="Rectángulo 1073741832" descr="Forma libre 1"/>
              <wp:cNvGraphicFramePr/>
              <a:graphic xmlns:a="http://schemas.openxmlformats.org/drawingml/2006/main">
                <a:graphicData uri="http://schemas.microsoft.com/office/word/2010/wordprocessingShape">
                  <wps:wsp>
                    <wps:cNvSpPr/>
                    <wps:spPr>
                      <a:xfrm>
                        <a:off x="2690317" y="3338358"/>
                        <a:ext cx="5311367" cy="883284"/>
                      </a:xfrm>
                      <a:prstGeom prst="rect">
                        <a:avLst/>
                      </a:prstGeom>
                      <a:noFill/>
                      <a:ln>
                        <a:noFill/>
                      </a:ln>
                    </wps:spPr>
                    <wps:txbx>
                      <w:txbxContent>
                        <w:p w14:paraId="2E98334C" w14:textId="77777777" w:rsidR="00783BDD" w:rsidRDefault="00571FB7">
                          <w:pPr>
                            <w:spacing w:before="1" w:after="0" w:line="206" w:lineRule="auto"/>
                            <w:ind w:left="2058" w:firstLine="2058"/>
                            <w:jc w:val="right"/>
                            <w:textDirection w:val="btLr"/>
                          </w:pPr>
                          <w:r>
                            <w:rPr>
                              <w:rFonts w:ascii="Times New Roman" w:eastAsia="Times New Roman" w:hAnsi="Times New Roman" w:cs="Times New Roman"/>
                              <w:i/>
                              <w:color w:val="000000"/>
                              <w:sz w:val="21"/>
                            </w:rPr>
                            <w:t>"2024, Año de Felipe Carrillo Puerto, Benemérito del Proletariado, Revolucionario y Defensor del Mayab"</w:t>
                          </w:r>
                        </w:p>
                        <w:p w14:paraId="1FF4A581" w14:textId="77777777" w:rsidR="00783BDD" w:rsidRDefault="00571FB7">
                          <w:pPr>
                            <w:spacing w:before="1" w:after="0" w:line="206" w:lineRule="auto"/>
                            <w:ind w:left="2058" w:firstLine="2058"/>
                            <w:jc w:val="right"/>
                            <w:textDirection w:val="btLr"/>
                          </w:pPr>
                          <w:r>
                            <w:rPr>
                              <w:rFonts w:ascii="Times New Roman" w:eastAsia="Times New Roman" w:hAnsi="Times New Roman" w:cs="Times New Roman"/>
                              <w:i/>
                              <w:color w:val="000000"/>
                              <w:sz w:val="21"/>
                            </w:rPr>
                            <w:t>“2024, Año del Bicentenario de la fundación del Estado de Chihuahua”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1371374</wp:posOffset>
              </wp:positionH>
              <wp:positionV relativeFrom="page">
                <wp:posOffset>455344</wp:posOffset>
              </wp:positionV>
              <wp:extent cx="5330417" cy="902334"/>
              <wp:effectExtent b="0" l="0" r="0" t="0"/>
              <wp:wrapNone/>
              <wp:docPr descr="Forma libre 1" id="1073741832" name="image3.png"/>
              <a:graphic>
                <a:graphicData uri="http://schemas.openxmlformats.org/drawingml/2006/picture">
                  <pic:pic>
                    <pic:nvPicPr>
                      <pic:cNvPr descr="Forma libre 1" id="0" name="image3.png"/>
                      <pic:cNvPicPr preferRelativeResize="0"/>
                    </pic:nvPicPr>
                    <pic:blipFill>
                      <a:blip r:embed="rId2"/>
                      <a:srcRect/>
                      <a:stretch>
                        <a:fillRect/>
                      </a:stretch>
                    </pic:blipFill>
                    <pic:spPr>
                      <a:xfrm>
                        <a:off x="0" y="0"/>
                        <a:ext cx="5330417" cy="902334"/>
                      </a:xfrm>
                      <a:prstGeom prst="rect"/>
                      <a:ln/>
                    </pic:spPr>
                  </pic:pic>
                </a:graphicData>
              </a:graphic>
            </wp:anchor>
          </w:drawing>
        </mc:Fallback>
      </mc:AlternateContent>
    </w:r>
  </w:p>
  <w:p w14:paraId="44BC2C45" w14:textId="77777777" w:rsidR="00783BDD" w:rsidRDefault="00783BDD">
    <w:pPr>
      <w:pBdr>
        <w:top w:val="nil"/>
        <w:left w:val="nil"/>
        <w:bottom w:val="nil"/>
        <w:right w:val="nil"/>
        <w:between w:val="nil"/>
      </w:pBdr>
      <w:tabs>
        <w:tab w:val="right" w:pos="9020"/>
        <w:tab w:val="left" w:pos="3703"/>
      </w:tabs>
      <w:spacing w:after="0" w:line="240" w:lineRule="auto"/>
      <w:jc w:val="left"/>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5D14" w14:textId="77777777" w:rsidR="00783BDD" w:rsidRDefault="00571FB7">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0" distR="0" simplePos="0" relativeHeight="251660288" behindDoc="1" locked="0" layoutInCell="1" hidden="0" allowOverlap="1" wp14:anchorId="72FAD775" wp14:editId="1C288CB5">
          <wp:simplePos x="0" y="0"/>
          <wp:positionH relativeFrom="page">
            <wp:posOffset>141985</wp:posOffset>
          </wp:positionH>
          <wp:positionV relativeFrom="page">
            <wp:posOffset>90706</wp:posOffset>
          </wp:positionV>
          <wp:extent cx="996286" cy="928048"/>
          <wp:effectExtent l="0" t="0" r="0" b="0"/>
          <wp:wrapNone/>
          <wp:docPr id="1073741833" name="image1.jpg" descr="Descripción: LogoCongreso-Final-01 (1)"/>
          <wp:cNvGraphicFramePr/>
          <a:graphic xmlns:a="http://schemas.openxmlformats.org/drawingml/2006/main">
            <a:graphicData uri="http://schemas.openxmlformats.org/drawingml/2006/picture">
              <pic:pic xmlns:pic="http://schemas.openxmlformats.org/drawingml/2006/picture">
                <pic:nvPicPr>
                  <pic:cNvPr id="0" name="image1.jpg" descr="Descripción: LogoCongreso-Final-01 (1)"/>
                  <pic:cNvPicPr preferRelativeResize="0"/>
                </pic:nvPicPr>
                <pic:blipFill>
                  <a:blip r:embed="rId1"/>
                  <a:srcRect/>
                  <a:stretch>
                    <a:fillRect/>
                  </a:stretch>
                </pic:blipFill>
                <pic:spPr>
                  <a:xfrm>
                    <a:off x="0" y="0"/>
                    <a:ext cx="996286" cy="928048"/>
                  </a:xfrm>
                  <a:prstGeom prst="rect">
                    <a:avLst/>
                  </a:prstGeom>
                  <a:ln/>
                </pic:spPr>
              </pic:pic>
            </a:graphicData>
          </a:graphic>
        </wp:anchor>
      </w:drawing>
    </w:r>
    <w:r>
      <w:rPr>
        <w:noProof/>
        <w:color w:val="000000"/>
      </w:rPr>
      <mc:AlternateContent>
        <mc:Choice Requires="wpg">
          <w:drawing>
            <wp:anchor distT="0" distB="0" distL="0" distR="0" simplePos="0" relativeHeight="251661312" behindDoc="1" locked="0" layoutInCell="1" hidden="0" allowOverlap="1" wp14:anchorId="5AAAB021" wp14:editId="6133BA8D">
              <wp:simplePos x="0" y="0"/>
              <wp:positionH relativeFrom="margin">
                <wp:align>right</wp:align>
              </wp:positionH>
              <wp:positionV relativeFrom="page">
                <wp:posOffset>312792</wp:posOffset>
              </wp:positionV>
              <wp:extent cx="5330417" cy="902334"/>
              <wp:effectExtent l="0" t="0" r="0" b="0"/>
              <wp:wrapNone/>
              <wp:docPr id="1073741831" name="Rectángulo 1073741831" descr="Forma libre 1"/>
              <wp:cNvGraphicFramePr/>
              <a:graphic xmlns:a="http://schemas.openxmlformats.org/drawingml/2006/main">
                <a:graphicData uri="http://schemas.microsoft.com/office/word/2010/wordprocessingShape">
                  <wps:wsp>
                    <wps:cNvSpPr/>
                    <wps:spPr>
                      <a:xfrm>
                        <a:off x="2690317" y="3338358"/>
                        <a:ext cx="5311367" cy="883284"/>
                      </a:xfrm>
                      <a:prstGeom prst="rect">
                        <a:avLst/>
                      </a:prstGeom>
                      <a:noFill/>
                      <a:ln>
                        <a:noFill/>
                      </a:ln>
                    </wps:spPr>
                    <wps:txbx>
                      <w:txbxContent>
                        <w:p w14:paraId="0B3FDD54" w14:textId="77777777" w:rsidR="00783BDD" w:rsidRDefault="00571FB7">
                          <w:pPr>
                            <w:spacing w:before="1" w:after="0" w:line="206" w:lineRule="auto"/>
                            <w:ind w:left="2058" w:firstLine="2058"/>
                            <w:jc w:val="right"/>
                            <w:textDirection w:val="btLr"/>
                          </w:pPr>
                          <w:r>
                            <w:rPr>
                              <w:rFonts w:ascii="Times New Roman" w:eastAsia="Times New Roman" w:hAnsi="Times New Roman" w:cs="Times New Roman"/>
                              <w:i/>
                              <w:color w:val="000000"/>
                              <w:sz w:val="21"/>
                            </w:rPr>
                            <w:t>"2024, Año de Felipe Carrillo Puerto, Benemérito del Proletariado, Revolucionario y Defensor del Mayab"</w:t>
                          </w:r>
                        </w:p>
                        <w:p w14:paraId="2C1A861B" w14:textId="77777777" w:rsidR="00783BDD" w:rsidRDefault="00571FB7">
                          <w:pPr>
                            <w:spacing w:before="1" w:after="0" w:line="206" w:lineRule="auto"/>
                            <w:ind w:left="2058" w:firstLine="2058"/>
                            <w:jc w:val="right"/>
                            <w:textDirection w:val="btLr"/>
                          </w:pPr>
                          <w:r>
                            <w:rPr>
                              <w:rFonts w:ascii="Times New Roman" w:eastAsia="Times New Roman" w:hAnsi="Times New Roman" w:cs="Times New Roman"/>
                              <w:i/>
                              <w:color w:val="000000"/>
                              <w:sz w:val="21"/>
                            </w:rPr>
                            <w:t>“2024, Año del Bicentenario de la fundación del Estado de Chihuahua”</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align>right</wp:align>
              </wp:positionH>
              <wp:positionV relativeFrom="page">
                <wp:posOffset>312792</wp:posOffset>
              </wp:positionV>
              <wp:extent cx="5330417" cy="902334"/>
              <wp:effectExtent b="0" l="0" r="0" t="0"/>
              <wp:wrapNone/>
              <wp:docPr descr="Forma libre 1" id="1073741831" name="image2.png"/>
              <a:graphic>
                <a:graphicData uri="http://schemas.openxmlformats.org/drawingml/2006/picture">
                  <pic:pic>
                    <pic:nvPicPr>
                      <pic:cNvPr descr="Forma libre 1" id="0" name="image2.png"/>
                      <pic:cNvPicPr preferRelativeResize="0"/>
                    </pic:nvPicPr>
                    <pic:blipFill>
                      <a:blip r:embed="rId2"/>
                      <a:srcRect/>
                      <a:stretch>
                        <a:fillRect/>
                      </a:stretch>
                    </pic:blipFill>
                    <pic:spPr>
                      <a:xfrm>
                        <a:off x="0" y="0"/>
                        <a:ext cx="5330417" cy="902334"/>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DD"/>
    <w:rsid w:val="00030379"/>
    <w:rsid w:val="004D53A3"/>
    <w:rsid w:val="00571FB7"/>
    <w:rsid w:val="006F5DE8"/>
    <w:rsid w:val="00783BDD"/>
    <w:rsid w:val="00CD2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CE9A"/>
  <w15:docId w15:val="{E13F0B32-270A-4F76-B058-426992B0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MX" w:eastAsia="es-MX"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BC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CD5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5A8C"/>
    <w:pPr>
      <w:spacing w:before="100" w:beforeAutospacing="1" w:after="100" w:afterAutospacing="1" w:line="240" w:lineRule="auto"/>
      <w:jc w:val="left"/>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D70A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70A5F"/>
    <w:rPr>
      <w:rFonts w:ascii="Arial" w:hAnsi="Arial" w:cs="Arial"/>
      <w:kern w:val="0"/>
      <w:sz w:val="20"/>
      <w:szCs w:val="20"/>
    </w:rPr>
  </w:style>
  <w:style w:type="character" w:styleId="Refdenotaalpie">
    <w:name w:val="footnote reference"/>
    <w:basedOn w:val="Fuentedeprrafopredeter"/>
    <w:uiPriority w:val="99"/>
    <w:semiHidden/>
    <w:unhideWhenUsed/>
    <w:rsid w:val="00D70A5F"/>
    <w:rPr>
      <w:vertAlign w:val="superscript"/>
    </w:rPr>
  </w:style>
  <w:style w:type="character" w:styleId="Hipervnculo">
    <w:name w:val="Hyperlink"/>
    <w:basedOn w:val="Fuentedeprrafopredeter"/>
    <w:uiPriority w:val="99"/>
    <w:unhideWhenUsed/>
    <w:rsid w:val="00D70A5F"/>
    <w:rPr>
      <w:color w:val="0563C1" w:themeColor="hyperlink"/>
      <w:u w:val="single"/>
    </w:rPr>
  </w:style>
  <w:style w:type="character" w:styleId="Mencinsinresolver">
    <w:name w:val="Unresolved Mention"/>
    <w:basedOn w:val="Fuentedeprrafopredeter"/>
    <w:uiPriority w:val="99"/>
    <w:semiHidden/>
    <w:unhideWhenUsed/>
    <w:rsid w:val="00D70A5F"/>
    <w:rPr>
      <w:color w:val="605E5C"/>
      <w:shd w:val="clear" w:color="auto" w:fill="E1DFDD"/>
    </w:rPr>
  </w:style>
  <w:style w:type="character" w:styleId="Textoennegrita">
    <w:name w:val="Strong"/>
    <w:basedOn w:val="Fuentedeprrafopredeter"/>
    <w:uiPriority w:val="22"/>
    <w:qFormat/>
    <w:rsid w:val="00892587"/>
    <w:rPr>
      <w:b/>
      <w:bCs/>
    </w:rPr>
  </w:style>
  <w:style w:type="character" w:customStyle="1" w:styleId="apple-converted-space">
    <w:name w:val="apple-converted-space"/>
    <w:basedOn w:val="Fuentedeprrafopredeter"/>
    <w:rsid w:val="00892587"/>
  </w:style>
  <w:style w:type="character" w:customStyle="1" w:styleId="col-12">
    <w:name w:val="col-12"/>
    <w:basedOn w:val="Fuentedeprrafopredeter"/>
    <w:rsid w:val="00892587"/>
  </w:style>
  <w:style w:type="paragraph" w:customStyle="1" w:styleId="my-4">
    <w:name w:val="my-4"/>
    <w:basedOn w:val="Normal"/>
    <w:rsid w:val="00892587"/>
    <w:pPr>
      <w:spacing w:before="100" w:beforeAutospacing="1" w:after="100" w:afterAutospacing="1" w:line="240" w:lineRule="auto"/>
      <w:jc w:val="left"/>
    </w:pPr>
    <w:rPr>
      <w:rFonts w:ascii="Times New Roman" w:eastAsia="Times New Roman" w:hAnsi="Times New Roman" w:cs="Times New Roman"/>
    </w:rPr>
  </w:style>
  <w:style w:type="paragraph" w:customStyle="1" w:styleId="int-doc-tesiscontent-text">
    <w:name w:val="int-doc-tesis__content-text"/>
    <w:basedOn w:val="Normal"/>
    <w:rsid w:val="00892587"/>
    <w:pPr>
      <w:spacing w:before="100" w:beforeAutospacing="1" w:after="100" w:afterAutospacing="1" w:line="240" w:lineRule="auto"/>
      <w:jc w:val="left"/>
    </w:pPr>
    <w:rPr>
      <w:rFonts w:ascii="Times New Roman" w:eastAsia="Times New Roman" w:hAnsi="Times New Roman" w:cs="Times New Roman"/>
    </w:rPr>
  </w:style>
  <w:style w:type="character" w:customStyle="1" w:styleId="skin-color-text">
    <w:name w:val="skin-color-text"/>
    <w:basedOn w:val="Fuentedeprrafopredeter"/>
    <w:rsid w:val="00892587"/>
  </w:style>
  <w:style w:type="paragraph" w:styleId="Encabezado">
    <w:name w:val="header"/>
    <w:basedOn w:val="Normal"/>
    <w:link w:val="EncabezadoCar"/>
    <w:uiPriority w:val="99"/>
    <w:unhideWhenUsed/>
    <w:rsid w:val="008925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2587"/>
    <w:rPr>
      <w:rFonts w:ascii="Arial" w:hAnsi="Arial" w:cs="Arial"/>
      <w:kern w:val="0"/>
    </w:rPr>
  </w:style>
  <w:style w:type="paragraph" w:styleId="Piedepgina">
    <w:name w:val="footer"/>
    <w:basedOn w:val="Normal"/>
    <w:link w:val="PiedepginaCar"/>
    <w:uiPriority w:val="99"/>
    <w:unhideWhenUsed/>
    <w:rsid w:val="008925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2587"/>
    <w:rPr>
      <w:rFonts w:ascii="Arial" w:hAnsi="Arial" w:cs="Arial"/>
      <w:kern w:val="0"/>
    </w:rPr>
  </w:style>
  <w:style w:type="paragraph" w:customStyle="1" w:styleId="BodyA">
    <w:name w:val="Body A"/>
    <w:rsid w:val="00892132"/>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14:textOutline w14:w="12700" w14:cap="flat" w14:cmpd="sng" w14:algn="ctr">
        <w14:noFill/>
        <w14:prstDash w14:val="solid"/>
        <w14:miter w14:lim="400000"/>
      </w14:textOutline>
    </w:rPr>
  </w:style>
  <w:style w:type="paragraph" w:customStyle="1" w:styleId="HeaderFooterA">
    <w:name w:val="Header &amp; Footer A"/>
    <w:rsid w:val="00F32478"/>
    <w:pPr>
      <w:pBdr>
        <w:top w:val="nil"/>
        <w:left w:val="nil"/>
        <w:bottom w:val="nil"/>
        <w:right w:val="nil"/>
        <w:between w:val="nil"/>
        <w:bar w:val="nil"/>
      </w:pBdr>
      <w:tabs>
        <w:tab w:val="right" w:pos="9020"/>
      </w:tabs>
    </w:pPr>
    <w:rPr>
      <w:rFonts w:ascii="Helvetica Neue" w:eastAsia="Arial Unicode MS" w:hAnsi="Helvetica Neue" w:cs="Arial Unicode MS"/>
      <w:color w:val="000000"/>
      <w:u w:color="000000"/>
      <w:bdr w:val="nil"/>
      <w:lang w:val="es-ES_tradnl"/>
      <w14:textOutline w14:w="12700" w14:cap="flat" w14:cmpd="sng" w14:algn="ctr">
        <w14:noFill/>
        <w14:prstDash w14:val="solid"/>
        <w14:miter w14:lim="400000"/>
      </w14:textOutline>
    </w:rPr>
  </w:style>
  <w:style w:type="paragraph" w:customStyle="1" w:styleId="HeaderFooter">
    <w:name w:val="Header &amp; Footer"/>
    <w:rsid w:val="00F32478"/>
    <w:pPr>
      <w:pBdr>
        <w:top w:val="nil"/>
        <w:left w:val="nil"/>
        <w:bottom w:val="nil"/>
        <w:right w:val="nil"/>
        <w:between w:val="nil"/>
        <w:bar w:val="nil"/>
      </w:pBdr>
      <w:tabs>
        <w:tab w:val="right" w:pos="9020"/>
      </w:tabs>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gTZ+E60wELMzsQbvc++ay75glg==">CgMxLjA4AHIhMVlUbm9nRm5nc3R3NXRfN3NlMDJmeVJPdjlCLWNCSDhv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1425</Words>
  <Characters>7838</Characters>
  <Application>Microsoft Office Word</Application>
  <DocSecurity>0</DocSecurity>
  <Lines>65</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Ortega</dc:creator>
  <cp:lastModifiedBy>Brenda Sarahi Gonzalez Dominguez</cp:lastModifiedBy>
  <cp:revision>2</cp:revision>
  <dcterms:created xsi:type="dcterms:W3CDTF">2024-02-20T20:40:00Z</dcterms:created>
  <dcterms:modified xsi:type="dcterms:W3CDTF">2024-02-20T20:40:00Z</dcterms:modified>
</cp:coreProperties>
</file>