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89AE" w14:textId="77777777" w:rsidR="00E17A3D" w:rsidRDefault="00E17A3D">
      <w:pPr>
        <w:pStyle w:val="Ttulo1"/>
        <w:spacing w:line="360" w:lineRule="auto"/>
        <w:rPr>
          <w:rStyle w:val="Ninguno"/>
          <w:rFonts w:ascii="Calibri" w:eastAsia="Calibri" w:hAnsi="Calibri" w:cs="Calibri"/>
          <w:color w:val="000000"/>
          <w:sz w:val="22"/>
          <w:szCs w:val="22"/>
          <w:u w:color="000000"/>
        </w:rPr>
      </w:pPr>
    </w:p>
    <w:p w14:paraId="3DACAD41" w14:textId="77777777" w:rsidR="00E17A3D" w:rsidRDefault="00810363">
      <w:pPr>
        <w:pStyle w:val="Ttulo1"/>
        <w:spacing w:line="360" w:lineRule="auto"/>
        <w:rPr>
          <w:rStyle w:val="Ninguno"/>
          <w:rFonts w:ascii="Century Gothic" w:eastAsia="Century Gothic" w:hAnsi="Century Gothic" w:cs="Century Gothic"/>
          <w:b/>
          <w:bCs/>
          <w:color w:val="000000"/>
          <w:sz w:val="26"/>
          <w:szCs w:val="26"/>
          <w:u w:color="000000"/>
        </w:rPr>
      </w:pPr>
      <w:r>
        <w:rPr>
          <w:rStyle w:val="Ninguno"/>
          <w:rFonts w:ascii="Century Gothic" w:hAnsi="Century Gothic"/>
          <w:b/>
          <w:bCs/>
          <w:color w:val="000000"/>
          <w:sz w:val="26"/>
          <w:szCs w:val="26"/>
          <w:u w:color="000000"/>
        </w:rPr>
        <w:t>H. CONGRESO DEL ESTADO DE CHIHUAHUA.</w:t>
      </w:r>
    </w:p>
    <w:p w14:paraId="247F76AC" w14:textId="77777777" w:rsidR="00E17A3D" w:rsidRDefault="00810363">
      <w:pPr>
        <w:pStyle w:val="CuerpoAA"/>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rPr>
        <w:t>P R E S E N T E.-</w:t>
      </w:r>
    </w:p>
    <w:p w14:paraId="48F87914" w14:textId="77777777" w:rsidR="00E17A3D" w:rsidRDefault="00810363">
      <w:pPr>
        <w:pStyle w:val="CuerpoAA"/>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sz w:val="26"/>
          <w:szCs w:val="26"/>
        </w:rPr>
        <w:t>Quienes suscriben,</w:t>
      </w:r>
      <w:r>
        <w:rPr>
          <w:rStyle w:val="Ninguno"/>
          <w:rFonts w:ascii="Century Gothic" w:hAnsi="Century Gothic"/>
          <w:b/>
          <w:bCs/>
          <w:sz w:val="26"/>
          <w:szCs w:val="26"/>
        </w:rPr>
        <w:t xml:space="preserve"> María Antonieta Pérez Reyes, Edin Cuauhtémoc Estrada Sotelo, Leticia Ortega Máynez, Óscar Daniel Avitia Arellanes, Rosana Díaz Reyes, Gustavo de la Rosa </w:t>
      </w:r>
      <w:proofErr w:type="spellStart"/>
      <w:r>
        <w:rPr>
          <w:rStyle w:val="Ninguno"/>
          <w:rFonts w:ascii="Century Gothic" w:hAnsi="Century Gothic"/>
          <w:b/>
          <w:bCs/>
          <w:sz w:val="26"/>
          <w:szCs w:val="26"/>
        </w:rPr>
        <w:t>Hickerson</w:t>
      </w:r>
      <w:proofErr w:type="spellEnd"/>
      <w:r>
        <w:rPr>
          <w:rStyle w:val="Ninguno"/>
          <w:rFonts w:ascii="Century Gothic" w:hAnsi="Century Gothic"/>
          <w:b/>
          <w:bCs/>
          <w:sz w:val="26"/>
          <w:szCs w:val="26"/>
        </w:rPr>
        <w:t>, Magdalena Rentería Pérez, Benjamín Carrera Chávez, David Óscar Castrejón Rivas, Ilse América García Soto y Jael Argüelles Díaz,</w:t>
      </w:r>
      <w:r>
        <w:rPr>
          <w:rStyle w:val="Ninguno"/>
          <w:rFonts w:ascii="Century Gothic" w:hAnsi="Century Gothic"/>
          <w:sz w:val="26"/>
          <w:szCs w:val="26"/>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w:t>
      </w:r>
      <w:r>
        <w:rPr>
          <w:rStyle w:val="Ninguno"/>
          <w:rFonts w:ascii="Century Gothic" w:hAnsi="Century Gothic"/>
          <w:sz w:val="24"/>
          <w:szCs w:val="24"/>
        </w:rPr>
        <w:t xml:space="preserve"> </w:t>
      </w:r>
      <w:r>
        <w:rPr>
          <w:rStyle w:val="Ninguno"/>
          <w:rFonts w:ascii="Century Gothic" w:hAnsi="Century Gothic"/>
          <w:sz w:val="26"/>
          <w:szCs w:val="26"/>
        </w:rPr>
        <w:t>a presentar</w:t>
      </w:r>
      <w:r>
        <w:rPr>
          <w:rStyle w:val="Ninguno"/>
          <w:rFonts w:ascii="Century Gothic" w:hAnsi="Century Gothic"/>
          <w:sz w:val="24"/>
          <w:szCs w:val="24"/>
        </w:rPr>
        <w:t xml:space="preserve"> </w:t>
      </w:r>
      <w:r>
        <w:rPr>
          <w:rStyle w:val="Ninguno"/>
          <w:rFonts w:ascii="Century Gothic" w:hAnsi="Century Gothic"/>
          <w:b/>
          <w:bCs/>
          <w:sz w:val="26"/>
          <w:szCs w:val="26"/>
        </w:rPr>
        <w:t>Proposición</w:t>
      </w:r>
      <w:r>
        <w:rPr>
          <w:rStyle w:val="Ninguno"/>
          <w:rFonts w:ascii="Century Gothic" w:hAnsi="Century Gothic"/>
          <w:b/>
          <w:bCs/>
          <w:sz w:val="26"/>
          <w:szCs w:val="26"/>
          <w:lang w:val="it-IT"/>
        </w:rPr>
        <w:t xml:space="preserve"> con car</w:t>
      </w:r>
      <w:proofErr w:type="spellStart"/>
      <w:r>
        <w:rPr>
          <w:rStyle w:val="Ninguno"/>
          <w:rFonts w:ascii="Century Gothic" w:hAnsi="Century Gothic"/>
          <w:b/>
          <w:bCs/>
          <w:sz w:val="26"/>
          <w:szCs w:val="26"/>
        </w:rPr>
        <w:t>ácter</w:t>
      </w:r>
      <w:proofErr w:type="spellEnd"/>
      <w:r>
        <w:rPr>
          <w:rStyle w:val="Ninguno"/>
          <w:rFonts w:ascii="Century Gothic" w:hAnsi="Century Gothic"/>
          <w:b/>
          <w:bCs/>
          <w:sz w:val="26"/>
          <w:szCs w:val="26"/>
        </w:rPr>
        <w:t xml:space="preserve"> de Punto de Acuerdo, para exhortar atenta y respetuosamente al Gobierno del Estado de Chihuahua </w:t>
      </w:r>
      <w:r>
        <w:rPr>
          <w:rStyle w:val="Ninguno"/>
          <w:rFonts w:ascii="Century Gothic" w:hAnsi="Century Gothic"/>
          <w:sz w:val="26"/>
          <w:szCs w:val="26"/>
        </w:rPr>
        <w:t xml:space="preserve"> lo anterior con sustento en la siguiente: </w:t>
      </w:r>
      <w:r>
        <w:rPr>
          <w:rStyle w:val="Ninguno"/>
          <w:rFonts w:ascii="Century Gothic" w:hAnsi="Century Gothic"/>
          <w:b/>
          <w:bCs/>
          <w:sz w:val="26"/>
          <w:szCs w:val="26"/>
        </w:rPr>
        <w:t xml:space="preserve"> </w:t>
      </w:r>
    </w:p>
    <w:p w14:paraId="7F49D0E0" w14:textId="77777777" w:rsidR="00E17A3D" w:rsidRDefault="00810363">
      <w:pPr>
        <w:pStyle w:val="CuerpoAA"/>
        <w:tabs>
          <w:tab w:val="center" w:pos="4419"/>
          <w:tab w:val="left" w:pos="6495"/>
        </w:tabs>
        <w:spacing w:after="0" w:line="360" w:lineRule="auto"/>
        <w:rPr>
          <w:rStyle w:val="Ninguno"/>
          <w:rFonts w:ascii="Century Gothic" w:eastAsia="Century Gothic" w:hAnsi="Century Gothic" w:cs="Century Gothic"/>
          <w:b/>
          <w:bCs/>
          <w:sz w:val="26"/>
          <w:szCs w:val="26"/>
        </w:rPr>
      </w:pPr>
      <w:r>
        <w:rPr>
          <w:rStyle w:val="Ninguno"/>
          <w:rFonts w:ascii="Century Gothic" w:eastAsia="Century Gothic" w:hAnsi="Century Gothic" w:cs="Century Gothic"/>
          <w:b/>
          <w:bCs/>
          <w:sz w:val="26"/>
          <w:szCs w:val="26"/>
          <w:lang w:val="pt-PT"/>
        </w:rPr>
        <w:tab/>
        <w:t>EXPOSICI</w:t>
      </w:r>
      <w:r>
        <w:rPr>
          <w:rStyle w:val="Ninguno"/>
          <w:rFonts w:ascii="Century Gothic" w:hAnsi="Century Gothic"/>
          <w:b/>
          <w:bCs/>
          <w:sz w:val="26"/>
          <w:szCs w:val="26"/>
        </w:rPr>
        <w:t>ÓN DE MOTIVOS</w:t>
      </w:r>
      <w:r>
        <w:rPr>
          <w:rStyle w:val="Ninguno"/>
          <w:rFonts w:ascii="Century Gothic" w:hAnsi="Century Gothic"/>
          <w:b/>
          <w:bCs/>
          <w:sz w:val="26"/>
          <w:szCs w:val="26"/>
        </w:rPr>
        <w:tab/>
      </w:r>
    </w:p>
    <w:p w14:paraId="4DDF0EB2"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Es frecuente que en el día a día escuchemos que se emita alguna Alerta AMBER la cual se ha convertido en una herramienta fundamental para localizar menores de edad los cuales se encuentran desaparecidos. El significado de AMBER se deriva de </w:t>
      </w:r>
      <w:proofErr w:type="spellStart"/>
      <w:r>
        <w:rPr>
          <w:rStyle w:val="Ninguno"/>
          <w:rFonts w:ascii="Century Gothic" w:hAnsi="Century Gothic"/>
          <w:sz w:val="26"/>
          <w:szCs w:val="26"/>
        </w:rPr>
        <w:t>America´s</w:t>
      </w:r>
      <w:proofErr w:type="spellEnd"/>
      <w:r>
        <w:rPr>
          <w:rStyle w:val="Ninguno"/>
          <w:rFonts w:ascii="Century Gothic" w:hAnsi="Century Gothic"/>
          <w:sz w:val="26"/>
          <w:szCs w:val="26"/>
        </w:rPr>
        <w:t xml:space="preserve"> </w:t>
      </w:r>
      <w:proofErr w:type="spellStart"/>
      <w:r>
        <w:rPr>
          <w:rStyle w:val="Ninguno"/>
          <w:rFonts w:ascii="Century Gothic" w:hAnsi="Century Gothic"/>
          <w:sz w:val="26"/>
          <w:szCs w:val="26"/>
        </w:rPr>
        <w:t>Missing</w:t>
      </w:r>
      <w:proofErr w:type="spellEnd"/>
      <w:r>
        <w:rPr>
          <w:rStyle w:val="Ninguno"/>
          <w:rFonts w:ascii="Century Gothic" w:hAnsi="Century Gothic"/>
          <w:sz w:val="26"/>
          <w:szCs w:val="26"/>
        </w:rPr>
        <w:t xml:space="preserve"> Broadcast  </w:t>
      </w:r>
      <w:proofErr w:type="spellStart"/>
      <w:r>
        <w:rPr>
          <w:rStyle w:val="Ninguno"/>
          <w:rFonts w:ascii="Century Gothic" w:hAnsi="Century Gothic"/>
          <w:sz w:val="26"/>
          <w:szCs w:val="26"/>
        </w:rPr>
        <w:t>Emergency</w:t>
      </w:r>
      <w:proofErr w:type="spellEnd"/>
      <w:r>
        <w:rPr>
          <w:rStyle w:val="Ninguno"/>
          <w:rFonts w:ascii="Century Gothic" w:hAnsi="Century Gothic"/>
          <w:sz w:val="26"/>
          <w:szCs w:val="26"/>
        </w:rPr>
        <w:t xml:space="preserve"> Response. El acrónimo fue creado como un legado para Amber </w:t>
      </w:r>
      <w:proofErr w:type="spellStart"/>
      <w:r>
        <w:rPr>
          <w:rStyle w:val="Ninguno"/>
          <w:rFonts w:ascii="Century Gothic" w:hAnsi="Century Gothic"/>
          <w:sz w:val="26"/>
          <w:szCs w:val="26"/>
        </w:rPr>
        <w:t>Hagerman</w:t>
      </w:r>
      <w:proofErr w:type="spellEnd"/>
      <w:r>
        <w:rPr>
          <w:rStyle w:val="Ninguno"/>
          <w:rFonts w:ascii="Century Gothic" w:hAnsi="Century Gothic"/>
          <w:sz w:val="26"/>
          <w:szCs w:val="26"/>
        </w:rPr>
        <w:t xml:space="preserve">, de 9 años de edad  la cual fue </w:t>
      </w:r>
      <w:r>
        <w:rPr>
          <w:rStyle w:val="Ninguno"/>
          <w:rFonts w:ascii="Century Gothic" w:hAnsi="Century Gothic"/>
          <w:sz w:val="26"/>
          <w:szCs w:val="26"/>
        </w:rPr>
        <w:lastRenderedPageBreak/>
        <w:t xml:space="preserve">sustraída mientras montaba su bicicleta en Arlington, Texas.  Con el desarrollo de plataformas digitales y redes sociales, aumento la cobertura de las alertas AMBER por internet. </w:t>
      </w:r>
    </w:p>
    <w:p w14:paraId="01439D1B"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El programa alerta AMBER en México es una herramienta eficaz de difusión, que contribuye en la búsqueda, localización y recuperación de niñas, niños y adolescentes. </w:t>
      </w:r>
    </w:p>
    <w:p w14:paraId="19EED181"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Una alerta es el aviso que contiene toda la información disponible y suficiente de la niña, niño o adolescente reportado como desaparecido o no localizado que se encuentra en riesgo inminente de sufrir un daño grave en su integridad, se emite y se difunden con carácter de urgente a través de la infraestructura y red nacional de contactos del programa, para que este llegue a la población en general, lo que esto permite que con ello se incrementan las oportunidades de éxito en la localización de niñas, niños y adolescentes. </w:t>
      </w:r>
      <w:r>
        <w:rPr>
          <w:rStyle w:val="Ninguno"/>
          <w:rFonts w:ascii="Century Gothic" w:eastAsia="Century Gothic" w:hAnsi="Century Gothic" w:cs="Century Gothic"/>
          <w:sz w:val="26"/>
          <w:szCs w:val="26"/>
          <w:vertAlign w:val="superscript"/>
        </w:rPr>
        <w:footnoteReference w:id="2"/>
      </w:r>
    </w:p>
    <w:p w14:paraId="79E7FA48"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El 2 de mayo de 2012, el Gobierno Federal, implemento y puso en funcionamiento el Programa Nacional Alerta AMBER México, para la búsqueda y localización de niñas, niños y adolescentes que se encuentren en riesgo inminente de sufrir daño grave a su integridad personal, ya sea por motivo de ausencia, desaparición, extravió, la privación ilegal de la libertas, o cualquier otra circunstancia donde se presuma la comisión de algún ilícito, ocurrido en territorio nacional. </w:t>
      </w:r>
    </w:p>
    <w:p w14:paraId="53799F3E" w14:textId="77777777" w:rsidR="00E17A3D" w:rsidRDefault="00E17A3D">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7BDEF226" w14:textId="77777777" w:rsidR="00E17A3D" w:rsidRDefault="00E17A3D">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32FC99D6" w14:textId="77777777" w:rsidR="00E17A3D" w:rsidRDefault="00E17A3D">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1FA66E4D" w14:textId="77777777" w:rsidR="00E17A3D" w:rsidRDefault="00E17A3D">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4EE2455B"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Dentro del Protocolo Nacional nos habla de las consideraciones para la activación de esta Alerta AMBER</w:t>
      </w:r>
    </w:p>
    <w:p w14:paraId="598B958A" w14:textId="77777777" w:rsidR="00E17A3D" w:rsidRDefault="00E17A3D">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5AF4B509" w14:textId="77777777" w:rsidR="00E17A3D" w:rsidRDefault="00810363">
      <w:pPr>
        <w:pStyle w:val="CuerpoAA"/>
        <w:numPr>
          <w:ilvl w:val="0"/>
          <w:numId w:val="2"/>
        </w:numPr>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t>La activación de la alerta será de manera inmediata, sin dilación alguna con previa evaluación de las circunstancias del caso que se trate</w:t>
      </w:r>
    </w:p>
    <w:p w14:paraId="78D1F54E" w14:textId="77777777" w:rsidR="00E17A3D" w:rsidRDefault="00810363">
      <w:pPr>
        <w:pStyle w:val="CuerpoAA"/>
        <w:numPr>
          <w:ilvl w:val="0"/>
          <w:numId w:val="2"/>
        </w:numPr>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t xml:space="preserve">La activación de la alerta, será independiente de los procedimientos e investigaciones  que las autoridades involucradas realicen de acuerdo a sus facultades y atribuciones </w:t>
      </w:r>
    </w:p>
    <w:p w14:paraId="29BCA5C7" w14:textId="77777777" w:rsidR="00E17A3D" w:rsidRDefault="00810363">
      <w:pPr>
        <w:pStyle w:val="CuerpoAA"/>
        <w:numPr>
          <w:ilvl w:val="0"/>
          <w:numId w:val="2"/>
        </w:numPr>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t xml:space="preserve">Se priorizara la búsqueda en áreas donde razonablemente seas más probable encontrar al menor  sin descartar otras posibilidades. </w:t>
      </w:r>
      <w:r>
        <w:rPr>
          <w:rStyle w:val="Refdenotaalpie"/>
          <w:rFonts w:ascii="Century Gothic" w:eastAsia="Century Gothic" w:hAnsi="Century Gothic" w:cs="Century Gothic"/>
          <w:sz w:val="26"/>
          <w:szCs w:val="26"/>
        </w:rPr>
        <w:footnoteReference w:id="3"/>
      </w:r>
    </w:p>
    <w:p w14:paraId="45308142" w14:textId="77777777" w:rsidR="00E17A3D" w:rsidRDefault="00E17A3D">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70DBA321"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En el mismo protocolo nos habla acerca de las coordinaciones estatales de la Alerta AMBER México lo cual textualmente nos menciona que cada entidad federativa contara con una Coordinación Estatal de Alerta AMBER que estará a cargo de una persona que designe el titular de la Procuraduría General de Justicia de cada estado o Fiscalía respectiva y fungirá para efectos del Protocolo como enlace AMBER. </w:t>
      </w:r>
    </w:p>
    <w:p w14:paraId="350E273E" w14:textId="77777777" w:rsidR="0052315E" w:rsidRDefault="0052315E">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p>
    <w:p w14:paraId="7B0451E8" w14:textId="77777777" w:rsidR="00E17A3D" w:rsidRDefault="00810363">
      <w:pPr>
        <w:pStyle w:val="CuerpoAA"/>
        <w:tabs>
          <w:tab w:val="center" w:pos="4419"/>
          <w:tab w:val="left" w:pos="6495"/>
        </w:tabs>
        <w:spacing w:after="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 xml:space="preserve">Funciones </w:t>
      </w:r>
    </w:p>
    <w:p w14:paraId="6FC7300F" w14:textId="77777777" w:rsidR="00E17A3D" w:rsidRDefault="00810363">
      <w:pPr>
        <w:pStyle w:val="CuerpoAA"/>
        <w:numPr>
          <w:ilvl w:val="0"/>
          <w:numId w:val="2"/>
        </w:numPr>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t xml:space="preserve">Determinar los casos de la activación, actualización y desactivación de la alerta. </w:t>
      </w:r>
    </w:p>
    <w:p w14:paraId="478B962D" w14:textId="77777777" w:rsidR="00E17A3D" w:rsidRDefault="00810363">
      <w:pPr>
        <w:pStyle w:val="CuerpoAA"/>
        <w:numPr>
          <w:ilvl w:val="0"/>
          <w:numId w:val="2"/>
        </w:numPr>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lastRenderedPageBreak/>
        <w:t xml:space="preserve">Coordinar al interior de su territorio los diversos sectores participantes, así como conformar un Subcomité de Evaluación y Seguimiento y un Subcomité Consultivo y de Supervisión. De manera enunciativa pero no limitativa, los Protocolos Estatales deberán integrar a los homólogos de las dependencias de la Administración </w:t>
      </w:r>
      <w:r w:rsidR="009B6BE0">
        <w:rPr>
          <w:rStyle w:val="NingunoA"/>
          <w:rFonts w:ascii="Century Gothic" w:hAnsi="Century Gothic"/>
          <w:sz w:val="26"/>
          <w:szCs w:val="26"/>
        </w:rPr>
        <w:t>Pública</w:t>
      </w:r>
      <w:r>
        <w:rPr>
          <w:rStyle w:val="NingunoA"/>
          <w:rFonts w:ascii="Century Gothic" w:hAnsi="Century Gothic"/>
          <w:sz w:val="26"/>
          <w:szCs w:val="26"/>
        </w:rPr>
        <w:t xml:space="preserve"> Federal que integran el Programa Nacional. </w:t>
      </w:r>
    </w:p>
    <w:p w14:paraId="510D1763" w14:textId="77777777" w:rsidR="00E17A3D" w:rsidRDefault="00810363">
      <w:pPr>
        <w:pStyle w:val="CuerpoAA"/>
        <w:numPr>
          <w:ilvl w:val="0"/>
          <w:numId w:val="2"/>
        </w:numPr>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t xml:space="preserve">Remitir el reporte correspondiente de cada caso activado a la coordinación nacional. </w:t>
      </w:r>
    </w:p>
    <w:p w14:paraId="7E46FF09" w14:textId="77777777" w:rsidR="00E17A3D" w:rsidRDefault="00E17A3D">
      <w:pPr>
        <w:pStyle w:val="CuerpoAA"/>
        <w:tabs>
          <w:tab w:val="center" w:pos="4419"/>
          <w:tab w:val="left" w:pos="6495"/>
        </w:tabs>
        <w:spacing w:after="0" w:line="360" w:lineRule="auto"/>
        <w:jc w:val="both"/>
        <w:rPr>
          <w:rStyle w:val="NingunoA"/>
          <w:rFonts w:ascii="Century Gothic" w:eastAsia="Century Gothic" w:hAnsi="Century Gothic" w:cs="Century Gothic"/>
          <w:sz w:val="26"/>
          <w:szCs w:val="26"/>
        </w:rPr>
      </w:pPr>
    </w:p>
    <w:p w14:paraId="04B306D1" w14:textId="77777777" w:rsidR="00E17A3D" w:rsidRDefault="00810363">
      <w:pPr>
        <w:pStyle w:val="CuerpoAA"/>
        <w:tabs>
          <w:tab w:val="center" w:pos="4419"/>
          <w:tab w:val="left" w:pos="6495"/>
        </w:tabs>
        <w:spacing w:after="0" w:line="360" w:lineRule="auto"/>
        <w:jc w:val="both"/>
        <w:rPr>
          <w:rStyle w:val="NingunoA"/>
          <w:rFonts w:ascii="Century Gothic" w:eastAsia="Century Gothic" w:hAnsi="Century Gothic" w:cs="Century Gothic"/>
          <w:sz w:val="26"/>
          <w:szCs w:val="26"/>
        </w:rPr>
      </w:pPr>
      <w:r>
        <w:rPr>
          <w:rStyle w:val="NingunoA"/>
          <w:rFonts w:ascii="Century Gothic" w:hAnsi="Century Gothic"/>
          <w:sz w:val="26"/>
          <w:szCs w:val="26"/>
        </w:rPr>
        <w:t xml:space="preserve">Dentro del Protocolo Nacional nos establece las consideraciones generales respecto a la activación en las alertas en las entidades federativas y nos menciona textualmente: </w:t>
      </w:r>
    </w:p>
    <w:p w14:paraId="63192DDB" w14:textId="77777777" w:rsidR="00E17A3D" w:rsidRDefault="00810363">
      <w:pPr>
        <w:pStyle w:val="CuerpoAA"/>
        <w:numPr>
          <w:ilvl w:val="0"/>
          <w:numId w:val="4"/>
        </w:numPr>
        <w:spacing w:after="0" w:line="360" w:lineRule="auto"/>
        <w:jc w:val="both"/>
        <w:rPr>
          <w:rFonts w:ascii="Century Gothic" w:eastAsia="Century Gothic" w:hAnsi="Century Gothic" w:cs="Century Gothic"/>
          <w:i/>
          <w:iCs/>
          <w:sz w:val="26"/>
          <w:szCs w:val="26"/>
        </w:rPr>
      </w:pPr>
      <w:r>
        <w:rPr>
          <w:rFonts w:ascii="Century Gothic" w:hAnsi="Century Gothic"/>
          <w:i/>
          <w:iCs/>
          <w:sz w:val="26"/>
          <w:szCs w:val="26"/>
        </w:rPr>
        <w:t xml:space="preserve">Cuando se encuentre involucrada una sola entidad federativa, el Coordinador Estatal determinara conforme a su Protocolo, si activa o no la alerta, o bien si emplea otro tipo de mecanismo para proporcionar debida asistencia al caso. </w:t>
      </w:r>
    </w:p>
    <w:p w14:paraId="580111A9" w14:textId="77777777" w:rsidR="00E17A3D" w:rsidRDefault="00E17A3D">
      <w:pPr>
        <w:pStyle w:val="CuerpoAA"/>
        <w:tabs>
          <w:tab w:val="center" w:pos="4419"/>
          <w:tab w:val="left" w:pos="6495"/>
        </w:tabs>
        <w:spacing w:after="0" w:line="360" w:lineRule="auto"/>
        <w:jc w:val="both"/>
        <w:rPr>
          <w:rFonts w:ascii="Century Gothic" w:eastAsia="Century Gothic" w:hAnsi="Century Gothic" w:cs="Century Gothic"/>
          <w:i/>
          <w:iCs/>
          <w:sz w:val="26"/>
          <w:szCs w:val="26"/>
        </w:rPr>
      </w:pPr>
    </w:p>
    <w:p w14:paraId="3C0F57D6" w14:textId="77777777" w:rsidR="00E17A3D" w:rsidRDefault="00810363">
      <w:pPr>
        <w:pStyle w:val="CuerpoAA"/>
        <w:tabs>
          <w:tab w:val="center" w:pos="4419"/>
          <w:tab w:val="left" w:pos="6495"/>
        </w:tabs>
        <w:spacing w:after="0" w:line="360" w:lineRule="auto"/>
        <w:jc w:val="both"/>
        <w:rPr>
          <w:rFonts w:ascii="Century Gothic" w:eastAsia="Century Gothic" w:hAnsi="Century Gothic" w:cs="Century Gothic"/>
          <w:sz w:val="26"/>
          <w:szCs w:val="26"/>
        </w:rPr>
      </w:pPr>
      <w:r>
        <w:rPr>
          <w:rFonts w:ascii="Century Gothic" w:hAnsi="Century Gothic"/>
          <w:sz w:val="26"/>
          <w:szCs w:val="26"/>
        </w:rPr>
        <w:t>En el estado de Durango se cuenta con un comité</w:t>
      </w:r>
      <w:r w:rsidR="00FC1992">
        <w:rPr>
          <w:rFonts w:ascii="Century Gothic" w:hAnsi="Century Gothic"/>
          <w:sz w:val="26"/>
          <w:szCs w:val="26"/>
        </w:rPr>
        <w:t xml:space="preserve"> en </w:t>
      </w:r>
      <w:r>
        <w:rPr>
          <w:rFonts w:ascii="Century Gothic" w:hAnsi="Century Gothic"/>
          <w:sz w:val="26"/>
          <w:szCs w:val="26"/>
        </w:rPr>
        <w:t xml:space="preserve"> el cual </w:t>
      </w:r>
      <w:r w:rsidR="00FC1992">
        <w:rPr>
          <w:rFonts w:ascii="Century Gothic" w:hAnsi="Century Gothic"/>
          <w:sz w:val="26"/>
          <w:szCs w:val="26"/>
        </w:rPr>
        <w:t>nos menciona</w:t>
      </w:r>
      <w:r>
        <w:rPr>
          <w:rFonts w:ascii="Century Gothic" w:hAnsi="Century Gothic"/>
          <w:sz w:val="26"/>
          <w:szCs w:val="26"/>
        </w:rPr>
        <w:t xml:space="preserve"> la implementación y </w:t>
      </w:r>
      <w:r w:rsidR="00FC1992">
        <w:rPr>
          <w:rFonts w:ascii="Century Gothic" w:hAnsi="Century Gothic"/>
          <w:sz w:val="26"/>
          <w:szCs w:val="26"/>
        </w:rPr>
        <w:t>operación</w:t>
      </w:r>
      <w:r>
        <w:rPr>
          <w:rFonts w:ascii="Century Gothic" w:hAnsi="Century Gothic"/>
          <w:sz w:val="26"/>
          <w:szCs w:val="26"/>
        </w:rPr>
        <w:t xml:space="preserve"> del Programa Alerta AMBER el cual es el enc</w:t>
      </w:r>
      <w:r w:rsidR="00DA23B2">
        <w:rPr>
          <w:rFonts w:ascii="Century Gothic" w:hAnsi="Century Gothic"/>
          <w:sz w:val="26"/>
          <w:szCs w:val="26"/>
        </w:rPr>
        <w:t>argado de fungir como el órgano encargado</w:t>
      </w:r>
      <w:r>
        <w:rPr>
          <w:rFonts w:ascii="Century Gothic" w:hAnsi="Century Gothic"/>
          <w:sz w:val="26"/>
          <w:szCs w:val="26"/>
        </w:rPr>
        <w:t xml:space="preserve"> de la implementación y operación de dicho programa. </w:t>
      </w:r>
    </w:p>
    <w:p w14:paraId="33A9859C" w14:textId="77777777" w:rsidR="00E17A3D" w:rsidRDefault="00E17A3D">
      <w:pPr>
        <w:pStyle w:val="CuerpoAA"/>
        <w:tabs>
          <w:tab w:val="center" w:pos="4419"/>
          <w:tab w:val="left" w:pos="6495"/>
        </w:tabs>
        <w:spacing w:after="0" w:line="360" w:lineRule="auto"/>
        <w:jc w:val="both"/>
        <w:rPr>
          <w:rFonts w:ascii="Century Gothic" w:eastAsia="Century Gothic" w:hAnsi="Century Gothic" w:cs="Century Gothic"/>
          <w:sz w:val="26"/>
          <w:szCs w:val="26"/>
        </w:rPr>
      </w:pPr>
    </w:p>
    <w:p w14:paraId="0977757C" w14:textId="77777777" w:rsidR="00E17A3D" w:rsidRDefault="00810363">
      <w:pPr>
        <w:pStyle w:val="CuerpoAA"/>
        <w:tabs>
          <w:tab w:val="center" w:pos="4419"/>
          <w:tab w:val="left" w:pos="6495"/>
        </w:tabs>
        <w:spacing w:after="0" w:line="360" w:lineRule="auto"/>
        <w:jc w:val="both"/>
        <w:rPr>
          <w:rFonts w:ascii="Century Gothic" w:eastAsia="Century Gothic" w:hAnsi="Century Gothic" w:cs="Century Gothic"/>
          <w:sz w:val="26"/>
          <w:szCs w:val="26"/>
        </w:rPr>
      </w:pPr>
      <w:r>
        <w:rPr>
          <w:rFonts w:ascii="Century Gothic" w:hAnsi="Century Gothic"/>
          <w:sz w:val="26"/>
          <w:szCs w:val="26"/>
        </w:rPr>
        <w:t xml:space="preserve">Este comité se integra por el Fiscal General del Estado, el Secretario General de Gobierno, el Secretario de Seguridad Publica, el Secretario </w:t>
      </w:r>
      <w:r>
        <w:rPr>
          <w:rFonts w:ascii="Century Gothic" w:hAnsi="Century Gothic"/>
          <w:sz w:val="26"/>
          <w:szCs w:val="26"/>
        </w:rPr>
        <w:lastRenderedPageBreak/>
        <w:t xml:space="preserve">de Salud, el Secretario de Educación, el Director de comunicación social del Gobierno del Estado, entre otros </w:t>
      </w:r>
      <w:r w:rsidR="00C36B6E">
        <w:rPr>
          <w:rStyle w:val="Refdenotaalpie"/>
          <w:rFonts w:ascii="Century Gothic" w:hAnsi="Century Gothic"/>
          <w:sz w:val="26"/>
          <w:szCs w:val="26"/>
        </w:rPr>
        <w:footnoteReference w:id="4"/>
      </w:r>
    </w:p>
    <w:p w14:paraId="46E2D849" w14:textId="77777777" w:rsidR="00E17A3D" w:rsidRDefault="00E17A3D">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pPr>
    </w:p>
    <w:p w14:paraId="079031E1" w14:textId="77777777" w:rsidR="00E17A3D" w:rsidRDefault="0081036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rPr>
          <w:rStyle w:val="Ninguno"/>
          <w:rFonts w:ascii="Century Gothic" w:eastAsia="Century Gothic" w:hAnsi="Century Gothic" w:cs="Century Gothic"/>
          <w:color w:val="212121"/>
          <w:sz w:val="26"/>
          <w:szCs w:val="26"/>
          <w:u w:color="212121"/>
          <w:shd w:val="clear" w:color="auto" w:fill="FFFFFF"/>
        </w:rPr>
      </w:pPr>
      <w:r>
        <w:rPr>
          <w:rStyle w:val="Ninguno"/>
          <w:rFonts w:ascii="Century Gothic" w:hAnsi="Century Gothic"/>
          <w:color w:val="212121"/>
          <w:sz w:val="26"/>
          <w:szCs w:val="26"/>
          <w:u w:color="212121"/>
          <w:shd w:val="clear" w:color="auto" w:fill="FFFFFF"/>
        </w:rPr>
        <w:t xml:space="preserve"> </w:t>
      </w:r>
      <w:r>
        <w:rPr>
          <w:rStyle w:val="Ninguno"/>
          <w:rFonts w:ascii="Century Gothic" w:hAnsi="Century Gothic"/>
          <w:sz w:val="26"/>
          <w:szCs w:val="26"/>
          <w:shd w:val="clear" w:color="auto" w:fill="FFFFFF"/>
        </w:rPr>
        <w:t>Por lo anteriormente expuesto, con fundamento en lo dispuesto por los artículos 68 fracción I, de la Constitución</w:t>
      </w:r>
      <w:r>
        <w:rPr>
          <w:rStyle w:val="Ninguno"/>
          <w:rFonts w:ascii="Century Gothic" w:hAnsi="Century Gothic"/>
          <w:sz w:val="26"/>
          <w:szCs w:val="26"/>
          <w:shd w:val="clear" w:color="auto" w:fill="FFFFFF"/>
          <w:lang w:val="de-DE"/>
        </w:rPr>
        <w:t xml:space="preserve"> Pol</w:t>
      </w:r>
      <w:proofErr w:type="spellStart"/>
      <w:r>
        <w:rPr>
          <w:rStyle w:val="Ninguno"/>
          <w:rFonts w:ascii="Century Gothic" w:hAnsi="Century Gothic"/>
          <w:sz w:val="26"/>
          <w:szCs w:val="26"/>
          <w:shd w:val="clear" w:color="auto" w:fill="FFFFFF"/>
        </w:rPr>
        <w:t>ítica</w:t>
      </w:r>
      <w:proofErr w:type="spellEnd"/>
      <w:r>
        <w:rPr>
          <w:rStyle w:val="Ninguno"/>
          <w:rFonts w:ascii="Century Gothic" w:hAnsi="Century Gothic"/>
          <w:sz w:val="26"/>
          <w:szCs w:val="26"/>
          <w:shd w:val="clear" w:color="auto" w:fill="FFFFFF"/>
        </w:rPr>
        <w:t xml:space="preserve"> del Estado de Chihuahua, 167 fracción I, de la Ley Orgánica del Poder Legislativo; así como los numerales 75 y 76 del Reglamento Interior y de Prácticas Parlamentarias del Poder Legislativo, someto a consideración de esta Honorable Asamblea el siguiente proyecto de:</w:t>
      </w:r>
    </w:p>
    <w:p w14:paraId="41D6318C" w14:textId="77777777" w:rsidR="00E17A3D" w:rsidRDefault="00E17A3D">
      <w:pPr>
        <w:pStyle w:val="CuerpoAA"/>
        <w:spacing w:after="0" w:line="360" w:lineRule="auto"/>
        <w:jc w:val="center"/>
        <w:rPr>
          <w:rStyle w:val="Ninguno"/>
          <w:b/>
          <w:bCs/>
          <w:sz w:val="26"/>
          <w:szCs w:val="26"/>
        </w:rPr>
      </w:pPr>
    </w:p>
    <w:p w14:paraId="51379329" w14:textId="77777777" w:rsidR="00E17A3D" w:rsidRDefault="00810363">
      <w:pPr>
        <w:pStyle w:val="CuerpoAA"/>
        <w:spacing w:after="0" w:line="360" w:lineRule="auto"/>
        <w:jc w:val="center"/>
        <w:rPr>
          <w:rStyle w:val="Ninguno"/>
          <w:b/>
          <w:bCs/>
          <w:sz w:val="26"/>
          <w:szCs w:val="26"/>
        </w:rPr>
      </w:pPr>
      <w:r>
        <w:rPr>
          <w:rStyle w:val="Ninguno"/>
          <w:b/>
          <w:bCs/>
          <w:sz w:val="26"/>
          <w:szCs w:val="26"/>
        </w:rPr>
        <w:t>Proposición con carácter de:</w:t>
      </w:r>
    </w:p>
    <w:p w14:paraId="5C157AC9" w14:textId="77777777" w:rsidR="00E17A3D" w:rsidRDefault="00810363">
      <w:pPr>
        <w:pStyle w:val="CuerpoAA"/>
        <w:spacing w:after="0" w:line="360" w:lineRule="auto"/>
        <w:jc w:val="center"/>
        <w:rPr>
          <w:rStyle w:val="Ninguno"/>
          <w:b/>
          <w:bCs/>
          <w:sz w:val="26"/>
          <w:szCs w:val="26"/>
        </w:rPr>
      </w:pPr>
      <w:r>
        <w:rPr>
          <w:rStyle w:val="Ninguno"/>
          <w:b/>
          <w:bCs/>
          <w:sz w:val="26"/>
          <w:szCs w:val="26"/>
        </w:rPr>
        <w:t>PUNTO DE ACUERDO:</w:t>
      </w:r>
    </w:p>
    <w:p w14:paraId="3F146AA1" w14:textId="77777777" w:rsidR="00E17A3D" w:rsidRDefault="00810363">
      <w:pPr>
        <w:pStyle w:val="CuerpoB"/>
        <w:spacing w:after="16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rPr>
        <w:t>UNICO. –  La Sexagésima Séptima Legislatura del H. Congreso del Estado de Chihuahua, exhorta</w:t>
      </w:r>
      <w:r>
        <w:rPr>
          <w:rStyle w:val="Ninguno"/>
          <w:rFonts w:ascii="Century Gothic" w:hAnsi="Century Gothic"/>
          <w:sz w:val="26"/>
          <w:szCs w:val="26"/>
        </w:rPr>
        <w:t xml:space="preserve"> </w:t>
      </w:r>
      <w:r>
        <w:rPr>
          <w:rStyle w:val="Ninguno"/>
          <w:rFonts w:ascii="Century Gothic" w:hAnsi="Century Gothic"/>
          <w:b/>
          <w:bCs/>
          <w:sz w:val="26"/>
          <w:szCs w:val="26"/>
        </w:rPr>
        <w:t xml:space="preserve">al Gobierno del Estado de Chihuahua a la creación del Comité para la implementación y operación del Protocolo Estatal de Alerta AMBER para la </w:t>
      </w:r>
      <w:r w:rsidR="00DA23B2">
        <w:rPr>
          <w:rStyle w:val="Ninguno"/>
          <w:rFonts w:ascii="Century Gothic" w:hAnsi="Century Gothic"/>
          <w:b/>
          <w:bCs/>
          <w:sz w:val="26"/>
          <w:szCs w:val="26"/>
        </w:rPr>
        <w:t>búsqueda y localización</w:t>
      </w:r>
      <w:r>
        <w:rPr>
          <w:rStyle w:val="Ninguno"/>
          <w:rFonts w:ascii="Century Gothic" w:hAnsi="Century Gothic"/>
          <w:b/>
          <w:bCs/>
          <w:sz w:val="26"/>
          <w:szCs w:val="26"/>
        </w:rPr>
        <w:t xml:space="preserve"> de niños, niñas y adolescentes. </w:t>
      </w:r>
    </w:p>
    <w:p w14:paraId="0D4B74C3" w14:textId="77777777" w:rsidR="00E17A3D" w:rsidRDefault="00810363">
      <w:pPr>
        <w:pStyle w:val="CuerpoB"/>
        <w:spacing w:after="16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D A D O en el recinto oficia</w:t>
      </w:r>
      <w:r w:rsidR="00DA23B2">
        <w:rPr>
          <w:rStyle w:val="Ninguno"/>
          <w:rFonts w:ascii="Century Gothic" w:hAnsi="Century Gothic"/>
          <w:sz w:val="26"/>
          <w:szCs w:val="26"/>
        </w:rPr>
        <w:t>l del Poder Legislativo, a los 11</w:t>
      </w:r>
      <w:r>
        <w:rPr>
          <w:rStyle w:val="Ninguno"/>
          <w:rFonts w:ascii="Century Gothic" w:hAnsi="Century Gothic"/>
          <w:sz w:val="26"/>
          <w:szCs w:val="26"/>
        </w:rPr>
        <w:t xml:space="preserve"> días del mes de octubre de dos mil veintitrés.</w:t>
      </w:r>
    </w:p>
    <w:p w14:paraId="22CB2140" w14:textId="77777777" w:rsidR="00E17A3D" w:rsidRDefault="00810363">
      <w:pPr>
        <w:pStyle w:val="CuerpoAA"/>
        <w:spacing w:after="0" w:line="360" w:lineRule="auto"/>
        <w:jc w:val="center"/>
        <w:rPr>
          <w:rStyle w:val="Ninguno"/>
          <w:b/>
          <w:bCs/>
          <w:sz w:val="26"/>
          <w:szCs w:val="26"/>
        </w:rPr>
      </w:pPr>
      <w:r>
        <w:rPr>
          <w:rStyle w:val="Ninguno"/>
          <w:b/>
          <w:bCs/>
          <w:sz w:val="26"/>
          <w:szCs w:val="26"/>
        </w:rPr>
        <w:t>ATENTAMENTE</w:t>
      </w:r>
    </w:p>
    <w:p w14:paraId="65C767DE" w14:textId="77777777" w:rsidR="00E17A3D" w:rsidRDefault="00E17A3D">
      <w:pPr>
        <w:pStyle w:val="CuerpoAA"/>
        <w:spacing w:after="0" w:line="360" w:lineRule="auto"/>
        <w:jc w:val="center"/>
        <w:rPr>
          <w:rStyle w:val="Ninguno"/>
          <w:b/>
          <w:bCs/>
          <w:sz w:val="26"/>
          <w:szCs w:val="26"/>
        </w:rPr>
      </w:pPr>
    </w:p>
    <w:p w14:paraId="2DE8A4C3" w14:textId="77777777" w:rsidR="00E17A3D" w:rsidRDefault="00810363">
      <w:pPr>
        <w:pStyle w:val="CuerpoAA"/>
        <w:spacing w:after="0" w:line="360" w:lineRule="auto"/>
        <w:jc w:val="center"/>
        <w:rPr>
          <w:rStyle w:val="Ninguno"/>
          <w:b/>
          <w:bCs/>
          <w:sz w:val="26"/>
          <w:szCs w:val="26"/>
        </w:rPr>
      </w:pPr>
      <w:r>
        <w:rPr>
          <w:rStyle w:val="Ninguno"/>
          <w:b/>
          <w:bCs/>
          <w:sz w:val="26"/>
          <w:szCs w:val="26"/>
        </w:rPr>
        <w:t xml:space="preserve">GRUPO PARLAMENTARIO DE MORENA </w:t>
      </w:r>
    </w:p>
    <w:p w14:paraId="5105A302" w14:textId="77777777" w:rsidR="00E17A3D" w:rsidRDefault="00E17A3D">
      <w:pPr>
        <w:pStyle w:val="CuerpoAA"/>
        <w:spacing w:after="0" w:line="360" w:lineRule="auto"/>
        <w:jc w:val="center"/>
        <w:rPr>
          <w:rStyle w:val="Ninguno"/>
          <w:b/>
          <w:bCs/>
          <w:sz w:val="26"/>
          <w:szCs w:val="26"/>
        </w:rPr>
      </w:pPr>
    </w:p>
    <w:p w14:paraId="604B5938" w14:textId="77777777" w:rsidR="00E17A3D" w:rsidRDefault="00E17A3D">
      <w:pPr>
        <w:pStyle w:val="CuerpoAA"/>
        <w:spacing w:after="0" w:line="360" w:lineRule="auto"/>
        <w:jc w:val="center"/>
        <w:rPr>
          <w:rStyle w:val="Ninguno"/>
          <w:b/>
          <w:bCs/>
          <w:sz w:val="26"/>
          <w:szCs w:val="26"/>
        </w:rPr>
      </w:pPr>
    </w:p>
    <w:tbl>
      <w:tblPr>
        <w:tblStyle w:val="TableNormal"/>
        <w:tblW w:w="90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63"/>
        <w:gridCol w:w="4362"/>
      </w:tblGrid>
      <w:tr w:rsidR="00E17A3D" w14:paraId="60753A42" w14:textId="77777777">
        <w:trPr>
          <w:trHeight w:val="418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45AA9CD9"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3D501310"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43F82BAC"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22B03DAD"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5E3AE7AB"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14D67273"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DIP. MARIA ANTONIETA PEREZ REYES </w:t>
            </w:r>
          </w:p>
          <w:p w14:paraId="01F16BC4"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25BFE458"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4DA7C8E8"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38D33AF5"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1A899835"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2BA0DC82"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553823FE"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65C9AD06"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04FFB2A6"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CUAUHTÉMOC ESTRADA SOTELO</w:t>
            </w:r>
          </w:p>
        </w:tc>
      </w:tr>
      <w:tr w:rsidR="00E17A3D" w14:paraId="5768972A" w14:textId="77777777">
        <w:trPr>
          <w:trHeight w:val="514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0C48D969" w14:textId="77777777" w:rsidR="00E17A3D" w:rsidRDefault="00810363"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61C9460B"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LETICIA ORTEGA MAYNEZ</w:t>
            </w:r>
          </w:p>
          <w:p w14:paraId="0190F6FB"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315FACA3"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3E6EBE8F"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39915505"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1777738A" w14:textId="77777777" w:rsidR="00E17A3D" w:rsidRDefault="00810363"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5C983CFD"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BENJAMÍN CARRERA CHÁVEZ</w:t>
            </w:r>
          </w:p>
        </w:tc>
      </w:tr>
      <w:tr w:rsidR="00E17A3D" w14:paraId="333B2BD7" w14:textId="77777777">
        <w:trPr>
          <w:trHeight w:val="514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627C1D9E" w14:textId="77777777" w:rsidR="0052315E" w:rsidRDefault="0052315E"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4E891DCD" w14:textId="77777777" w:rsidR="0052315E" w:rsidRDefault="0052315E"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7D490E6C" w14:textId="77777777" w:rsidR="0052315E" w:rsidRDefault="0052315E"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76BB33FA" w14:textId="77777777" w:rsidR="00E17A3D" w:rsidRDefault="00810363"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06C5E9A5"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DAVID OSCAR CASTREJÓN RIVAS</w:t>
            </w:r>
          </w:p>
          <w:p w14:paraId="71A1211A"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4D7FCB32"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3AA3149B"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1D5A572D"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2DCF1D29"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7D9E7021"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424091B5" w14:textId="77777777" w:rsidR="00E17A3D" w:rsidRDefault="00E17A3D">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4222A000"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4560F245"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GUSTAVO DE LA ROSA HICKERSON</w:t>
            </w:r>
          </w:p>
        </w:tc>
      </w:tr>
      <w:tr w:rsidR="00E17A3D" w14:paraId="6F4B23BD" w14:textId="77777777">
        <w:trPr>
          <w:trHeight w:val="466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000DAABB" w14:textId="77777777" w:rsidR="00E17A3D" w:rsidRDefault="00810363"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275B7052"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ILSE AMÉRICA GARCÍA SOTO</w:t>
            </w:r>
          </w:p>
          <w:p w14:paraId="79F0CFF4"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2666CD23"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50D8772E"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1B60F3C8"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717511DA" w14:textId="77777777" w:rsidR="00E17A3D" w:rsidRDefault="00810363" w:rsidP="0052315E">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333ABC00"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MAGDALENA RENTERÍA PÉREZ</w:t>
            </w:r>
          </w:p>
        </w:tc>
      </w:tr>
      <w:tr w:rsidR="00E17A3D" w14:paraId="2D03369C" w14:textId="77777777">
        <w:trPr>
          <w:trHeight w:val="274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30A6FE66"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117A68E6"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2016EADE"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2A3CF9AD"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JAEL ARGÜELLES DÍAZ</w:t>
            </w:r>
          </w:p>
          <w:p w14:paraId="00433014"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2C9814A8"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615D3D02"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50FA64FF"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31015A5D" w14:textId="77777777" w:rsidR="0052315E" w:rsidRDefault="0052315E">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1BF45F74"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08FEAB6D"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OSCAR DANIEL AVITIA ARELLANES</w:t>
            </w:r>
          </w:p>
        </w:tc>
      </w:tr>
      <w:tr w:rsidR="00E17A3D" w14:paraId="7ECDC0A9" w14:textId="77777777">
        <w:trPr>
          <w:trHeight w:val="130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6F52D97B" w14:textId="77777777" w:rsidR="00E17A3D" w:rsidRDefault="00810363">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586E4994"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ROSANA DÍAZ REYES</w:t>
            </w:r>
          </w:p>
        </w:tc>
        <w:tc>
          <w:tcPr>
            <w:tcW w:w="4362" w:type="dxa"/>
            <w:tcBorders>
              <w:top w:val="nil"/>
              <w:left w:val="nil"/>
              <w:bottom w:val="nil"/>
              <w:right w:val="nil"/>
            </w:tcBorders>
            <w:shd w:val="clear" w:color="auto" w:fill="auto"/>
            <w:tcMar>
              <w:top w:w="80" w:type="dxa"/>
              <w:left w:w="80" w:type="dxa"/>
              <w:bottom w:w="80" w:type="dxa"/>
              <w:right w:w="80" w:type="dxa"/>
            </w:tcMar>
          </w:tcPr>
          <w:p w14:paraId="1A09A363" w14:textId="77777777" w:rsidR="00E17A3D" w:rsidRDefault="00810363">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r>
    </w:tbl>
    <w:p w14:paraId="36652056" w14:textId="77777777" w:rsidR="00E17A3D" w:rsidRDefault="00E17A3D">
      <w:pPr>
        <w:pStyle w:val="CuerpoAA"/>
        <w:widowControl w:val="0"/>
        <w:spacing w:after="0" w:line="240" w:lineRule="auto"/>
        <w:jc w:val="center"/>
      </w:pPr>
    </w:p>
    <w:sectPr w:rsidR="00E17A3D">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DE50" w14:textId="77777777" w:rsidR="00943F30" w:rsidRDefault="00943F30">
      <w:r>
        <w:separator/>
      </w:r>
    </w:p>
  </w:endnote>
  <w:endnote w:type="continuationSeparator" w:id="0">
    <w:p w14:paraId="3AE22475" w14:textId="77777777" w:rsidR="00943F30" w:rsidRDefault="0094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B9FF" w14:textId="77777777" w:rsidR="00E17A3D" w:rsidRDefault="00E17A3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5057" w14:textId="77777777" w:rsidR="00943F30" w:rsidRDefault="00943F30">
      <w:r>
        <w:separator/>
      </w:r>
    </w:p>
  </w:footnote>
  <w:footnote w:type="continuationSeparator" w:id="0">
    <w:p w14:paraId="4F84D1F3" w14:textId="77777777" w:rsidR="00943F30" w:rsidRDefault="00943F30">
      <w:r>
        <w:continuationSeparator/>
      </w:r>
    </w:p>
  </w:footnote>
  <w:footnote w:type="continuationNotice" w:id="1">
    <w:p w14:paraId="38DAC694" w14:textId="77777777" w:rsidR="00943F30" w:rsidRDefault="00943F30"/>
  </w:footnote>
  <w:footnote w:id="2">
    <w:p w14:paraId="4F1A7E3F" w14:textId="77777777" w:rsidR="00E17A3D" w:rsidRDefault="00810363">
      <w:pPr>
        <w:pStyle w:val="Textonotapie"/>
      </w:pPr>
      <w:r>
        <w:rPr>
          <w:rStyle w:val="Ninguno"/>
          <w:rFonts w:ascii="Century Gothic" w:eastAsia="Century Gothic" w:hAnsi="Century Gothic" w:cs="Century Gothic"/>
          <w:sz w:val="26"/>
          <w:szCs w:val="26"/>
          <w:vertAlign w:val="superscript"/>
        </w:rPr>
        <w:footnoteRef/>
      </w:r>
      <w:hyperlink r:id="rId1" w:history="1">
        <w:r>
          <w:rPr>
            <w:rStyle w:val="Hyperlink0"/>
            <w:rFonts w:eastAsia="Arial Unicode MS" w:cs="Arial Unicode MS"/>
          </w:rPr>
          <w:t>https://fgr.org.mx/swb/alertaamber/Que_es_AAMX#:~:text=Es%20una%20herramienta%20eficaz%20de,de%20ni%C3%B1as%2C%20ni%C3%B1os%20y%20adolescentes</w:t>
        </w:r>
      </w:hyperlink>
      <w:r>
        <w:rPr>
          <w:rFonts w:eastAsia="Arial Unicode MS" w:cs="Arial Unicode MS"/>
        </w:rPr>
        <w:t>.</w:t>
      </w:r>
    </w:p>
  </w:footnote>
  <w:footnote w:id="3">
    <w:p w14:paraId="466A1393" w14:textId="77777777" w:rsidR="00E17A3D" w:rsidRDefault="00810363">
      <w:pPr>
        <w:pStyle w:val="Textonotapie"/>
      </w:pPr>
      <w:r>
        <w:rPr>
          <w:rStyle w:val="Ninguno"/>
          <w:rFonts w:ascii="Century Gothic" w:eastAsia="Century Gothic" w:hAnsi="Century Gothic" w:cs="Century Gothic"/>
          <w:sz w:val="26"/>
          <w:szCs w:val="26"/>
          <w:vertAlign w:val="superscript"/>
        </w:rPr>
        <w:footnoteRef/>
      </w:r>
      <w:r>
        <w:rPr>
          <w:rFonts w:eastAsia="Arial Unicode MS" w:cs="Arial Unicode MS"/>
        </w:rPr>
        <w:t xml:space="preserve"> </w:t>
      </w:r>
      <w:hyperlink r:id="rId2" w:history="1">
        <w:r>
          <w:rPr>
            <w:rStyle w:val="Hyperlink0"/>
            <w:rFonts w:eastAsia="Arial Unicode MS" w:cs="Arial Unicode MS"/>
          </w:rPr>
          <w:t>https://www.fiscalia-aguascalientes.gob.mx/docs/AlertaAmber/Protocolo%20Nacional%20Alerta%20AMBER.pdf</w:t>
        </w:r>
      </w:hyperlink>
    </w:p>
  </w:footnote>
  <w:footnote w:id="4">
    <w:p w14:paraId="6E7DC7CA" w14:textId="77777777" w:rsidR="00C36B6E" w:rsidRDefault="00C36B6E">
      <w:pPr>
        <w:pStyle w:val="Textonotapie"/>
      </w:pPr>
      <w:r>
        <w:rPr>
          <w:rStyle w:val="Refdenotaalpie"/>
        </w:rPr>
        <w:footnoteRef/>
      </w:r>
      <w:r>
        <w:t xml:space="preserve"> </w:t>
      </w:r>
      <w:hyperlink r:id="rId3" w:history="1">
        <w:r w:rsidRPr="00DA0810">
          <w:rPr>
            <w:rStyle w:val="Hipervnculo"/>
          </w:rPr>
          <w:t>https://secretariageneral.durango.gob.mx/wp-content/uploads/sites/40/2019/04/BIS-70-31-08-14.pdf</w:t>
        </w:r>
      </w:hyperlink>
      <w:r>
        <w:t xml:space="preserve"> </w:t>
      </w:r>
    </w:p>
    <w:p w14:paraId="6A6684F8" w14:textId="77777777" w:rsidR="00C36B6E" w:rsidRPr="00C36B6E" w:rsidRDefault="00C36B6E">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240B" w14:textId="77777777" w:rsidR="00E17A3D" w:rsidRDefault="00810363">
    <w:pPr>
      <w:pStyle w:val="Encabezado"/>
      <w:tabs>
        <w:tab w:val="clear" w:pos="8838"/>
        <w:tab w:val="right" w:pos="8818"/>
      </w:tabs>
      <w:jc w:val="right"/>
      <w:rPr>
        <w:rStyle w:val="Ninguno"/>
        <w:rFonts w:ascii="Century Gothic" w:eastAsia="Century Gothic" w:hAnsi="Century Gothic" w:cs="Century Gothic"/>
        <w:i/>
        <w:iCs/>
        <w:sz w:val="24"/>
        <w:szCs w:val="24"/>
      </w:rPr>
    </w:pPr>
    <w:r>
      <w:rPr>
        <w:rStyle w:val="Ninguno"/>
        <w:rFonts w:ascii="Century Gothic" w:hAnsi="Century Gothic"/>
        <w:i/>
        <w:iCs/>
        <w:sz w:val="24"/>
        <w:szCs w:val="24"/>
      </w:rPr>
      <w:t>“2023, Centenario de la muerte del General Francisco Villa”</w:t>
    </w:r>
  </w:p>
  <w:p w14:paraId="00235FB0" w14:textId="77777777" w:rsidR="00E17A3D" w:rsidRDefault="00810363">
    <w:pPr>
      <w:pStyle w:val="Encabezado"/>
      <w:tabs>
        <w:tab w:val="clear" w:pos="8838"/>
        <w:tab w:val="right" w:pos="8818"/>
      </w:tabs>
      <w:jc w:val="right"/>
    </w:pPr>
    <w:r>
      <w:rPr>
        <w:rStyle w:val="Ninguno"/>
        <w:rFonts w:ascii="Century Gothic" w:hAnsi="Century Gothic"/>
        <w:i/>
        <w:iCs/>
        <w:sz w:val="24"/>
        <w:szCs w:val="24"/>
      </w:rPr>
      <w:t xml:space="preserve">“2023, Cien años del </w:t>
    </w:r>
    <w:proofErr w:type="spellStart"/>
    <w:r>
      <w:rPr>
        <w:rStyle w:val="Ninguno"/>
        <w:rFonts w:ascii="Century Gothic" w:hAnsi="Century Gothic"/>
        <w:i/>
        <w:iCs/>
        <w:sz w:val="24"/>
        <w:szCs w:val="24"/>
      </w:rPr>
      <w:t>Rotarismo</w:t>
    </w:r>
    <w:proofErr w:type="spellEnd"/>
    <w:r>
      <w:rPr>
        <w:rStyle w:val="Ninguno"/>
        <w:rFonts w:ascii="Century Gothic" w:hAnsi="Century Gothic"/>
        <w:i/>
        <w:iCs/>
        <w:sz w:val="24"/>
        <w:szCs w:val="24"/>
      </w:rPr>
      <w:t xml:space="preserve">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407"/>
    <w:multiLevelType w:val="hybridMultilevel"/>
    <w:tmpl w:val="658ACBDC"/>
    <w:styleLink w:val="Estiloimportado1"/>
    <w:lvl w:ilvl="0" w:tplc="39E43A52">
      <w:start w:val="1"/>
      <w:numFmt w:val="bullet"/>
      <w:lvlText w:val="·"/>
      <w:lvlJc w:val="left"/>
      <w:pPr>
        <w:tabs>
          <w:tab w:val="center" w:pos="4419"/>
          <w:tab w:val="left" w:pos="649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5E4F56">
      <w:start w:val="1"/>
      <w:numFmt w:val="bullet"/>
      <w:lvlText w:val="o"/>
      <w:lvlJc w:val="left"/>
      <w:pPr>
        <w:tabs>
          <w:tab w:val="center" w:pos="4419"/>
          <w:tab w:val="left" w:pos="649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A829B4">
      <w:start w:val="1"/>
      <w:numFmt w:val="bullet"/>
      <w:lvlText w:val="▪"/>
      <w:lvlJc w:val="left"/>
      <w:pPr>
        <w:tabs>
          <w:tab w:val="center" w:pos="4419"/>
          <w:tab w:val="left" w:pos="649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662F2">
      <w:start w:val="1"/>
      <w:numFmt w:val="bullet"/>
      <w:lvlText w:val="·"/>
      <w:lvlJc w:val="left"/>
      <w:pPr>
        <w:tabs>
          <w:tab w:val="center" w:pos="4419"/>
          <w:tab w:val="left" w:pos="649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08796">
      <w:start w:val="1"/>
      <w:numFmt w:val="bullet"/>
      <w:lvlText w:val="o"/>
      <w:lvlJc w:val="left"/>
      <w:pPr>
        <w:tabs>
          <w:tab w:val="center" w:pos="4419"/>
          <w:tab w:val="left" w:pos="649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F00580">
      <w:start w:val="1"/>
      <w:numFmt w:val="bullet"/>
      <w:lvlText w:val="▪"/>
      <w:lvlJc w:val="left"/>
      <w:pPr>
        <w:tabs>
          <w:tab w:val="center" w:pos="4419"/>
          <w:tab w:val="left" w:pos="649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EC4792">
      <w:start w:val="1"/>
      <w:numFmt w:val="bullet"/>
      <w:lvlText w:val="·"/>
      <w:lvlJc w:val="left"/>
      <w:pPr>
        <w:tabs>
          <w:tab w:val="center" w:pos="4419"/>
          <w:tab w:val="left" w:pos="649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FE735E">
      <w:start w:val="1"/>
      <w:numFmt w:val="bullet"/>
      <w:lvlText w:val="o"/>
      <w:lvlJc w:val="left"/>
      <w:pPr>
        <w:tabs>
          <w:tab w:val="center" w:pos="4419"/>
          <w:tab w:val="left" w:pos="649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B4EF18">
      <w:start w:val="1"/>
      <w:numFmt w:val="bullet"/>
      <w:lvlText w:val="▪"/>
      <w:lvlJc w:val="left"/>
      <w:pPr>
        <w:tabs>
          <w:tab w:val="center" w:pos="4419"/>
          <w:tab w:val="left" w:pos="649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5B1F2C"/>
    <w:multiLevelType w:val="hybridMultilevel"/>
    <w:tmpl w:val="47088B52"/>
    <w:numStyleLink w:val="Vietas"/>
  </w:abstractNum>
  <w:abstractNum w:abstractNumId="2" w15:restartNumberingAfterBreak="0">
    <w:nsid w:val="65D90093"/>
    <w:multiLevelType w:val="hybridMultilevel"/>
    <w:tmpl w:val="47088B52"/>
    <w:styleLink w:val="Vietas"/>
    <w:lvl w:ilvl="0" w:tplc="4FAAB88C">
      <w:start w:val="1"/>
      <w:numFmt w:val="bullet"/>
      <w:lvlText w:val="-"/>
      <w:lvlJc w:val="left"/>
      <w:pPr>
        <w:tabs>
          <w:tab w:val="center" w:pos="4419"/>
          <w:tab w:val="left" w:pos="6495"/>
        </w:tabs>
        <w:ind w:left="2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06878B2">
      <w:start w:val="1"/>
      <w:numFmt w:val="bullet"/>
      <w:lvlText w:val="-"/>
      <w:lvlJc w:val="left"/>
      <w:pPr>
        <w:tabs>
          <w:tab w:val="center" w:pos="4419"/>
          <w:tab w:val="left" w:pos="6495"/>
        </w:tabs>
        <w:ind w:left="8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2" w:tplc="E3467D34">
      <w:start w:val="1"/>
      <w:numFmt w:val="bullet"/>
      <w:lvlText w:val="-"/>
      <w:lvlJc w:val="left"/>
      <w:pPr>
        <w:tabs>
          <w:tab w:val="center" w:pos="4419"/>
          <w:tab w:val="left" w:pos="6495"/>
        </w:tabs>
        <w:ind w:left="14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3" w:tplc="D29A12CA">
      <w:start w:val="1"/>
      <w:numFmt w:val="bullet"/>
      <w:lvlText w:val="-"/>
      <w:lvlJc w:val="left"/>
      <w:pPr>
        <w:tabs>
          <w:tab w:val="center" w:pos="4419"/>
          <w:tab w:val="left" w:pos="6495"/>
        </w:tabs>
        <w:ind w:left="20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4" w:tplc="39FE0D60">
      <w:start w:val="1"/>
      <w:numFmt w:val="bullet"/>
      <w:lvlText w:val="-"/>
      <w:lvlJc w:val="left"/>
      <w:pPr>
        <w:tabs>
          <w:tab w:val="center" w:pos="4419"/>
          <w:tab w:val="left" w:pos="6495"/>
        </w:tabs>
        <w:ind w:left="26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5" w:tplc="7BA87A3C">
      <w:start w:val="1"/>
      <w:numFmt w:val="bullet"/>
      <w:lvlText w:val="-"/>
      <w:lvlJc w:val="left"/>
      <w:pPr>
        <w:tabs>
          <w:tab w:val="center" w:pos="4419"/>
          <w:tab w:val="left" w:pos="6495"/>
        </w:tabs>
        <w:ind w:left="32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6" w:tplc="B2DACBA8">
      <w:start w:val="1"/>
      <w:numFmt w:val="bullet"/>
      <w:lvlText w:val="-"/>
      <w:lvlJc w:val="left"/>
      <w:pPr>
        <w:tabs>
          <w:tab w:val="center" w:pos="4419"/>
          <w:tab w:val="left" w:pos="6495"/>
        </w:tabs>
        <w:ind w:left="38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7" w:tplc="71C29E3E">
      <w:start w:val="1"/>
      <w:numFmt w:val="bullet"/>
      <w:lvlText w:val="-"/>
      <w:lvlJc w:val="left"/>
      <w:pPr>
        <w:tabs>
          <w:tab w:val="center" w:pos="4419"/>
          <w:tab w:val="left" w:pos="6495"/>
        </w:tabs>
        <w:ind w:left="4405" w:hanging="205"/>
      </w:pPr>
      <w:rPr>
        <w:rFonts w:hAnsi="Arial Unicode MS"/>
        <w:i/>
        <w:iCs/>
        <w:caps w:val="0"/>
        <w:smallCaps w:val="0"/>
        <w:strike w:val="0"/>
        <w:dstrike w:val="0"/>
        <w:outline w:val="0"/>
        <w:emboss w:val="0"/>
        <w:imprint w:val="0"/>
        <w:spacing w:val="0"/>
        <w:w w:val="100"/>
        <w:kern w:val="0"/>
        <w:position w:val="0"/>
        <w:highlight w:val="none"/>
        <w:vertAlign w:val="baseline"/>
      </w:rPr>
    </w:lvl>
    <w:lvl w:ilvl="8" w:tplc="1742A7D0">
      <w:start w:val="1"/>
      <w:numFmt w:val="bullet"/>
      <w:lvlText w:val="-"/>
      <w:lvlJc w:val="left"/>
      <w:pPr>
        <w:tabs>
          <w:tab w:val="center" w:pos="4419"/>
          <w:tab w:val="left" w:pos="6495"/>
        </w:tabs>
        <w:ind w:left="5005" w:hanging="20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A46631"/>
    <w:multiLevelType w:val="hybridMultilevel"/>
    <w:tmpl w:val="658ACBDC"/>
    <w:numStyleLink w:val="Estiloimportado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D"/>
    <w:rsid w:val="00015197"/>
    <w:rsid w:val="0052315E"/>
    <w:rsid w:val="00810363"/>
    <w:rsid w:val="00943F30"/>
    <w:rsid w:val="009B6BE0"/>
    <w:rsid w:val="00C03614"/>
    <w:rsid w:val="00C36B6E"/>
    <w:rsid w:val="00DA23B2"/>
    <w:rsid w:val="00E17A3D"/>
    <w:rsid w:val="00EE69FC"/>
    <w:rsid w:val="00F04428"/>
    <w:rsid w:val="00FC1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AF40"/>
  <w15:docId w15:val="{1F51E148-608E-4172-A7DE-FC64F271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pPr>
      <w:keepNext/>
      <w:keepLines/>
      <w:spacing w:before="240"/>
      <w:outlineLvl w:val="0"/>
    </w:pPr>
    <w:rPr>
      <w:rFonts w:ascii="Calibri Light" w:eastAsia="Calibri Light" w:hAnsi="Calibri Light" w:cs="Calibri Light"/>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AA">
    <w:name w:val="Cuerpo A A"/>
    <w:pPr>
      <w:spacing w:after="160" w:line="259" w:lineRule="auto"/>
    </w:pPr>
    <w:rPr>
      <w:rFonts w:ascii="Calibri" w:eastAsia="Calibri" w:hAnsi="Calibri" w:cs="Calibri"/>
      <w:color w:val="000000"/>
      <w:sz w:val="22"/>
      <w:szCs w:val="22"/>
      <w:u w:color="000000"/>
      <w:lang w:val="es-ES_tradnl"/>
    </w:rPr>
  </w:style>
  <w:style w:type="paragraph" w:styleId="Textonotapie">
    <w:name w:val="footnote text"/>
    <w:rPr>
      <w:rFonts w:eastAsia="Times New Roman"/>
      <w:color w:val="000000"/>
      <w:u w:color="000000"/>
      <w:lang w:val="en-US"/>
    </w:rPr>
  </w:style>
  <w:style w:type="character" w:customStyle="1" w:styleId="Hyperlink0">
    <w:name w:val="Hyperlink.0"/>
    <w:basedOn w:val="Hipervnculo"/>
    <w:rPr>
      <w:color w:val="0000FF"/>
      <w:u w:val="single" w:color="0000FF"/>
    </w:rPr>
  </w:style>
  <w:style w:type="numbering" w:customStyle="1" w:styleId="Estiloimportado1">
    <w:name w:val="Estilo importado 1"/>
    <w:pPr>
      <w:numPr>
        <w:numId w:val="1"/>
      </w:numPr>
    </w:pPr>
  </w:style>
  <w:style w:type="character" w:customStyle="1" w:styleId="NingunoA">
    <w:name w:val="Ninguno A"/>
    <w:basedOn w:val="Ninguno"/>
    <w:rPr>
      <w:lang w:val="es-ES_tradnl"/>
    </w:rPr>
  </w:style>
  <w:style w:type="character" w:styleId="Refdenotaalpie">
    <w:name w:val="footnote reference"/>
    <w:basedOn w:val="Ninguno"/>
    <w:rPr>
      <w:vertAlign w:val="superscript"/>
      <w:lang w:val="es-ES_tradnl"/>
    </w:rPr>
  </w:style>
  <w:style w:type="numbering" w:customStyle="1" w:styleId="Vietas">
    <w:name w:val="Viñetas"/>
    <w:pPr>
      <w:numPr>
        <w:numId w:val="3"/>
      </w:numPr>
    </w:pPr>
  </w:style>
  <w:style w:type="paragraph" w:customStyle="1" w:styleId="PoromisinA">
    <w:name w:val="Por omisión A"/>
    <w:rPr>
      <w:rFonts w:ascii="Helvetica Neue" w:eastAsia="Helvetica Neue" w:hAnsi="Helvetica Neue" w:cs="Helvetica Neue"/>
      <w:color w:val="000000"/>
      <w:sz w:val="22"/>
      <w:szCs w:val="22"/>
      <w:u w:color="000000"/>
      <w:lang w:val="es-ES_tradnl"/>
    </w:rPr>
  </w:style>
  <w:style w:type="paragraph" w:customStyle="1" w:styleId="CuerpoB">
    <w:name w:val="Cuerpo B"/>
    <w:rPr>
      <w:rFonts w:cs="Arial Unicode MS"/>
      <w:color w:val="000000"/>
      <w:sz w:val="24"/>
      <w:szCs w:val="24"/>
      <w:u w:color="000000"/>
      <w:lang w:val="es-ES_tradnl"/>
    </w:rPr>
  </w:style>
  <w:style w:type="paragraph" w:customStyle="1" w:styleId="CuerpoC">
    <w:name w:val="Cuerpo C"/>
    <w:rPr>
      <w:rFonts w:eastAsia="Times New Roman"/>
      <w:color w:val="000000"/>
      <w:sz w:val="24"/>
      <w:szCs w:val="24"/>
      <w:u w:color="000000"/>
      <w:lang w:val="es-ES_tradnl"/>
    </w:rPr>
  </w:style>
  <w:style w:type="paragraph" w:styleId="Textodeglobo">
    <w:name w:val="Balloon Text"/>
    <w:basedOn w:val="Normal"/>
    <w:link w:val="TextodegloboCar"/>
    <w:uiPriority w:val="99"/>
    <w:semiHidden/>
    <w:unhideWhenUsed/>
    <w:rsid w:val="00C36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B6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ecretariageneral.durango.gob.mx/wp-content/uploads/sites/40/2019/04/BIS-70-31-08-14.pdf" TargetMode="External"/><Relationship Id="rId2" Type="http://schemas.openxmlformats.org/officeDocument/2006/relationships/hyperlink" Target="https://www.fiscalia-aguascalientes.gob.mx/docs/AlertaAmber/Protocolo%2520Nacional%2520Alerta%2520AMBER.pdf" TargetMode="External"/><Relationship Id="rId1" Type="http://schemas.openxmlformats.org/officeDocument/2006/relationships/hyperlink" Target="https://fgr.org.mx/swb/alertaamber/Que_es_AAMX%23:~:text=Es%2520una%2520herramienta%2520eficaz%2520de,de%2520ni%25C3%25B1as%252C%2520ni%25C3%25B1os%2520y%2520adolescentes"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D339-3E89-4700-99E0-08EBDDDD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Cortes Duran</dc:creator>
  <cp:lastModifiedBy>Brenda Sarahi Gonzalez Dominguez</cp:lastModifiedBy>
  <cp:revision>2</cp:revision>
  <cp:lastPrinted>2023-10-05T15:54:00Z</cp:lastPrinted>
  <dcterms:created xsi:type="dcterms:W3CDTF">2023-10-06T19:21:00Z</dcterms:created>
  <dcterms:modified xsi:type="dcterms:W3CDTF">2023-10-06T19:21:00Z</dcterms:modified>
</cp:coreProperties>
</file>