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5E11" w14:textId="77777777" w:rsidR="00301F34" w:rsidRDefault="00301F34" w:rsidP="00301F34">
      <w:pPr>
        <w:spacing w:after="0"/>
        <w:ind w:left="-567"/>
        <w:rPr>
          <w:rFonts w:ascii="Arial" w:hAnsi="Arial" w:cs="Arial"/>
        </w:rPr>
      </w:pPr>
    </w:p>
    <w:p w14:paraId="34638D84" w14:textId="77777777" w:rsidR="004F4047" w:rsidRDefault="004F4047" w:rsidP="00301F34">
      <w:pPr>
        <w:spacing w:after="0"/>
        <w:ind w:left="-567"/>
        <w:rPr>
          <w:rFonts w:ascii="Arial" w:hAnsi="Arial" w:cs="Arial"/>
          <w:b/>
          <w:sz w:val="24"/>
          <w:szCs w:val="24"/>
        </w:rPr>
      </w:pPr>
    </w:p>
    <w:p w14:paraId="6A38C489" w14:textId="77777777" w:rsidR="00301F34" w:rsidRDefault="004F4047" w:rsidP="00301F34">
      <w:pPr>
        <w:spacing w:after="0"/>
        <w:ind w:left="-567"/>
        <w:rPr>
          <w:rFonts w:ascii="Arial" w:hAnsi="Arial" w:cs="Arial"/>
          <w:b/>
          <w:sz w:val="24"/>
          <w:szCs w:val="24"/>
        </w:rPr>
      </w:pPr>
      <w:r>
        <w:rPr>
          <w:rFonts w:ascii="Arial" w:hAnsi="Arial" w:cs="Arial"/>
          <w:b/>
          <w:sz w:val="24"/>
          <w:szCs w:val="24"/>
        </w:rPr>
        <w:t>H. CONGRESO DEL ESTADO DE CHIHUAHUA</w:t>
      </w:r>
    </w:p>
    <w:p w14:paraId="1ED8B5D4" w14:textId="77777777" w:rsidR="004F4047" w:rsidRPr="00940FFF" w:rsidRDefault="004F4047" w:rsidP="00301F34">
      <w:pPr>
        <w:spacing w:after="0"/>
        <w:ind w:left="-567"/>
        <w:rPr>
          <w:rFonts w:ascii="Arial" w:hAnsi="Arial" w:cs="Arial"/>
          <w:b/>
          <w:sz w:val="24"/>
          <w:szCs w:val="24"/>
        </w:rPr>
      </w:pPr>
      <w:r>
        <w:rPr>
          <w:rFonts w:ascii="Arial" w:hAnsi="Arial" w:cs="Arial"/>
          <w:b/>
          <w:sz w:val="24"/>
          <w:szCs w:val="24"/>
        </w:rPr>
        <w:t xml:space="preserve">P R E S E N T E.- </w:t>
      </w:r>
    </w:p>
    <w:p w14:paraId="7AC45BBB" w14:textId="77777777" w:rsidR="00301F34" w:rsidRPr="00F561C0" w:rsidRDefault="00301F34" w:rsidP="00301F34">
      <w:pPr>
        <w:spacing w:after="0"/>
        <w:ind w:left="-567"/>
        <w:rPr>
          <w:rFonts w:ascii="Arial" w:hAnsi="Arial" w:cs="Arial"/>
          <w:b/>
          <w:sz w:val="24"/>
          <w:szCs w:val="24"/>
        </w:rPr>
        <w:sectPr w:rsidR="00301F34" w:rsidRPr="00F561C0" w:rsidSect="0083469B">
          <w:headerReference w:type="default" r:id="rId8"/>
          <w:type w:val="continuous"/>
          <w:pgSz w:w="12240" w:h="15840"/>
          <w:pgMar w:top="1701" w:right="1701" w:bottom="1417" w:left="1701" w:header="708" w:footer="708" w:gutter="0"/>
          <w:cols w:space="708"/>
          <w:docGrid w:linePitch="360"/>
        </w:sectPr>
      </w:pPr>
    </w:p>
    <w:p w14:paraId="5A000D58" w14:textId="77777777" w:rsidR="00301F34" w:rsidRPr="00F561C0" w:rsidRDefault="00301F34" w:rsidP="00301F34">
      <w:pPr>
        <w:spacing w:after="0"/>
        <w:ind w:left="-567"/>
        <w:jc w:val="right"/>
        <w:rPr>
          <w:rFonts w:ascii="Arial" w:hAnsi="Arial" w:cs="Arial"/>
          <w:sz w:val="24"/>
          <w:szCs w:val="24"/>
        </w:rPr>
      </w:pPr>
    </w:p>
    <w:p w14:paraId="4F0CBEE9" w14:textId="77777777" w:rsidR="00301F34" w:rsidRPr="00F561C0" w:rsidRDefault="00301F34" w:rsidP="00301F34">
      <w:pPr>
        <w:spacing w:after="0"/>
        <w:ind w:left="-567"/>
        <w:jc w:val="right"/>
        <w:rPr>
          <w:rFonts w:ascii="Arial" w:hAnsi="Arial" w:cs="Arial"/>
          <w:sz w:val="24"/>
          <w:szCs w:val="24"/>
        </w:rPr>
      </w:pPr>
    </w:p>
    <w:p w14:paraId="3704D799" w14:textId="77777777" w:rsidR="00424327" w:rsidRDefault="004F4047" w:rsidP="00301F34">
      <w:pPr>
        <w:spacing w:after="0" w:line="480" w:lineRule="auto"/>
        <w:ind w:left="-567"/>
        <w:jc w:val="both"/>
        <w:rPr>
          <w:rFonts w:ascii="Arial" w:hAnsi="Arial" w:cs="Arial"/>
          <w:sz w:val="24"/>
          <w:szCs w:val="24"/>
        </w:rPr>
      </w:pPr>
      <w:r>
        <w:rPr>
          <w:rFonts w:ascii="Arial" w:hAnsi="Arial" w:cs="Arial"/>
          <w:sz w:val="24"/>
          <w:szCs w:val="24"/>
        </w:rPr>
        <w:t xml:space="preserve">Quien suscribe, Diputado Roberto Marcelino Carreón </w:t>
      </w:r>
      <w:r w:rsidR="00573D3F">
        <w:rPr>
          <w:rFonts w:ascii="Arial" w:hAnsi="Arial" w:cs="Arial"/>
          <w:sz w:val="24"/>
          <w:szCs w:val="24"/>
        </w:rPr>
        <w:t>H</w:t>
      </w:r>
      <w:r>
        <w:rPr>
          <w:rFonts w:ascii="Arial" w:hAnsi="Arial" w:cs="Arial"/>
          <w:sz w:val="24"/>
          <w:szCs w:val="24"/>
        </w:rPr>
        <w:t xml:space="preserve">uitrón, integrante del Grupo Parlamentario del Partido Acción Nacional y en su representación, en la </w:t>
      </w:r>
      <w:r w:rsidR="00573D3F">
        <w:rPr>
          <w:rFonts w:ascii="Arial" w:hAnsi="Arial" w:cs="Arial"/>
          <w:sz w:val="24"/>
          <w:szCs w:val="24"/>
        </w:rPr>
        <w:t>Sexagésima</w:t>
      </w:r>
      <w:r>
        <w:rPr>
          <w:rFonts w:ascii="Arial" w:hAnsi="Arial" w:cs="Arial"/>
          <w:sz w:val="24"/>
          <w:szCs w:val="24"/>
        </w:rPr>
        <w:t xml:space="preserve"> Séptima Legislatura del Estado, con fundamento en los artículos 64 fracciones I y II, y 68 </w:t>
      </w:r>
      <w:r w:rsidR="00573D3F">
        <w:rPr>
          <w:rFonts w:ascii="Arial" w:hAnsi="Arial" w:cs="Arial"/>
          <w:sz w:val="24"/>
          <w:szCs w:val="24"/>
        </w:rPr>
        <w:t>fracción</w:t>
      </w:r>
      <w:r>
        <w:rPr>
          <w:rFonts w:ascii="Arial" w:hAnsi="Arial" w:cs="Arial"/>
          <w:sz w:val="24"/>
          <w:szCs w:val="24"/>
        </w:rPr>
        <w:t xml:space="preserve"> I de la </w:t>
      </w:r>
      <w:r w:rsidR="00573D3F">
        <w:rPr>
          <w:rFonts w:ascii="Arial" w:hAnsi="Arial" w:cs="Arial"/>
          <w:sz w:val="24"/>
          <w:szCs w:val="24"/>
        </w:rPr>
        <w:t>Constitución</w:t>
      </w:r>
      <w:r>
        <w:rPr>
          <w:rFonts w:ascii="Arial" w:hAnsi="Arial" w:cs="Arial"/>
          <w:sz w:val="24"/>
          <w:szCs w:val="24"/>
        </w:rPr>
        <w:t xml:space="preserve"> </w:t>
      </w:r>
      <w:r w:rsidR="00573D3F">
        <w:rPr>
          <w:rFonts w:ascii="Arial" w:hAnsi="Arial" w:cs="Arial"/>
          <w:sz w:val="24"/>
          <w:szCs w:val="24"/>
        </w:rPr>
        <w:t>Política</w:t>
      </w:r>
      <w:r>
        <w:rPr>
          <w:rFonts w:ascii="Arial" w:hAnsi="Arial" w:cs="Arial"/>
          <w:sz w:val="24"/>
          <w:szCs w:val="24"/>
        </w:rPr>
        <w:t xml:space="preserve"> del Estado, </w:t>
      </w:r>
      <w:r w:rsidR="00573D3F">
        <w:rPr>
          <w:rFonts w:ascii="Arial" w:hAnsi="Arial" w:cs="Arial"/>
          <w:sz w:val="24"/>
          <w:szCs w:val="24"/>
        </w:rPr>
        <w:t>así</w:t>
      </w:r>
      <w:r>
        <w:rPr>
          <w:rFonts w:ascii="Arial" w:hAnsi="Arial" w:cs="Arial"/>
          <w:sz w:val="24"/>
          <w:szCs w:val="24"/>
        </w:rPr>
        <w:t xml:space="preserve"> como la fracción I del </w:t>
      </w:r>
      <w:r w:rsidR="00573D3F">
        <w:rPr>
          <w:rFonts w:ascii="Arial" w:hAnsi="Arial" w:cs="Arial"/>
          <w:sz w:val="24"/>
          <w:szCs w:val="24"/>
        </w:rPr>
        <w:t>artículo</w:t>
      </w:r>
      <w:r>
        <w:rPr>
          <w:rFonts w:ascii="Arial" w:hAnsi="Arial" w:cs="Arial"/>
          <w:sz w:val="24"/>
          <w:szCs w:val="24"/>
        </w:rPr>
        <w:t xml:space="preserve"> 167,168 y 170 de la Ley Orgánica del Poder Legislativo del Estado de Chihuahua, comparezco ante esta Honorable Representación Popular para someter a su consideración la presente </w:t>
      </w:r>
      <w:r>
        <w:rPr>
          <w:rFonts w:ascii="Arial" w:hAnsi="Arial" w:cs="Arial"/>
          <w:b/>
          <w:sz w:val="24"/>
          <w:szCs w:val="24"/>
        </w:rPr>
        <w:t xml:space="preserve">Iniciativa con carácter de Decreto para reformar la Ley </w:t>
      </w:r>
      <w:r w:rsidR="00573D3F">
        <w:rPr>
          <w:rFonts w:ascii="Arial" w:hAnsi="Arial" w:cs="Arial"/>
          <w:b/>
          <w:sz w:val="24"/>
          <w:szCs w:val="24"/>
        </w:rPr>
        <w:t>Orgánica</w:t>
      </w:r>
      <w:r>
        <w:rPr>
          <w:rFonts w:ascii="Arial" w:hAnsi="Arial" w:cs="Arial"/>
          <w:b/>
          <w:sz w:val="24"/>
          <w:szCs w:val="24"/>
        </w:rPr>
        <w:t xml:space="preserve"> del Tribunal Es</w:t>
      </w:r>
      <w:r w:rsidR="00573D3F">
        <w:rPr>
          <w:rFonts w:ascii="Arial" w:hAnsi="Arial" w:cs="Arial"/>
          <w:b/>
          <w:sz w:val="24"/>
          <w:szCs w:val="24"/>
        </w:rPr>
        <w:t>ta</w:t>
      </w:r>
      <w:r>
        <w:rPr>
          <w:rFonts w:ascii="Arial" w:hAnsi="Arial" w:cs="Arial"/>
          <w:b/>
          <w:sz w:val="24"/>
          <w:szCs w:val="24"/>
        </w:rPr>
        <w:t xml:space="preserve">tal de Justicia Administrativa, </w:t>
      </w:r>
      <w:r>
        <w:rPr>
          <w:rFonts w:ascii="Arial" w:hAnsi="Arial" w:cs="Arial"/>
          <w:sz w:val="24"/>
          <w:szCs w:val="24"/>
        </w:rPr>
        <w:t xml:space="preserve">lo anterior de la siguiente: </w:t>
      </w:r>
    </w:p>
    <w:p w14:paraId="4FCFD216" w14:textId="77777777" w:rsidR="004F4047" w:rsidRDefault="004F4047" w:rsidP="00301F34">
      <w:pPr>
        <w:spacing w:after="0" w:line="480" w:lineRule="auto"/>
        <w:ind w:left="-567"/>
        <w:jc w:val="both"/>
        <w:rPr>
          <w:rFonts w:ascii="Arial" w:hAnsi="Arial" w:cs="Arial"/>
          <w:sz w:val="24"/>
          <w:szCs w:val="24"/>
        </w:rPr>
      </w:pPr>
    </w:p>
    <w:p w14:paraId="72BB7719" w14:textId="77777777" w:rsidR="004F4047" w:rsidRDefault="004F4047" w:rsidP="00301F34">
      <w:pPr>
        <w:spacing w:after="0" w:line="480" w:lineRule="auto"/>
        <w:ind w:left="-567"/>
        <w:jc w:val="both"/>
        <w:rPr>
          <w:rFonts w:ascii="Arial" w:hAnsi="Arial" w:cs="Arial"/>
          <w:sz w:val="24"/>
          <w:szCs w:val="24"/>
        </w:rPr>
      </w:pPr>
    </w:p>
    <w:p w14:paraId="1CD4E382" w14:textId="77777777" w:rsidR="004F4047" w:rsidRDefault="004F4047" w:rsidP="004F4047">
      <w:pPr>
        <w:spacing w:after="0" w:line="480" w:lineRule="auto"/>
        <w:ind w:left="-567"/>
        <w:jc w:val="center"/>
        <w:rPr>
          <w:rFonts w:ascii="Arial" w:hAnsi="Arial" w:cs="Arial"/>
          <w:b/>
          <w:sz w:val="24"/>
          <w:szCs w:val="24"/>
        </w:rPr>
      </w:pPr>
      <w:r w:rsidRPr="004F4047">
        <w:rPr>
          <w:rFonts w:ascii="Arial" w:hAnsi="Arial" w:cs="Arial"/>
          <w:b/>
          <w:sz w:val="24"/>
          <w:szCs w:val="24"/>
        </w:rPr>
        <w:t>EXPOSICIÓN DE MOTIVOS</w:t>
      </w:r>
    </w:p>
    <w:p w14:paraId="2E28BB95" w14:textId="77777777" w:rsidR="00573D3F" w:rsidRPr="004F4047" w:rsidRDefault="00573D3F" w:rsidP="004F4047">
      <w:pPr>
        <w:spacing w:after="0" w:line="480" w:lineRule="auto"/>
        <w:ind w:left="-567"/>
        <w:jc w:val="center"/>
        <w:rPr>
          <w:rFonts w:ascii="Arial" w:hAnsi="Arial" w:cs="Arial"/>
          <w:b/>
          <w:sz w:val="24"/>
          <w:szCs w:val="24"/>
        </w:rPr>
      </w:pPr>
    </w:p>
    <w:p w14:paraId="6BB1164C" w14:textId="77777777" w:rsidR="004F4047" w:rsidRDefault="004F4047" w:rsidP="004F4047">
      <w:pPr>
        <w:spacing w:after="0" w:line="480" w:lineRule="auto"/>
        <w:ind w:left="-567"/>
        <w:jc w:val="both"/>
        <w:rPr>
          <w:rFonts w:ascii="Arial" w:hAnsi="Arial" w:cs="Arial"/>
          <w:sz w:val="24"/>
          <w:szCs w:val="24"/>
        </w:rPr>
      </w:pPr>
      <w:r>
        <w:rPr>
          <w:rFonts w:ascii="Arial" w:hAnsi="Arial" w:cs="Arial"/>
          <w:sz w:val="24"/>
          <w:szCs w:val="24"/>
        </w:rPr>
        <w:t xml:space="preserve">Se propone reformar la </w:t>
      </w:r>
      <w:r w:rsidRPr="004F4047">
        <w:rPr>
          <w:rFonts w:ascii="Arial" w:hAnsi="Arial" w:cs="Arial"/>
          <w:sz w:val="24"/>
          <w:szCs w:val="24"/>
        </w:rPr>
        <w:t>Ley Orgánica del Tribunal Esta</w:t>
      </w:r>
      <w:r>
        <w:rPr>
          <w:rFonts w:ascii="Arial" w:hAnsi="Arial" w:cs="Arial"/>
          <w:sz w:val="24"/>
          <w:szCs w:val="24"/>
        </w:rPr>
        <w:t>ta</w:t>
      </w:r>
      <w:r w:rsidRPr="004F4047">
        <w:rPr>
          <w:rFonts w:ascii="Arial" w:hAnsi="Arial" w:cs="Arial"/>
          <w:sz w:val="24"/>
          <w:szCs w:val="24"/>
        </w:rPr>
        <w:t>l de Justicia Administrativa</w:t>
      </w:r>
      <w:r>
        <w:rPr>
          <w:rFonts w:ascii="Arial" w:hAnsi="Arial" w:cs="Arial"/>
          <w:sz w:val="24"/>
          <w:szCs w:val="24"/>
        </w:rPr>
        <w:t xml:space="preserve"> en diversas porciones normativas relativas a las atribuciones del Pleno y de las Ponencias instructoras a efecto de dotar mayor seguridad jurídica respecto al marco de atribuciones de cada uno y, con ello, brindar un mejor servicio de impartición de justicia al imprimir mayor claridad al texto legal, lo que también agilizara la tramitación de diversos asuntos, en beneficio de los principios que nutren el derecho de acceso a la justicia, principalmente a lo</w:t>
      </w:r>
      <w:r w:rsidR="000A2004">
        <w:rPr>
          <w:rFonts w:ascii="Arial" w:hAnsi="Arial" w:cs="Arial"/>
          <w:sz w:val="24"/>
          <w:szCs w:val="24"/>
        </w:rPr>
        <w:t xml:space="preserve">s de justicia pronta y completa. </w:t>
      </w:r>
    </w:p>
    <w:p w14:paraId="03B15348" w14:textId="77777777" w:rsidR="000A2004" w:rsidRDefault="000A2004" w:rsidP="004F4047">
      <w:pPr>
        <w:spacing w:after="0" w:line="480" w:lineRule="auto"/>
        <w:ind w:left="-567"/>
        <w:jc w:val="both"/>
        <w:rPr>
          <w:rFonts w:ascii="Arial" w:hAnsi="Arial" w:cs="Arial"/>
          <w:sz w:val="24"/>
          <w:szCs w:val="24"/>
        </w:rPr>
      </w:pPr>
    </w:p>
    <w:p w14:paraId="44D49366" w14:textId="77777777" w:rsidR="000A2004" w:rsidRDefault="000A2004" w:rsidP="004F4047">
      <w:pPr>
        <w:spacing w:after="0" w:line="480" w:lineRule="auto"/>
        <w:ind w:left="-567"/>
        <w:jc w:val="both"/>
        <w:rPr>
          <w:rFonts w:ascii="Arial" w:hAnsi="Arial" w:cs="Arial"/>
          <w:sz w:val="24"/>
          <w:szCs w:val="24"/>
        </w:rPr>
      </w:pPr>
      <w:r>
        <w:rPr>
          <w:rFonts w:ascii="Arial" w:hAnsi="Arial" w:cs="Arial"/>
          <w:sz w:val="24"/>
          <w:szCs w:val="24"/>
        </w:rPr>
        <w:t xml:space="preserve">Lo anterior es </w:t>
      </w:r>
      <w:r w:rsidR="00573D3F">
        <w:rPr>
          <w:rFonts w:ascii="Arial" w:hAnsi="Arial" w:cs="Arial"/>
          <w:sz w:val="24"/>
          <w:szCs w:val="24"/>
        </w:rPr>
        <w:t>así</w:t>
      </w:r>
      <w:r>
        <w:rPr>
          <w:rFonts w:ascii="Arial" w:hAnsi="Arial" w:cs="Arial"/>
          <w:sz w:val="24"/>
          <w:szCs w:val="24"/>
        </w:rPr>
        <w:t xml:space="preserve">, pues la actual redacción de diversas disposiciones que regulan la actuación de ese órgano jurisdiccional ha generado incertidumbre respecto a qué órgano le corresponde la tramitación o desahogo de diversos recursos establecidos en la Ley General de Responsabilidades Administrativas. </w:t>
      </w:r>
    </w:p>
    <w:p w14:paraId="2A278A45" w14:textId="77777777" w:rsidR="000A2004" w:rsidRDefault="000A2004" w:rsidP="004F4047">
      <w:pPr>
        <w:spacing w:after="0" w:line="480" w:lineRule="auto"/>
        <w:ind w:left="-567"/>
        <w:jc w:val="both"/>
        <w:rPr>
          <w:rFonts w:ascii="Arial" w:hAnsi="Arial" w:cs="Arial"/>
          <w:sz w:val="24"/>
          <w:szCs w:val="24"/>
        </w:rPr>
      </w:pPr>
    </w:p>
    <w:p w14:paraId="49F04737" w14:textId="77777777" w:rsidR="000A2004" w:rsidRDefault="000A2004" w:rsidP="004F4047">
      <w:pPr>
        <w:spacing w:after="0" w:line="480" w:lineRule="auto"/>
        <w:ind w:left="-567"/>
        <w:jc w:val="both"/>
        <w:rPr>
          <w:rFonts w:ascii="Arial" w:hAnsi="Arial" w:cs="Arial"/>
          <w:sz w:val="24"/>
          <w:szCs w:val="24"/>
        </w:rPr>
      </w:pPr>
      <w:r>
        <w:rPr>
          <w:rFonts w:ascii="Arial" w:hAnsi="Arial" w:cs="Arial"/>
          <w:sz w:val="24"/>
          <w:szCs w:val="24"/>
        </w:rPr>
        <w:t xml:space="preserve">En ese sentido, en un primer momento se consideró que </w:t>
      </w:r>
      <w:r w:rsidR="00573D3F">
        <w:rPr>
          <w:rFonts w:ascii="Arial" w:hAnsi="Arial" w:cs="Arial"/>
          <w:sz w:val="24"/>
          <w:szCs w:val="24"/>
        </w:rPr>
        <w:t>correspondía</w:t>
      </w:r>
      <w:r>
        <w:rPr>
          <w:rFonts w:ascii="Arial" w:hAnsi="Arial" w:cs="Arial"/>
          <w:sz w:val="24"/>
          <w:szCs w:val="24"/>
        </w:rPr>
        <w:t xml:space="preserve"> a las Ponencias instructoras para, posteriormente, abandonar ese criterio y considerar que le corresponde a la Secretaría General, en apoyo al Pleno. </w:t>
      </w:r>
    </w:p>
    <w:p w14:paraId="21E8F421" w14:textId="77777777" w:rsidR="000A2004" w:rsidRDefault="000A2004" w:rsidP="004F4047">
      <w:pPr>
        <w:spacing w:after="0" w:line="480" w:lineRule="auto"/>
        <w:ind w:left="-567"/>
        <w:jc w:val="both"/>
        <w:rPr>
          <w:rFonts w:ascii="Arial" w:hAnsi="Arial" w:cs="Arial"/>
          <w:sz w:val="24"/>
          <w:szCs w:val="24"/>
        </w:rPr>
      </w:pPr>
    </w:p>
    <w:p w14:paraId="00EA6617" w14:textId="77777777" w:rsidR="00994FCF" w:rsidRDefault="000A2004" w:rsidP="00994FCF">
      <w:pPr>
        <w:spacing w:after="0" w:line="480" w:lineRule="auto"/>
        <w:ind w:left="-567"/>
        <w:jc w:val="both"/>
        <w:rPr>
          <w:rFonts w:ascii="Arial" w:hAnsi="Arial" w:cs="Arial"/>
          <w:sz w:val="24"/>
          <w:szCs w:val="24"/>
        </w:rPr>
      </w:pPr>
      <w:r>
        <w:rPr>
          <w:rFonts w:ascii="Arial" w:hAnsi="Arial" w:cs="Arial"/>
          <w:sz w:val="24"/>
          <w:szCs w:val="24"/>
        </w:rPr>
        <w:t>Justo con ello, se considera que, actualmente, esto significa imponer una carga adicional a la Secretaría General de ese Tribunal, debido a que su estructura está en vías de consolidación y su esfera de atribuciones es eminente</w:t>
      </w:r>
      <w:r w:rsidR="00994FCF">
        <w:rPr>
          <w:rFonts w:ascii="Arial" w:hAnsi="Arial" w:cs="Arial"/>
          <w:sz w:val="24"/>
          <w:szCs w:val="24"/>
        </w:rPr>
        <w:t>mente administrativa, con funciones jurisdiccionales bien d</w:t>
      </w:r>
      <w:r w:rsidR="00573D3F">
        <w:rPr>
          <w:rFonts w:ascii="Arial" w:hAnsi="Arial" w:cs="Arial"/>
          <w:sz w:val="24"/>
          <w:szCs w:val="24"/>
        </w:rPr>
        <w:t>elimitadas</w:t>
      </w:r>
      <w:r w:rsidR="00994FCF">
        <w:rPr>
          <w:rFonts w:ascii="Arial" w:hAnsi="Arial" w:cs="Arial"/>
          <w:sz w:val="24"/>
          <w:szCs w:val="24"/>
        </w:rPr>
        <w:t xml:space="preserve">, que son la excepción a esa regla general. </w:t>
      </w:r>
    </w:p>
    <w:p w14:paraId="3B5B3A80" w14:textId="77777777" w:rsidR="00994FCF" w:rsidRDefault="00994FCF" w:rsidP="00994FCF">
      <w:pPr>
        <w:spacing w:after="0" w:line="480" w:lineRule="auto"/>
        <w:ind w:left="-567"/>
        <w:jc w:val="both"/>
        <w:rPr>
          <w:rFonts w:ascii="Arial" w:hAnsi="Arial" w:cs="Arial"/>
          <w:sz w:val="24"/>
          <w:szCs w:val="24"/>
        </w:rPr>
      </w:pPr>
    </w:p>
    <w:p w14:paraId="35E0188B" w14:textId="77777777" w:rsidR="00994FCF" w:rsidRDefault="00994FCF" w:rsidP="00994FCF">
      <w:pPr>
        <w:spacing w:after="0" w:line="480" w:lineRule="auto"/>
        <w:ind w:left="-567"/>
        <w:jc w:val="both"/>
        <w:rPr>
          <w:rFonts w:ascii="Arial" w:hAnsi="Arial" w:cs="Arial"/>
          <w:sz w:val="24"/>
          <w:szCs w:val="24"/>
        </w:rPr>
      </w:pPr>
      <w:r>
        <w:rPr>
          <w:rFonts w:ascii="Arial" w:hAnsi="Arial" w:cs="Arial"/>
          <w:sz w:val="24"/>
          <w:szCs w:val="24"/>
        </w:rPr>
        <w:t xml:space="preserve">Por otra parte, </w:t>
      </w:r>
      <w:r w:rsidR="004C1300">
        <w:rPr>
          <w:rFonts w:ascii="Arial" w:hAnsi="Arial" w:cs="Arial"/>
          <w:sz w:val="24"/>
          <w:szCs w:val="24"/>
        </w:rPr>
        <w:t>l</w:t>
      </w:r>
      <w:r>
        <w:rPr>
          <w:rFonts w:ascii="Arial" w:hAnsi="Arial" w:cs="Arial"/>
          <w:sz w:val="24"/>
          <w:szCs w:val="24"/>
        </w:rPr>
        <w:t>as Ponencias instructoras que, además de su esfera competencial, cuenta con más personal jur</w:t>
      </w:r>
      <w:r w:rsidR="004C1300">
        <w:rPr>
          <w:rFonts w:ascii="Arial" w:hAnsi="Arial" w:cs="Arial"/>
          <w:sz w:val="24"/>
          <w:szCs w:val="24"/>
        </w:rPr>
        <w:t xml:space="preserve">isdiccional, el cual se dedica exclusivamente a ser auxiliares de las Magistraturas en su labor de impartir justicia, al tener el conocimiento de los asuntos jurisdiccionales  que se tramitan ante ese órgano, propicia resoluciones </w:t>
      </w:r>
      <w:r w:rsidR="00712055">
        <w:rPr>
          <w:rFonts w:ascii="Arial" w:hAnsi="Arial" w:cs="Arial"/>
          <w:sz w:val="24"/>
          <w:szCs w:val="24"/>
        </w:rPr>
        <w:t>más</w:t>
      </w:r>
      <w:r w:rsidR="004C1300">
        <w:rPr>
          <w:rFonts w:ascii="Arial" w:hAnsi="Arial" w:cs="Arial"/>
          <w:sz w:val="24"/>
          <w:szCs w:val="24"/>
        </w:rPr>
        <w:t xml:space="preserve"> prontas y de mejor calidad. </w:t>
      </w:r>
    </w:p>
    <w:p w14:paraId="711A5BD8" w14:textId="77777777" w:rsidR="004C1300" w:rsidRDefault="004C1300" w:rsidP="00994FCF">
      <w:pPr>
        <w:spacing w:after="0" w:line="480" w:lineRule="auto"/>
        <w:ind w:left="-567"/>
        <w:jc w:val="both"/>
        <w:rPr>
          <w:rFonts w:ascii="Arial" w:hAnsi="Arial" w:cs="Arial"/>
          <w:sz w:val="24"/>
          <w:szCs w:val="24"/>
        </w:rPr>
      </w:pPr>
    </w:p>
    <w:p w14:paraId="1B425506" w14:textId="77777777" w:rsidR="004C1300" w:rsidRDefault="004C1300" w:rsidP="00994FCF">
      <w:pPr>
        <w:spacing w:after="0" w:line="480" w:lineRule="auto"/>
        <w:ind w:left="-567"/>
        <w:jc w:val="both"/>
        <w:rPr>
          <w:rFonts w:ascii="Arial" w:hAnsi="Arial" w:cs="Arial"/>
          <w:sz w:val="24"/>
          <w:szCs w:val="24"/>
        </w:rPr>
      </w:pPr>
      <w:r>
        <w:rPr>
          <w:rFonts w:ascii="Arial" w:hAnsi="Arial" w:cs="Arial"/>
          <w:sz w:val="24"/>
          <w:szCs w:val="24"/>
        </w:rPr>
        <w:lastRenderedPageBreak/>
        <w:t xml:space="preserve">No se omite mencionar que la interposición de los recursos previstos en la Ley General de Responsabilidades Administrativas no interrumpe el procedimiento de responsabilidades, por lo que se sugiere que la tramitación o desahogo la lleve a cabo la propia ponencia o sala, sin invadir la esfera que tiene el Pleno de resolver. </w:t>
      </w:r>
    </w:p>
    <w:p w14:paraId="5AC47BDA" w14:textId="77777777" w:rsidR="004C1300" w:rsidRDefault="004C1300" w:rsidP="00994FCF">
      <w:pPr>
        <w:spacing w:after="0" w:line="480" w:lineRule="auto"/>
        <w:ind w:left="-567"/>
        <w:jc w:val="both"/>
        <w:rPr>
          <w:rFonts w:ascii="Arial" w:hAnsi="Arial" w:cs="Arial"/>
          <w:sz w:val="24"/>
          <w:szCs w:val="24"/>
        </w:rPr>
      </w:pPr>
    </w:p>
    <w:p w14:paraId="3ED04EA2" w14:textId="77777777" w:rsidR="004C1300" w:rsidRDefault="004C1300" w:rsidP="00994FCF">
      <w:pPr>
        <w:spacing w:after="0" w:line="480" w:lineRule="auto"/>
        <w:ind w:left="-567"/>
        <w:jc w:val="both"/>
        <w:rPr>
          <w:rFonts w:ascii="Arial" w:hAnsi="Arial" w:cs="Arial"/>
          <w:sz w:val="24"/>
          <w:szCs w:val="24"/>
        </w:rPr>
      </w:pPr>
      <w:r>
        <w:rPr>
          <w:rFonts w:ascii="Arial" w:hAnsi="Arial" w:cs="Arial"/>
          <w:sz w:val="24"/>
          <w:szCs w:val="24"/>
        </w:rPr>
        <w:t xml:space="preserve">Por lo anteriormente expuesto, someto a su consideración con carácter y aprobación el siguiente: </w:t>
      </w:r>
    </w:p>
    <w:p w14:paraId="58658108" w14:textId="77777777" w:rsidR="004C1300" w:rsidRDefault="004C1300" w:rsidP="00994FCF">
      <w:pPr>
        <w:spacing w:after="0" w:line="480" w:lineRule="auto"/>
        <w:ind w:left="-567"/>
        <w:jc w:val="both"/>
        <w:rPr>
          <w:rFonts w:ascii="Arial" w:hAnsi="Arial" w:cs="Arial"/>
          <w:sz w:val="24"/>
          <w:szCs w:val="24"/>
        </w:rPr>
      </w:pPr>
    </w:p>
    <w:p w14:paraId="4913E420" w14:textId="77777777" w:rsidR="004C1300" w:rsidRDefault="004C1300" w:rsidP="004C1300">
      <w:pPr>
        <w:spacing w:after="0" w:line="480" w:lineRule="auto"/>
        <w:ind w:left="-567"/>
        <w:jc w:val="center"/>
        <w:rPr>
          <w:rFonts w:ascii="Arial" w:hAnsi="Arial" w:cs="Arial"/>
          <w:sz w:val="24"/>
          <w:szCs w:val="24"/>
        </w:rPr>
      </w:pPr>
      <w:r>
        <w:rPr>
          <w:rFonts w:ascii="Arial" w:hAnsi="Arial" w:cs="Arial"/>
          <w:sz w:val="24"/>
          <w:szCs w:val="24"/>
        </w:rPr>
        <w:t xml:space="preserve">DECRETO </w:t>
      </w:r>
    </w:p>
    <w:p w14:paraId="1B237FC3" w14:textId="77777777" w:rsidR="004C1300" w:rsidRDefault="004C1300" w:rsidP="004C1300">
      <w:pPr>
        <w:spacing w:after="0" w:line="480" w:lineRule="auto"/>
        <w:ind w:left="-567"/>
        <w:jc w:val="center"/>
        <w:rPr>
          <w:rFonts w:ascii="Arial" w:hAnsi="Arial" w:cs="Arial"/>
          <w:sz w:val="24"/>
          <w:szCs w:val="24"/>
        </w:rPr>
      </w:pPr>
    </w:p>
    <w:p w14:paraId="3BE9110A" w14:textId="77777777" w:rsidR="004C1300" w:rsidRDefault="00573D3F" w:rsidP="004C1300">
      <w:pPr>
        <w:spacing w:after="0" w:line="480" w:lineRule="auto"/>
        <w:ind w:left="-567"/>
        <w:jc w:val="both"/>
        <w:rPr>
          <w:rFonts w:ascii="Arial" w:hAnsi="Arial" w:cs="Arial"/>
          <w:sz w:val="24"/>
          <w:szCs w:val="24"/>
        </w:rPr>
      </w:pPr>
      <w:r w:rsidRPr="004C1300">
        <w:rPr>
          <w:rFonts w:ascii="Arial" w:hAnsi="Arial" w:cs="Arial"/>
          <w:b/>
          <w:sz w:val="24"/>
          <w:szCs w:val="24"/>
        </w:rPr>
        <w:t>Artículo</w:t>
      </w:r>
      <w:r w:rsidR="004C1300" w:rsidRPr="004C1300">
        <w:rPr>
          <w:rFonts w:ascii="Arial" w:hAnsi="Arial" w:cs="Arial"/>
          <w:b/>
          <w:sz w:val="24"/>
          <w:szCs w:val="24"/>
        </w:rPr>
        <w:t xml:space="preserve"> 13</w:t>
      </w:r>
      <w:r w:rsidR="004C1300">
        <w:rPr>
          <w:rFonts w:ascii="Arial" w:hAnsi="Arial" w:cs="Arial"/>
          <w:sz w:val="24"/>
          <w:szCs w:val="24"/>
        </w:rPr>
        <w:t xml:space="preserve">.- Las y los magistrados de las ponencias instructoras, tendrán las siguientes atribuciones: </w:t>
      </w:r>
    </w:p>
    <w:p w14:paraId="773F851F" w14:textId="77777777" w:rsidR="004C1300" w:rsidRDefault="004C1300" w:rsidP="004C1300">
      <w:pPr>
        <w:spacing w:after="0" w:line="480" w:lineRule="auto"/>
        <w:ind w:left="-567"/>
        <w:jc w:val="both"/>
        <w:rPr>
          <w:rFonts w:ascii="Arial" w:hAnsi="Arial" w:cs="Arial"/>
          <w:sz w:val="24"/>
          <w:szCs w:val="24"/>
        </w:rPr>
      </w:pPr>
    </w:p>
    <w:p w14:paraId="5AE2E3F5" w14:textId="77777777" w:rsidR="004C1300" w:rsidRDefault="004C1300" w:rsidP="004C1300">
      <w:pPr>
        <w:spacing w:after="0" w:line="480" w:lineRule="auto"/>
        <w:ind w:left="-567"/>
        <w:jc w:val="both"/>
        <w:rPr>
          <w:rFonts w:ascii="Arial" w:hAnsi="Arial" w:cs="Arial"/>
          <w:sz w:val="24"/>
          <w:szCs w:val="24"/>
        </w:rPr>
      </w:pPr>
      <w:r w:rsidRPr="00573D3F">
        <w:rPr>
          <w:rFonts w:ascii="Arial" w:hAnsi="Arial" w:cs="Arial"/>
          <w:b/>
          <w:sz w:val="24"/>
          <w:szCs w:val="24"/>
        </w:rPr>
        <w:t>VI. Admitir, desechar y tramitar los incidentes y recursos previstos en esta ley y la Ley General de Responsabilidades Administrativas</w:t>
      </w:r>
      <w:r>
        <w:rPr>
          <w:rFonts w:ascii="Arial" w:hAnsi="Arial" w:cs="Arial"/>
          <w:sz w:val="24"/>
          <w:szCs w:val="24"/>
        </w:rPr>
        <w:t xml:space="preserve">; formular los proyectos de resolución, de aclaraciones de sentencia y de resoluciones de queja relacionadas con el cumplimiento de las sentencias, y someterlos a la consideración del Pleno. </w:t>
      </w:r>
    </w:p>
    <w:p w14:paraId="4D5004D8" w14:textId="77777777" w:rsidR="004C1300" w:rsidRDefault="004C1300" w:rsidP="004C1300">
      <w:pPr>
        <w:spacing w:after="0" w:line="480" w:lineRule="auto"/>
        <w:ind w:left="-567"/>
        <w:jc w:val="both"/>
        <w:rPr>
          <w:rFonts w:ascii="Arial" w:hAnsi="Arial" w:cs="Arial"/>
          <w:sz w:val="24"/>
          <w:szCs w:val="24"/>
        </w:rPr>
      </w:pPr>
    </w:p>
    <w:p w14:paraId="11D6C051" w14:textId="77777777" w:rsidR="00573D3F" w:rsidRDefault="00573D3F" w:rsidP="004C1300">
      <w:pPr>
        <w:spacing w:after="0" w:line="480" w:lineRule="auto"/>
        <w:ind w:left="-567"/>
        <w:jc w:val="both"/>
        <w:rPr>
          <w:rFonts w:ascii="Arial" w:hAnsi="Arial" w:cs="Arial"/>
          <w:sz w:val="24"/>
          <w:szCs w:val="24"/>
        </w:rPr>
      </w:pPr>
      <w:r w:rsidRPr="00573D3F">
        <w:rPr>
          <w:rFonts w:ascii="Arial" w:hAnsi="Arial" w:cs="Arial"/>
          <w:b/>
          <w:sz w:val="24"/>
          <w:szCs w:val="24"/>
        </w:rPr>
        <w:t>VIII. Formular los proyectos de sentencias interlocutorias y definitivas</w:t>
      </w:r>
      <w:r>
        <w:rPr>
          <w:rFonts w:ascii="Arial" w:hAnsi="Arial" w:cs="Arial"/>
          <w:sz w:val="24"/>
          <w:szCs w:val="24"/>
        </w:rPr>
        <w:t xml:space="preserve"> y, en su caso, de cumplimiento de ejecutorias. </w:t>
      </w:r>
    </w:p>
    <w:p w14:paraId="769CA1D7" w14:textId="77777777" w:rsidR="00573D3F" w:rsidRDefault="00573D3F" w:rsidP="004C1300">
      <w:pPr>
        <w:spacing w:after="0" w:line="480" w:lineRule="auto"/>
        <w:ind w:left="-567"/>
        <w:jc w:val="both"/>
        <w:rPr>
          <w:rFonts w:ascii="Arial" w:hAnsi="Arial" w:cs="Arial"/>
          <w:sz w:val="24"/>
          <w:szCs w:val="24"/>
        </w:rPr>
      </w:pPr>
    </w:p>
    <w:p w14:paraId="71F99AB5" w14:textId="77777777" w:rsidR="00573D3F" w:rsidRDefault="00573D3F" w:rsidP="004C1300">
      <w:pPr>
        <w:spacing w:after="0" w:line="480" w:lineRule="auto"/>
        <w:ind w:left="-567"/>
        <w:jc w:val="both"/>
        <w:rPr>
          <w:rFonts w:ascii="Arial" w:hAnsi="Arial" w:cs="Arial"/>
          <w:sz w:val="24"/>
          <w:szCs w:val="24"/>
        </w:rPr>
      </w:pPr>
      <w:r w:rsidRPr="00573D3F">
        <w:rPr>
          <w:rFonts w:ascii="Arial" w:hAnsi="Arial" w:cs="Arial"/>
          <w:b/>
          <w:sz w:val="24"/>
          <w:szCs w:val="24"/>
        </w:rPr>
        <w:lastRenderedPageBreak/>
        <w:t>Artículo 9</w:t>
      </w:r>
      <w:r>
        <w:rPr>
          <w:rFonts w:ascii="Arial" w:hAnsi="Arial" w:cs="Arial"/>
          <w:sz w:val="24"/>
          <w:szCs w:val="24"/>
        </w:rPr>
        <w:t xml:space="preserve">. El Pleno se integrará con la totalidad de las personas titulares de las Magistraturas, siendo sus facultades las siguientes: </w:t>
      </w:r>
    </w:p>
    <w:p w14:paraId="0FB0F749" w14:textId="77777777" w:rsidR="00573D3F" w:rsidRDefault="00573D3F" w:rsidP="004C1300">
      <w:pPr>
        <w:spacing w:after="0" w:line="480" w:lineRule="auto"/>
        <w:ind w:left="-567"/>
        <w:jc w:val="both"/>
        <w:rPr>
          <w:rFonts w:ascii="Arial" w:hAnsi="Arial" w:cs="Arial"/>
          <w:sz w:val="24"/>
          <w:szCs w:val="24"/>
        </w:rPr>
      </w:pPr>
    </w:p>
    <w:p w14:paraId="130B63CB" w14:textId="77777777" w:rsidR="00573D3F" w:rsidRDefault="00573D3F" w:rsidP="004C1300">
      <w:pPr>
        <w:spacing w:after="0" w:line="480" w:lineRule="auto"/>
        <w:ind w:left="-567"/>
        <w:jc w:val="both"/>
        <w:rPr>
          <w:rFonts w:ascii="Arial" w:hAnsi="Arial" w:cs="Arial"/>
          <w:b/>
          <w:sz w:val="24"/>
          <w:szCs w:val="24"/>
        </w:rPr>
      </w:pPr>
      <w:r w:rsidRPr="00573D3F">
        <w:rPr>
          <w:rFonts w:ascii="Arial" w:hAnsi="Arial" w:cs="Arial"/>
          <w:b/>
          <w:sz w:val="24"/>
          <w:szCs w:val="24"/>
        </w:rPr>
        <w:t xml:space="preserve">XXVII. Resolver los recursos de Inconformidad y Apelación, previstos en la Ley General de Responsabilidades Administrativas, que presenten las ponencias instructoras. </w:t>
      </w:r>
    </w:p>
    <w:p w14:paraId="37002608" w14:textId="77777777" w:rsidR="00573D3F" w:rsidRDefault="00573D3F" w:rsidP="004C1300">
      <w:pPr>
        <w:spacing w:after="0" w:line="480" w:lineRule="auto"/>
        <w:ind w:left="-567"/>
        <w:jc w:val="both"/>
        <w:rPr>
          <w:rFonts w:ascii="Arial" w:hAnsi="Arial" w:cs="Arial"/>
          <w:b/>
          <w:sz w:val="24"/>
          <w:szCs w:val="24"/>
        </w:rPr>
      </w:pPr>
    </w:p>
    <w:p w14:paraId="1BBFDF18" w14:textId="77777777" w:rsidR="00573D3F" w:rsidRDefault="00573D3F" w:rsidP="00573D3F">
      <w:pPr>
        <w:spacing w:after="0" w:line="480" w:lineRule="auto"/>
        <w:ind w:left="-567"/>
        <w:jc w:val="center"/>
        <w:rPr>
          <w:rFonts w:ascii="Arial" w:hAnsi="Arial" w:cs="Arial"/>
          <w:sz w:val="24"/>
          <w:szCs w:val="24"/>
        </w:rPr>
      </w:pPr>
      <w:r>
        <w:rPr>
          <w:rFonts w:ascii="Arial" w:hAnsi="Arial" w:cs="Arial"/>
          <w:sz w:val="24"/>
          <w:szCs w:val="24"/>
        </w:rPr>
        <w:t xml:space="preserve">TRANSITORIO </w:t>
      </w:r>
    </w:p>
    <w:p w14:paraId="2ADE5B8F" w14:textId="77777777" w:rsidR="00573D3F" w:rsidRDefault="00573D3F" w:rsidP="00573D3F">
      <w:pPr>
        <w:spacing w:after="0" w:line="480" w:lineRule="auto"/>
        <w:ind w:left="-567"/>
        <w:jc w:val="center"/>
        <w:rPr>
          <w:rFonts w:ascii="Arial" w:hAnsi="Arial" w:cs="Arial"/>
          <w:sz w:val="24"/>
          <w:szCs w:val="24"/>
        </w:rPr>
      </w:pPr>
    </w:p>
    <w:p w14:paraId="2F6B4D80" w14:textId="77777777" w:rsidR="00573D3F" w:rsidRDefault="00573D3F" w:rsidP="00573D3F">
      <w:pPr>
        <w:spacing w:after="0" w:line="480" w:lineRule="auto"/>
        <w:ind w:left="-567"/>
        <w:jc w:val="both"/>
        <w:rPr>
          <w:rFonts w:ascii="Arial" w:hAnsi="Arial" w:cs="Arial"/>
          <w:sz w:val="24"/>
          <w:szCs w:val="24"/>
        </w:rPr>
      </w:pPr>
      <w:r w:rsidRPr="00573D3F">
        <w:rPr>
          <w:rFonts w:ascii="Arial" w:hAnsi="Arial" w:cs="Arial"/>
          <w:b/>
          <w:sz w:val="24"/>
          <w:szCs w:val="24"/>
        </w:rPr>
        <w:t>ÚNICO</w:t>
      </w:r>
      <w:r>
        <w:rPr>
          <w:rFonts w:ascii="Arial" w:hAnsi="Arial" w:cs="Arial"/>
          <w:sz w:val="24"/>
          <w:szCs w:val="24"/>
        </w:rPr>
        <w:t xml:space="preserve">.- El presente decreto entrará en vigor al </w:t>
      </w:r>
      <w:r w:rsidR="00712055">
        <w:rPr>
          <w:rFonts w:ascii="Arial" w:hAnsi="Arial" w:cs="Arial"/>
          <w:sz w:val="24"/>
          <w:szCs w:val="24"/>
        </w:rPr>
        <w:t>día</w:t>
      </w:r>
      <w:r>
        <w:rPr>
          <w:rFonts w:ascii="Arial" w:hAnsi="Arial" w:cs="Arial"/>
          <w:sz w:val="24"/>
          <w:szCs w:val="24"/>
        </w:rPr>
        <w:t xml:space="preserve"> siguiente de su publicación en el Periódico Oficial del Estado de Chihuahua. </w:t>
      </w:r>
    </w:p>
    <w:p w14:paraId="4288E517" w14:textId="77777777" w:rsidR="00573D3F" w:rsidRDefault="00573D3F" w:rsidP="00573D3F">
      <w:pPr>
        <w:spacing w:after="0" w:line="480" w:lineRule="auto"/>
        <w:ind w:left="-567"/>
        <w:jc w:val="both"/>
        <w:rPr>
          <w:rFonts w:ascii="Arial" w:hAnsi="Arial" w:cs="Arial"/>
          <w:sz w:val="24"/>
          <w:szCs w:val="24"/>
        </w:rPr>
      </w:pPr>
    </w:p>
    <w:p w14:paraId="18C98909" w14:textId="77777777" w:rsidR="004F4047" w:rsidRDefault="00712055" w:rsidP="00301F34">
      <w:pPr>
        <w:spacing w:after="0" w:line="480" w:lineRule="auto"/>
        <w:ind w:left="-567"/>
        <w:jc w:val="both"/>
        <w:rPr>
          <w:rFonts w:ascii="Arial" w:hAnsi="Arial" w:cs="Arial"/>
          <w:sz w:val="24"/>
          <w:szCs w:val="24"/>
        </w:rPr>
      </w:pPr>
      <w:r>
        <w:rPr>
          <w:rFonts w:ascii="Arial" w:hAnsi="Arial" w:cs="Arial"/>
          <w:sz w:val="24"/>
          <w:szCs w:val="24"/>
        </w:rPr>
        <w:t>Dado en el Recinto O</w:t>
      </w:r>
      <w:r w:rsidR="00573D3F">
        <w:rPr>
          <w:rFonts w:ascii="Arial" w:hAnsi="Arial" w:cs="Arial"/>
          <w:sz w:val="24"/>
          <w:szCs w:val="24"/>
        </w:rPr>
        <w:t>ficial del Pod</w:t>
      </w:r>
      <w:r>
        <w:rPr>
          <w:rFonts w:ascii="Arial" w:hAnsi="Arial" w:cs="Arial"/>
          <w:sz w:val="24"/>
          <w:szCs w:val="24"/>
        </w:rPr>
        <w:t>er Legislativo en la C</w:t>
      </w:r>
      <w:r w:rsidR="00573D3F">
        <w:rPr>
          <w:rFonts w:ascii="Arial" w:hAnsi="Arial" w:cs="Arial"/>
          <w:sz w:val="24"/>
          <w:szCs w:val="24"/>
        </w:rPr>
        <w:t xml:space="preserve">iudad Chihuahua, a los 21 </w:t>
      </w:r>
      <w:r>
        <w:rPr>
          <w:rFonts w:ascii="Arial" w:hAnsi="Arial" w:cs="Arial"/>
          <w:sz w:val="24"/>
          <w:szCs w:val="24"/>
        </w:rPr>
        <w:t>días</w:t>
      </w:r>
      <w:r w:rsidR="00573D3F">
        <w:rPr>
          <w:rFonts w:ascii="Arial" w:hAnsi="Arial" w:cs="Arial"/>
          <w:sz w:val="24"/>
          <w:szCs w:val="24"/>
        </w:rPr>
        <w:t xml:space="preserve"> del mes de Junio de dos mil veintitrés. </w:t>
      </w:r>
    </w:p>
    <w:p w14:paraId="069AE468" w14:textId="77777777" w:rsidR="00573D3F" w:rsidRDefault="00573D3F" w:rsidP="00301F34">
      <w:pPr>
        <w:spacing w:after="0" w:line="480" w:lineRule="auto"/>
        <w:ind w:left="-567"/>
        <w:jc w:val="both"/>
        <w:rPr>
          <w:rFonts w:ascii="Arial" w:hAnsi="Arial" w:cs="Arial"/>
          <w:sz w:val="24"/>
          <w:szCs w:val="24"/>
        </w:rPr>
      </w:pPr>
    </w:p>
    <w:p w14:paraId="7F391DDA" w14:textId="77777777" w:rsidR="004F4047" w:rsidRDefault="004F4047" w:rsidP="00301F34">
      <w:pPr>
        <w:spacing w:after="0" w:line="480" w:lineRule="auto"/>
        <w:ind w:left="-567"/>
        <w:jc w:val="both"/>
        <w:rPr>
          <w:rFonts w:ascii="Arial" w:hAnsi="Arial" w:cs="Arial"/>
          <w:sz w:val="24"/>
          <w:szCs w:val="24"/>
        </w:rPr>
      </w:pPr>
    </w:p>
    <w:p w14:paraId="4D3B3D9D" w14:textId="77777777" w:rsidR="00301F34" w:rsidRPr="00F561C0" w:rsidRDefault="000C425E" w:rsidP="00301F34">
      <w:pPr>
        <w:ind w:left="-567"/>
        <w:jc w:val="center"/>
        <w:rPr>
          <w:rFonts w:ascii="Arial" w:hAnsi="Arial" w:cs="Arial"/>
          <w:b/>
          <w:sz w:val="24"/>
          <w:szCs w:val="24"/>
        </w:rPr>
      </w:pPr>
      <w:r>
        <w:rPr>
          <w:noProof/>
        </w:rPr>
        <w:drawing>
          <wp:anchor distT="0" distB="0" distL="114300" distR="114300" simplePos="0" relativeHeight="251659264" behindDoc="1" locked="0" layoutInCell="1" allowOverlap="1" wp14:anchorId="0564FA82" wp14:editId="0DEB0773">
            <wp:simplePos x="0" y="0"/>
            <wp:positionH relativeFrom="margin">
              <wp:align>center</wp:align>
            </wp:positionH>
            <wp:positionV relativeFrom="paragraph">
              <wp:posOffset>9525</wp:posOffset>
            </wp:positionV>
            <wp:extent cx="1282700" cy="96583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8272" t="36082" r="43742" b="39842"/>
                    <a:stretch/>
                  </pic:blipFill>
                  <pic:spPr bwMode="auto">
                    <a:xfrm>
                      <a:off x="0" y="0"/>
                      <a:ext cx="1282700" cy="965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F34">
        <w:rPr>
          <w:rFonts w:ascii="Arial" w:hAnsi="Arial" w:cs="Arial"/>
          <w:b/>
          <w:sz w:val="24"/>
          <w:szCs w:val="24"/>
        </w:rPr>
        <w:t>ATENTAMENTE</w:t>
      </w:r>
    </w:p>
    <w:p w14:paraId="74B78EF7" w14:textId="77777777" w:rsidR="00301F34" w:rsidRPr="00F561C0" w:rsidRDefault="00301F34" w:rsidP="00301F34">
      <w:pPr>
        <w:ind w:left="-567"/>
        <w:jc w:val="center"/>
        <w:rPr>
          <w:rFonts w:ascii="Arial" w:hAnsi="Arial" w:cs="Arial"/>
          <w:b/>
          <w:sz w:val="24"/>
          <w:szCs w:val="24"/>
        </w:rPr>
      </w:pPr>
    </w:p>
    <w:p w14:paraId="40F49F41" w14:textId="77777777" w:rsidR="00301F34" w:rsidRPr="00F561C0" w:rsidRDefault="00301F34" w:rsidP="00301F34">
      <w:pPr>
        <w:ind w:left="-567"/>
        <w:jc w:val="center"/>
        <w:rPr>
          <w:rFonts w:ascii="Arial" w:hAnsi="Arial" w:cs="Arial"/>
          <w:b/>
          <w:sz w:val="24"/>
          <w:szCs w:val="24"/>
        </w:rPr>
      </w:pPr>
    </w:p>
    <w:p w14:paraId="038E4E78" w14:textId="77777777" w:rsidR="00301F34" w:rsidRDefault="00301F34" w:rsidP="00301F34">
      <w:pPr>
        <w:ind w:left="-567"/>
        <w:jc w:val="center"/>
        <w:rPr>
          <w:rFonts w:ascii="Arial" w:hAnsi="Arial" w:cs="Arial"/>
          <w:b/>
          <w:sz w:val="24"/>
          <w:szCs w:val="24"/>
        </w:rPr>
      </w:pPr>
      <w:r>
        <w:rPr>
          <w:rFonts w:ascii="Arial" w:hAnsi="Arial" w:cs="Arial"/>
          <w:b/>
          <w:sz w:val="24"/>
          <w:szCs w:val="24"/>
        </w:rPr>
        <w:t xml:space="preserve">DIP. ROBERTO MARCELINO CARREÓN HUITRÓN </w:t>
      </w:r>
    </w:p>
    <w:sectPr w:rsidR="00301F34" w:rsidSect="00127CB6">
      <w:type w:val="continuous"/>
      <w:pgSz w:w="12240" w:h="15840"/>
      <w:pgMar w:top="1701"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5139" w14:textId="77777777" w:rsidR="00AD077E" w:rsidRDefault="00AD077E" w:rsidP="00F96B6A">
      <w:pPr>
        <w:spacing w:after="0" w:line="240" w:lineRule="auto"/>
      </w:pPr>
      <w:r>
        <w:separator/>
      </w:r>
    </w:p>
  </w:endnote>
  <w:endnote w:type="continuationSeparator" w:id="0">
    <w:p w14:paraId="14F19354" w14:textId="77777777" w:rsidR="00AD077E" w:rsidRDefault="00AD077E" w:rsidP="00F9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7F6D" w14:textId="77777777" w:rsidR="00AD077E" w:rsidRDefault="00AD077E" w:rsidP="00F96B6A">
      <w:pPr>
        <w:spacing w:after="0" w:line="240" w:lineRule="auto"/>
      </w:pPr>
      <w:r>
        <w:separator/>
      </w:r>
    </w:p>
  </w:footnote>
  <w:footnote w:type="continuationSeparator" w:id="0">
    <w:p w14:paraId="6181115D" w14:textId="77777777" w:rsidR="00AD077E" w:rsidRDefault="00AD077E" w:rsidP="00F96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D93F" w14:textId="77777777" w:rsidR="00301F34" w:rsidRDefault="00301F34" w:rsidP="001579AD">
    <w:pPr>
      <w:pStyle w:val="Encabezado"/>
      <w:jc w:val="right"/>
    </w:pPr>
  </w:p>
  <w:p w14:paraId="05EB0B6D" w14:textId="77777777" w:rsidR="001C6335" w:rsidRDefault="001C6335" w:rsidP="001C6335">
    <w:pPr>
      <w:pStyle w:val="Encabezado"/>
      <w:jc w:val="right"/>
    </w:pPr>
    <w:r>
      <w:t>“2023, Centenario de la muerte del General Francisco Villa”</w:t>
    </w:r>
  </w:p>
  <w:p w14:paraId="2521F74B" w14:textId="77777777" w:rsidR="001C6335" w:rsidRDefault="001C6335" w:rsidP="001C6335">
    <w:pPr>
      <w:pStyle w:val="Encabezado"/>
      <w:jc w:val="right"/>
    </w:pPr>
    <w:r>
      <w:t xml:space="preserve">“2023, Cien años del </w:t>
    </w:r>
    <w:proofErr w:type="spellStart"/>
    <w:r>
      <w:t>Rotarismo</w:t>
    </w:r>
    <w:proofErr w:type="spellEnd"/>
    <w:r>
      <w:t xml:space="preserve"> en Chihuahua”</w:t>
    </w:r>
  </w:p>
  <w:p w14:paraId="2318AF8C" w14:textId="77777777" w:rsidR="00301F34" w:rsidRDefault="00301F34" w:rsidP="001579AD">
    <w:pPr>
      <w:pStyle w:val="Encabezado"/>
      <w:jc w:val="right"/>
    </w:pPr>
  </w:p>
  <w:p w14:paraId="0513434A" w14:textId="77777777" w:rsidR="00301F34" w:rsidRDefault="00301F34" w:rsidP="001579AD">
    <w:pPr>
      <w:pStyle w:val="Encabezado"/>
      <w:jc w:val="right"/>
    </w:pPr>
  </w:p>
  <w:p w14:paraId="4F090E8D" w14:textId="77777777" w:rsidR="00301F34" w:rsidRDefault="00301F34" w:rsidP="00B559E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29"/>
    <w:multiLevelType w:val="hybridMultilevel"/>
    <w:tmpl w:val="1834E220"/>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6A"/>
    <w:rsid w:val="00024904"/>
    <w:rsid w:val="00025DB1"/>
    <w:rsid w:val="00070FAD"/>
    <w:rsid w:val="0009385D"/>
    <w:rsid w:val="000A10DA"/>
    <w:rsid w:val="000A2004"/>
    <w:rsid w:val="000C425E"/>
    <w:rsid w:val="000C7962"/>
    <w:rsid w:val="00115165"/>
    <w:rsid w:val="00123D35"/>
    <w:rsid w:val="00127CB6"/>
    <w:rsid w:val="001579AD"/>
    <w:rsid w:val="0016476E"/>
    <w:rsid w:val="001C6335"/>
    <w:rsid w:val="00222932"/>
    <w:rsid w:val="002E5B31"/>
    <w:rsid w:val="00301F34"/>
    <w:rsid w:val="003475B1"/>
    <w:rsid w:val="00350F89"/>
    <w:rsid w:val="003800E6"/>
    <w:rsid w:val="003A6C0F"/>
    <w:rsid w:val="003D1B20"/>
    <w:rsid w:val="003F580A"/>
    <w:rsid w:val="003F7330"/>
    <w:rsid w:val="003F7841"/>
    <w:rsid w:val="00424327"/>
    <w:rsid w:val="00424732"/>
    <w:rsid w:val="004315D6"/>
    <w:rsid w:val="00433273"/>
    <w:rsid w:val="004A3AA2"/>
    <w:rsid w:val="004C1300"/>
    <w:rsid w:val="004F4047"/>
    <w:rsid w:val="0052299B"/>
    <w:rsid w:val="005238BE"/>
    <w:rsid w:val="005320D5"/>
    <w:rsid w:val="0054241A"/>
    <w:rsid w:val="00573D3F"/>
    <w:rsid w:val="005761F5"/>
    <w:rsid w:val="00590DA1"/>
    <w:rsid w:val="005D0327"/>
    <w:rsid w:val="00640A53"/>
    <w:rsid w:val="006C473D"/>
    <w:rsid w:val="006F0375"/>
    <w:rsid w:val="00712055"/>
    <w:rsid w:val="00757131"/>
    <w:rsid w:val="007A5C73"/>
    <w:rsid w:val="007A7085"/>
    <w:rsid w:val="00800952"/>
    <w:rsid w:val="0083469B"/>
    <w:rsid w:val="008D376D"/>
    <w:rsid w:val="00916F57"/>
    <w:rsid w:val="00940FFF"/>
    <w:rsid w:val="00994FCF"/>
    <w:rsid w:val="00A2437C"/>
    <w:rsid w:val="00AC7B60"/>
    <w:rsid w:val="00AD077E"/>
    <w:rsid w:val="00AF23F6"/>
    <w:rsid w:val="00AF66B0"/>
    <w:rsid w:val="00B559E5"/>
    <w:rsid w:val="00B750C1"/>
    <w:rsid w:val="00BC5EC2"/>
    <w:rsid w:val="00C35E71"/>
    <w:rsid w:val="00C738ED"/>
    <w:rsid w:val="00C97F50"/>
    <w:rsid w:val="00D01AFB"/>
    <w:rsid w:val="00D4493C"/>
    <w:rsid w:val="00D67CF2"/>
    <w:rsid w:val="00D92665"/>
    <w:rsid w:val="00DA7F3E"/>
    <w:rsid w:val="00E83E55"/>
    <w:rsid w:val="00E94F99"/>
    <w:rsid w:val="00EB267D"/>
    <w:rsid w:val="00EC1B28"/>
    <w:rsid w:val="00EF31CC"/>
    <w:rsid w:val="00F561C0"/>
    <w:rsid w:val="00F567CC"/>
    <w:rsid w:val="00F96B6A"/>
    <w:rsid w:val="00FB1DB2"/>
    <w:rsid w:val="00FD7350"/>
    <w:rsid w:val="00FE5197"/>
    <w:rsid w:val="00FE7E6C"/>
    <w:rsid w:val="00FF03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6530"/>
  <w15:docId w15:val="{8B98968D-C180-4D10-9C11-DB2FDD1C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3F6"/>
    <w:pPr>
      <w:ind w:left="720"/>
      <w:contextualSpacing/>
    </w:pPr>
  </w:style>
  <w:style w:type="character" w:styleId="Hipervnculo">
    <w:name w:val="Hyperlink"/>
    <w:basedOn w:val="Fuentedeprrafopredeter"/>
    <w:uiPriority w:val="99"/>
    <w:unhideWhenUsed/>
    <w:rsid w:val="00DA7F3E"/>
    <w:rPr>
      <w:color w:val="0000FF" w:themeColor="hyperlink"/>
      <w:u w:val="single"/>
    </w:rPr>
  </w:style>
  <w:style w:type="paragraph" w:styleId="Encabezado">
    <w:name w:val="header"/>
    <w:basedOn w:val="Normal"/>
    <w:link w:val="EncabezadoCar"/>
    <w:uiPriority w:val="99"/>
    <w:unhideWhenUsed/>
    <w:rsid w:val="003D1B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B20"/>
  </w:style>
  <w:style w:type="paragraph" w:styleId="Piedepgina">
    <w:name w:val="footer"/>
    <w:basedOn w:val="Normal"/>
    <w:link w:val="PiedepginaCar"/>
    <w:uiPriority w:val="99"/>
    <w:unhideWhenUsed/>
    <w:rsid w:val="003D1B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B20"/>
  </w:style>
  <w:style w:type="paragraph" w:styleId="Textodeglobo">
    <w:name w:val="Balloon Text"/>
    <w:basedOn w:val="Normal"/>
    <w:link w:val="TextodegloboCar"/>
    <w:uiPriority w:val="99"/>
    <w:semiHidden/>
    <w:unhideWhenUsed/>
    <w:rsid w:val="00640A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A53"/>
    <w:rPr>
      <w:rFonts w:ascii="Segoe UI" w:hAnsi="Segoe UI" w:cs="Segoe UI"/>
      <w:sz w:val="18"/>
      <w:szCs w:val="18"/>
    </w:rPr>
  </w:style>
  <w:style w:type="table" w:styleId="Tablaconcuadrcula">
    <w:name w:val="Table Grid"/>
    <w:basedOn w:val="Tablanormal"/>
    <w:uiPriority w:val="59"/>
    <w:rsid w:val="000C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896D-0312-49CF-B1DE-820B785A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Patricia Gloria Jurado Alonso</dc:creator>
  <cp:lastModifiedBy>Brenda Sarahi Gonzalez Dominguez</cp:lastModifiedBy>
  <cp:revision>2</cp:revision>
  <cp:lastPrinted>2023-03-22T19:04:00Z</cp:lastPrinted>
  <dcterms:created xsi:type="dcterms:W3CDTF">2023-06-28T17:45:00Z</dcterms:created>
  <dcterms:modified xsi:type="dcterms:W3CDTF">2023-06-28T17:45:00Z</dcterms:modified>
</cp:coreProperties>
</file>