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B7F09" w14:textId="77777777" w:rsidR="00B05008" w:rsidRPr="00ED5AF2" w:rsidRDefault="0000547A" w:rsidP="001A4EBF">
      <w:pPr>
        <w:spacing w:afterLines="100" w:after="240" w:line="480" w:lineRule="auto"/>
        <w:jc w:val="both"/>
        <w:rPr>
          <w:rFonts w:ascii="Century Gothic" w:eastAsia="Century Gothic" w:hAnsi="Century Gothic" w:cs="Century Gothic"/>
          <w:b/>
          <w:sz w:val="24"/>
          <w:szCs w:val="24"/>
        </w:rPr>
      </w:pPr>
      <w:bookmarkStart w:id="0" w:name="_GoBack"/>
      <w:bookmarkEnd w:id="0"/>
      <w:r w:rsidRPr="00ED5AF2">
        <w:rPr>
          <w:rFonts w:ascii="Century Gothic" w:eastAsia="Century Gothic" w:hAnsi="Century Gothic" w:cs="Century Gothic"/>
          <w:b/>
          <w:sz w:val="24"/>
          <w:szCs w:val="24"/>
        </w:rPr>
        <w:t>H. CONGRESO DEL ESTADO DE CHIHUAHUA</w:t>
      </w:r>
    </w:p>
    <w:p w14:paraId="36E52E66" w14:textId="77777777" w:rsidR="00B05008" w:rsidRPr="00ED5AF2" w:rsidRDefault="0000547A" w:rsidP="001A4EBF">
      <w:pPr>
        <w:spacing w:afterLines="100" w:after="240" w:line="480" w:lineRule="auto"/>
        <w:jc w:val="both"/>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 xml:space="preserve">P R E S E N T E. </w:t>
      </w:r>
    </w:p>
    <w:p w14:paraId="1131C664" w14:textId="6DEBA7C2" w:rsidR="00B05008" w:rsidRPr="00744E12" w:rsidRDefault="0000547A" w:rsidP="001A4EBF">
      <w:pPr>
        <w:spacing w:afterLines="120" w:after="288" w:line="480" w:lineRule="auto"/>
        <w:jc w:val="both"/>
        <w:rPr>
          <w:rFonts w:ascii="Century Gothic" w:eastAsia="Century Gothic" w:hAnsi="Century Gothic" w:cs="Century Gothic"/>
          <w:b/>
          <w:bCs/>
          <w:sz w:val="24"/>
          <w:szCs w:val="24"/>
        </w:rPr>
      </w:pPr>
      <w:r w:rsidRPr="00ED5AF2">
        <w:rPr>
          <w:rFonts w:ascii="Century Gothic" w:eastAsia="Century Gothic" w:hAnsi="Century Gothic" w:cs="Century Gothic"/>
          <w:sz w:val="24"/>
          <w:szCs w:val="24"/>
        </w:rPr>
        <w:t xml:space="preserve">Los que suscriben </w:t>
      </w:r>
      <w:r w:rsidRPr="00ED5AF2">
        <w:rPr>
          <w:rFonts w:ascii="Century Gothic" w:eastAsia="Century Gothic" w:hAnsi="Century Gothic" w:cs="Century Gothic"/>
          <w:b/>
          <w:sz w:val="24"/>
          <w:szCs w:val="24"/>
        </w:rPr>
        <w:t xml:space="preserve">Leticia Ortega Máynez, Edin Cuauhtémoc Estrada Sotelo, Óscar Daniel Avitia Arellanes, Rosana Díaz Reyes, Gustavo De la Rosa </w:t>
      </w:r>
      <w:proofErr w:type="spellStart"/>
      <w:r w:rsidRPr="00ED5AF2">
        <w:rPr>
          <w:rFonts w:ascii="Century Gothic" w:eastAsia="Century Gothic" w:hAnsi="Century Gothic" w:cs="Century Gothic"/>
          <w:b/>
          <w:sz w:val="24"/>
          <w:szCs w:val="24"/>
        </w:rPr>
        <w:t>Hickerson</w:t>
      </w:r>
      <w:proofErr w:type="spellEnd"/>
      <w:r w:rsidRPr="00ED5AF2">
        <w:rPr>
          <w:rFonts w:ascii="Century Gothic" w:eastAsia="Century Gothic" w:hAnsi="Century Gothic" w:cs="Century Gothic"/>
          <w:b/>
          <w:sz w:val="24"/>
          <w:szCs w:val="24"/>
        </w:rPr>
        <w:t>, Magdalena Rentería Pérez, María Antonieta Pérez Reyes, Adriana Terrazas Porras, Benjamín Carrera Chávez</w:t>
      </w:r>
      <w:r w:rsidR="008A2FA2">
        <w:rPr>
          <w:rFonts w:ascii="Century Gothic" w:eastAsia="Century Gothic" w:hAnsi="Century Gothic" w:cs="Century Gothic"/>
          <w:b/>
          <w:sz w:val="24"/>
          <w:szCs w:val="24"/>
        </w:rPr>
        <w:t>,</w:t>
      </w:r>
      <w:r w:rsidR="0020395B" w:rsidRPr="00ED5AF2">
        <w:rPr>
          <w:rFonts w:ascii="Century Gothic" w:eastAsia="Century Gothic" w:hAnsi="Century Gothic" w:cs="Century Gothic"/>
          <w:b/>
          <w:sz w:val="24"/>
          <w:szCs w:val="24"/>
        </w:rPr>
        <w:t xml:space="preserve"> </w:t>
      </w:r>
      <w:r w:rsidRPr="00ED5AF2">
        <w:rPr>
          <w:rFonts w:ascii="Century Gothic" w:eastAsia="Century Gothic" w:hAnsi="Century Gothic" w:cs="Century Gothic"/>
          <w:b/>
          <w:sz w:val="24"/>
          <w:szCs w:val="24"/>
        </w:rPr>
        <w:t>David Óscar Castrejón Rivas</w:t>
      </w:r>
      <w:r w:rsidR="008A2FA2">
        <w:rPr>
          <w:rFonts w:ascii="Century Gothic" w:eastAsia="Century Gothic" w:hAnsi="Century Gothic" w:cs="Century Gothic"/>
          <w:b/>
          <w:sz w:val="24"/>
          <w:szCs w:val="24"/>
        </w:rPr>
        <w:t xml:space="preserve"> y América García Soto</w:t>
      </w:r>
      <w:r w:rsidRPr="00ED5AF2">
        <w:rPr>
          <w:rFonts w:ascii="Century Gothic" w:eastAsia="Century Gothic" w:hAnsi="Century Gothic" w:cs="Century Gothic"/>
          <w:b/>
          <w:sz w:val="24"/>
          <w:szCs w:val="24"/>
        </w:rPr>
        <w:t xml:space="preserve">, </w:t>
      </w:r>
      <w:r w:rsidRPr="00ED5AF2">
        <w:rPr>
          <w:rFonts w:ascii="Century Gothic" w:eastAsia="Century Gothic" w:hAnsi="Century Gothic" w:cs="Century Gothic"/>
          <w:sz w:val="24"/>
          <w:szCs w:val="24"/>
        </w:rPr>
        <w:t>en nuestro carácter de Diputadas y Diputados de la Sexagésima Séptima Legislatura del Honorable Congreso del Estado de Chihuahua e integrantes d</w:t>
      </w:r>
      <w:r w:rsidR="00681A87" w:rsidRPr="00ED5AF2">
        <w:rPr>
          <w:rFonts w:ascii="Century Gothic" w:eastAsia="Century Gothic" w:hAnsi="Century Gothic" w:cs="Century Gothic"/>
          <w:sz w:val="24"/>
          <w:szCs w:val="24"/>
        </w:rPr>
        <w:t>e</w:t>
      </w:r>
      <w:r w:rsidR="00113DE2" w:rsidRPr="00ED5AF2">
        <w:rPr>
          <w:rFonts w:ascii="Century Gothic" w:eastAsia="Century Gothic" w:hAnsi="Century Gothic" w:cs="Century Gothic"/>
          <w:sz w:val="24"/>
          <w:szCs w:val="24"/>
        </w:rPr>
        <w:t xml:space="preserve">l </w:t>
      </w:r>
      <w:r w:rsidR="00681A87" w:rsidRPr="00ED5AF2">
        <w:rPr>
          <w:rFonts w:ascii="Century Gothic" w:eastAsia="Century Gothic" w:hAnsi="Century Gothic" w:cs="Century Gothic"/>
          <w:b/>
          <w:bCs/>
          <w:sz w:val="24"/>
          <w:szCs w:val="24"/>
        </w:rPr>
        <w:t>Grupos</w:t>
      </w:r>
      <w:r w:rsidR="00681A87" w:rsidRPr="00ED5AF2">
        <w:rPr>
          <w:rFonts w:ascii="Century Gothic" w:eastAsia="Century Gothic" w:hAnsi="Century Gothic" w:cs="Century Gothic"/>
          <w:b/>
          <w:sz w:val="24"/>
          <w:szCs w:val="24"/>
        </w:rPr>
        <w:t xml:space="preserve"> P</w:t>
      </w:r>
      <w:r w:rsidRPr="00ED5AF2">
        <w:rPr>
          <w:rFonts w:ascii="Century Gothic" w:eastAsia="Century Gothic" w:hAnsi="Century Gothic" w:cs="Century Gothic"/>
          <w:b/>
          <w:sz w:val="24"/>
          <w:szCs w:val="24"/>
        </w:rPr>
        <w:t>arlamentario de MORENA</w:t>
      </w:r>
      <w:r w:rsidRPr="00ED5AF2">
        <w:rPr>
          <w:rFonts w:ascii="Century Gothic" w:eastAsia="Century Gothic" w:hAnsi="Century Gothic" w:cs="Century Gothic"/>
          <w:sz w:val="24"/>
          <w:szCs w:val="24"/>
        </w:rPr>
        <w:t>,</w:t>
      </w:r>
      <w:r w:rsidR="0020395B" w:rsidRPr="00ED5AF2">
        <w:rPr>
          <w:rFonts w:ascii="Century Gothic" w:eastAsia="Century Gothic" w:hAnsi="Century Gothic" w:cs="Century Gothic"/>
          <w:sz w:val="24"/>
          <w:szCs w:val="24"/>
        </w:rPr>
        <w:t xml:space="preserve"> </w:t>
      </w:r>
      <w:r w:rsidRPr="00ED5AF2">
        <w:rPr>
          <w:rFonts w:ascii="Century Gothic" w:eastAsia="Century Gothic" w:hAnsi="Century Gothic" w:cs="Century Gothic"/>
          <w:sz w:val="24"/>
          <w:szCs w:val="24"/>
        </w:rPr>
        <w:t xml:space="preserve">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Pr="00ED5AF2">
        <w:rPr>
          <w:rFonts w:ascii="Century Gothic" w:eastAsia="Century Gothic" w:hAnsi="Century Gothic" w:cs="Century Gothic"/>
          <w:b/>
          <w:sz w:val="24"/>
          <w:szCs w:val="24"/>
        </w:rPr>
        <w:t>carácter de DECRETO</w:t>
      </w:r>
      <w:r w:rsidRPr="00ED5AF2">
        <w:rPr>
          <w:rFonts w:ascii="Century Gothic" w:eastAsia="Century Gothic" w:hAnsi="Century Gothic" w:cs="Century Gothic"/>
          <w:sz w:val="24"/>
          <w:szCs w:val="24"/>
        </w:rPr>
        <w:t xml:space="preserve">, </w:t>
      </w:r>
      <w:r w:rsidRPr="00ED5AF2">
        <w:rPr>
          <w:rFonts w:ascii="Century Gothic" w:eastAsia="Century Gothic" w:hAnsi="Century Gothic" w:cs="Century Gothic"/>
          <w:b/>
          <w:sz w:val="24"/>
          <w:szCs w:val="24"/>
        </w:rPr>
        <w:t>por medio del cual</w:t>
      </w:r>
      <w:r w:rsidR="00C5028B" w:rsidRPr="00ED5AF2">
        <w:rPr>
          <w:rFonts w:ascii="Century Gothic" w:eastAsia="Century Gothic" w:hAnsi="Century Gothic" w:cs="Century Gothic"/>
          <w:b/>
          <w:sz w:val="24"/>
          <w:szCs w:val="24"/>
        </w:rPr>
        <w:t xml:space="preserve"> </w:t>
      </w:r>
      <w:r w:rsidR="00744E12" w:rsidRPr="00007A28">
        <w:rPr>
          <w:rFonts w:ascii="Century Gothic" w:eastAsia="Century Gothic" w:hAnsi="Century Gothic" w:cs="Century Gothic"/>
          <w:b/>
          <w:sz w:val="24"/>
          <w:szCs w:val="24"/>
        </w:rPr>
        <w:t>s</w:t>
      </w:r>
      <w:r w:rsidR="00744E12">
        <w:rPr>
          <w:rFonts w:ascii="Century Gothic" w:eastAsia="Century Gothic" w:hAnsi="Century Gothic" w:cs="Century Gothic"/>
          <w:b/>
          <w:sz w:val="24"/>
          <w:szCs w:val="24"/>
        </w:rPr>
        <w:t>e adiciona un último párrafo al artículo 13 de la Ley de Fiscalización del Estado de Chihuahua</w:t>
      </w:r>
      <w:r w:rsidR="00C5028B" w:rsidRPr="00ED5AF2">
        <w:rPr>
          <w:rFonts w:ascii="Century Gothic" w:eastAsia="Century Gothic" w:hAnsi="Century Gothic" w:cs="Century Gothic"/>
          <w:b/>
          <w:bCs/>
          <w:sz w:val="24"/>
          <w:szCs w:val="24"/>
        </w:rPr>
        <w:t>,</w:t>
      </w:r>
      <w:r w:rsidRPr="00ED5AF2">
        <w:rPr>
          <w:rFonts w:ascii="Century Gothic" w:eastAsia="Century Gothic" w:hAnsi="Century Gothic" w:cs="Century Gothic"/>
          <w:sz w:val="24"/>
          <w:szCs w:val="24"/>
        </w:rPr>
        <w:t xml:space="preserve"> con sustento en la siguiente:</w:t>
      </w:r>
    </w:p>
    <w:p w14:paraId="70E46BE9" w14:textId="77777777" w:rsidR="00FD6878" w:rsidRPr="00ED5AF2" w:rsidRDefault="00FD6878" w:rsidP="001A4EBF">
      <w:pPr>
        <w:spacing w:afterLines="100" w:after="240" w:line="480" w:lineRule="auto"/>
        <w:jc w:val="both"/>
        <w:rPr>
          <w:rFonts w:ascii="Century Gothic" w:eastAsia="Century Gothic" w:hAnsi="Century Gothic" w:cs="Century Gothic"/>
          <w:b/>
          <w:sz w:val="24"/>
          <w:szCs w:val="24"/>
        </w:rPr>
      </w:pPr>
    </w:p>
    <w:p w14:paraId="0903BEAF" w14:textId="46817EA5" w:rsidR="00B05008" w:rsidRPr="00001978" w:rsidRDefault="0000547A" w:rsidP="001A4EBF">
      <w:pPr>
        <w:spacing w:afterLines="100" w:after="240" w:line="480" w:lineRule="auto"/>
        <w:jc w:val="center"/>
        <w:rPr>
          <w:rFonts w:ascii="Century Gothic" w:eastAsia="Century Gothic" w:hAnsi="Century Gothic" w:cs="Century Gothic"/>
          <w:b/>
          <w:sz w:val="24"/>
          <w:szCs w:val="24"/>
        </w:rPr>
      </w:pPr>
      <w:r w:rsidRPr="00001978">
        <w:rPr>
          <w:rFonts w:ascii="Century Gothic" w:eastAsia="Century Gothic" w:hAnsi="Century Gothic" w:cs="Century Gothic"/>
          <w:b/>
          <w:sz w:val="24"/>
          <w:szCs w:val="24"/>
        </w:rPr>
        <w:lastRenderedPageBreak/>
        <w:t>EXPOSICIÓN DE MOTIVOS:</w:t>
      </w:r>
    </w:p>
    <w:p w14:paraId="2868BFC6" w14:textId="19109219" w:rsidR="008A2FA2" w:rsidRPr="008A2FA2" w:rsidRDefault="008A2FA2" w:rsidP="001A4EBF">
      <w:pPr>
        <w:spacing w:after="120" w:line="480" w:lineRule="auto"/>
        <w:jc w:val="both"/>
        <w:rPr>
          <w:rFonts w:ascii="Century Gothic" w:hAnsi="Century Gothic" w:cs="Arial"/>
          <w:sz w:val="24"/>
          <w:szCs w:val="24"/>
        </w:rPr>
      </w:pPr>
      <w:bookmarkStart w:id="1" w:name="_gjdgxs" w:colFirst="0" w:colLast="0"/>
      <w:bookmarkEnd w:id="1"/>
      <w:r w:rsidRPr="008A2FA2">
        <w:rPr>
          <w:rFonts w:ascii="Century Gothic" w:hAnsi="Century Gothic" w:cs="Arial"/>
          <w:sz w:val="24"/>
          <w:szCs w:val="24"/>
        </w:rPr>
        <w:t xml:space="preserve">La cuenta pública es el informe sobre la gestión financiera que rinden al Poder Legislativo, los </w:t>
      </w:r>
      <w:r w:rsidR="00744E12">
        <w:rPr>
          <w:rFonts w:ascii="Century Gothic" w:hAnsi="Century Gothic" w:cs="Arial"/>
          <w:sz w:val="24"/>
          <w:szCs w:val="24"/>
        </w:rPr>
        <w:t>e</w:t>
      </w:r>
      <w:r w:rsidRPr="008A2FA2">
        <w:rPr>
          <w:rFonts w:ascii="Century Gothic" w:hAnsi="Century Gothic" w:cs="Arial"/>
          <w:sz w:val="24"/>
          <w:szCs w:val="24"/>
        </w:rPr>
        <w:t>ntes públicos en los términos establecidos en la Ley General de Contabilidad Gubernamental, la Ley de Disciplina Financiera de las Entidades Federativas y los Municipios, y la Ley de Presupuesto de Egresos, Contabilidad Gubernamental y Gasto Público del Estado de Chihuahua.</w:t>
      </w:r>
    </w:p>
    <w:p w14:paraId="5591E40C" w14:textId="41466DDC"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Es a partir de este informe que es posible:</w:t>
      </w:r>
    </w:p>
    <w:p w14:paraId="58E68762" w14:textId="77777777" w:rsidR="008A2FA2" w:rsidRPr="008A2FA2" w:rsidRDefault="008A2FA2" w:rsidP="001A4EBF">
      <w:pPr>
        <w:pStyle w:val="Prrafodelista"/>
        <w:numPr>
          <w:ilvl w:val="0"/>
          <w:numId w:val="11"/>
        </w:numPr>
        <w:spacing w:after="120" w:line="480" w:lineRule="auto"/>
        <w:jc w:val="both"/>
        <w:rPr>
          <w:rFonts w:ascii="Century Gothic" w:hAnsi="Century Gothic" w:cs="Arial"/>
          <w:sz w:val="24"/>
          <w:szCs w:val="24"/>
        </w:rPr>
      </w:pPr>
      <w:r w:rsidRPr="008A2FA2">
        <w:rPr>
          <w:rFonts w:ascii="Century Gothic" w:hAnsi="Century Gothic" w:cs="Arial"/>
          <w:sz w:val="24"/>
          <w:szCs w:val="24"/>
        </w:rPr>
        <w:t>Revisar la ejecución del presupuesto de las entidades fiscalizadas, para verificar la forma y términos en que los ingresos fueron recaudados, obtenidos, captados y administrados;</w:t>
      </w:r>
    </w:p>
    <w:p w14:paraId="1EE4B171" w14:textId="6746FE98" w:rsidR="008A2FA2" w:rsidRPr="008A2FA2" w:rsidRDefault="008A2FA2" w:rsidP="001A4EBF">
      <w:pPr>
        <w:pStyle w:val="Prrafodelista"/>
        <w:numPr>
          <w:ilvl w:val="0"/>
          <w:numId w:val="11"/>
        </w:numPr>
        <w:spacing w:after="120" w:line="480" w:lineRule="auto"/>
        <w:jc w:val="both"/>
        <w:rPr>
          <w:rFonts w:ascii="Century Gothic" w:hAnsi="Century Gothic" w:cs="Arial"/>
          <w:sz w:val="24"/>
          <w:szCs w:val="24"/>
        </w:rPr>
      </w:pPr>
      <w:r w:rsidRPr="008A2FA2">
        <w:rPr>
          <w:rFonts w:ascii="Century Gothic" w:hAnsi="Century Gothic" w:cs="Arial"/>
          <w:sz w:val="24"/>
          <w:szCs w:val="24"/>
        </w:rPr>
        <w:t xml:space="preserve">Constatar que los recursos provenientes de financiamientos, empréstitos y otras obligaciones se contrataron, recibieron y aplicaron de conformidad con lo aprobado y las disposiciones normativas aplicables; </w:t>
      </w:r>
      <w:r w:rsidR="001A4EBF">
        <w:rPr>
          <w:rFonts w:ascii="Century Gothic" w:hAnsi="Century Gothic" w:cs="Arial"/>
          <w:sz w:val="24"/>
          <w:szCs w:val="24"/>
        </w:rPr>
        <w:t>y</w:t>
      </w:r>
    </w:p>
    <w:p w14:paraId="4677F2AC" w14:textId="29A1FD9D" w:rsidR="008A2FA2" w:rsidRPr="008A2FA2" w:rsidRDefault="008A2FA2" w:rsidP="001A4EBF">
      <w:pPr>
        <w:pStyle w:val="Prrafodelista"/>
        <w:numPr>
          <w:ilvl w:val="0"/>
          <w:numId w:val="11"/>
        </w:numPr>
        <w:spacing w:after="120" w:line="480" w:lineRule="auto"/>
        <w:jc w:val="both"/>
        <w:rPr>
          <w:rFonts w:ascii="Century Gothic" w:hAnsi="Century Gothic" w:cs="Arial"/>
          <w:sz w:val="24"/>
          <w:szCs w:val="24"/>
        </w:rPr>
      </w:pPr>
      <w:r w:rsidRPr="008A2FA2">
        <w:rPr>
          <w:rFonts w:ascii="Century Gothic" w:hAnsi="Century Gothic" w:cs="Arial"/>
          <w:sz w:val="24"/>
          <w:szCs w:val="24"/>
        </w:rPr>
        <w:t>Revisar que los egresos se ejercieron en los conceptos y partidas autorizados, la contratación de servicios y obra pública, las adquisiciones, arrendamientos, subsidios, aportaciones, donativos, transferencias, aportaciones a fondos, fideicomisos y demás instrumentos financieros.</w:t>
      </w:r>
    </w:p>
    <w:p w14:paraId="02A59A4A"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lastRenderedPageBreak/>
        <w:t xml:space="preserve">De acuerdo con los plazos establecidos en la Ley de Fiscalización del Estado, la Cuenta Pública de Gobierno del Estado del ejercicio fiscal correspondiente deberá ser presentada ante el Congreso, a través de la Auditoría Superior, a más tardar el último día del mes de febrero del año siguiente. </w:t>
      </w:r>
    </w:p>
    <w:p w14:paraId="261CA848" w14:textId="3FD4A939"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 xml:space="preserve">Mientras que en el caso de los municipios esta debe ser presentada a la Auditoría Superior por quien ocupe la titularidad de la Presidencia Municipal o por la persona titular de la dependencia encargada de las finanzas públicas, a más tardar el último día del mes enero del año siguiente. Solo </w:t>
      </w:r>
      <w:r w:rsidR="001A4EBF">
        <w:rPr>
          <w:rFonts w:ascii="Century Gothic" w:hAnsi="Century Gothic" w:cs="Arial"/>
          <w:sz w:val="24"/>
          <w:szCs w:val="24"/>
        </w:rPr>
        <w:t xml:space="preserve">en </w:t>
      </w:r>
      <w:r w:rsidRPr="008A2FA2">
        <w:rPr>
          <w:rFonts w:ascii="Century Gothic" w:hAnsi="Century Gothic" w:cs="Arial"/>
          <w:sz w:val="24"/>
          <w:szCs w:val="24"/>
        </w:rPr>
        <w:t xml:space="preserve">el caso de los Municipios de Chihuahua y Juárez, </w:t>
      </w:r>
      <w:r w:rsidR="001A4EBF">
        <w:rPr>
          <w:rFonts w:ascii="Century Gothic" w:hAnsi="Century Gothic" w:cs="Arial"/>
          <w:sz w:val="24"/>
          <w:szCs w:val="24"/>
        </w:rPr>
        <w:t xml:space="preserve">es </w:t>
      </w:r>
      <w:r w:rsidRPr="008A2FA2">
        <w:rPr>
          <w:rFonts w:ascii="Century Gothic" w:hAnsi="Century Gothic" w:cs="Arial"/>
          <w:sz w:val="24"/>
          <w:szCs w:val="24"/>
        </w:rPr>
        <w:t xml:space="preserve">a más tardar el último día del mes de febrero. </w:t>
      </w:r>
    </w:p>
    <w:p w14:paraId="347089C2"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La Auditoría Superior posteriormente informa a la Comisión de Fiscalización en un plazo no mayor a cinco días hábiles contados a partir de la fecha establecida en este artículo, el incumplimiento de dicha obligación por parte de los entes públicos.</w:t>
      </w:r>
    </w:p>
    <w:p w14:paraId="5C619969"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 xml:space="preserve">La ley en la materia establece que con independencia de si la entidad fiscalizada entrego y omite la entrega la cuenta pública en el plazo establecido, la Auditoría Superior iniciará el proceso de Fiscalización Superior de la gestión financiera. Sin embargo, es importante que tal omisión sea observada, investigada y sancionada, ya que es una evidencia clara de </w:t>
      </w:r>
      <w:r w:rsidRPr="008A2FA2">
        <w:rPr>
          <w:rFonts w:ascii="Century Gothic" w:hAnsi="Century Gothic" w:cs="Arial"/>
          <w:sz w:val="24"/>
          <w:szCs w:val="24"/>
        </w:rPr>
        <w:lastRenderedPageBreak/>
        <w:t>que el ente público no lleva un control adecuado de la ejecución del presupuesto ni de la recaudación de los ingresos.</w:t>
      </w:r>
    </w:p>
    <w:p w14:paraId="27474B5B" w14:textId="5C6CC4D3"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Generalmente son las entidades que no entregan la cuenta pública las que posteriormente tienen elevado núme</w:t>
      </w:r>
      <w:r w:rsidR="001A4EBF">
        <w:rPr>
          <w:rFonts w:ascii="Century Gothic" w:hAnsi="Century Gothic" w:cs="Arial"/>
          <w:sz w:val="24"/>
          <w:szCs w:val="24"/>
        </w:rPr>
        <w:t>r</w:t>
      </w:r>
      <w:r w:rsidRPr="008A2FA2">
        <w:rPr>
          <w:rFonts w:ascii="Century Gothic" w:hAnsi="Century Gothic" w:cs="Arial"/>
          <w:sz w:val="24"/>
          <w:szCs w:val="24"/>
        </w:rPr>
        <w:t xml:space="preserve">o observaciones respecto a la carencia de sistemas de registro y contabilidad gubernamental; contratación de servicios, obra pública, adquisiciones, arrendamientos, conservación, uso, destino, afectación, enajenación y baja de bienes muebles e inmuebles, y demás normatividad aplicable al ejercicio del gasto público. </w:t>
      </w:r>
    </w:p>
    <w:p w14:paraId="75229F59"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El 8 de febrero, la Auditoría Superior del Estado hizo entrega del oficio DAS/019/2022, en el que informa sobre el cumplimiento de la presentación de la Cuenta Pública Anual de los 67 Municipios en relación con el ejercicio fiscal 2021.</w:t>
      </w:r>
    </w:p>
    <w:p w14:paraId="4C480980"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En el oficio se informa al Congreso, que cinco Municipios no presentaron la Cuenta Pública 2021:</w:t>
      </w:r>
    </w:p>
    <w:p w14:paraId="02A14A32" w14:textId="77777777" w:rsidR="008A2FA2" w:rsidRPr="008A2FA2" w:rsidRDefault="008A2FA2" w:rsidP="001A4EBF">
      <w:pPr>
        <w:pStyle w:val="Prrafodelista"/>
        <w:numPr>
          <w:ilvl w:val="0"/>
          <w:numId w:val="12"/>
        </w:numPr>
        <w:spacing w:after="120" w:line="480" w:lineRule="auto"/>
        <w:jc w:val="both"/>
        <w:rPr>
          <w:rFonts w:ascii="Century Gothic" w:hAnsi="Century Gothic" w:cs="Arial"/>
          <w:sz w:val="24"/>
          <w:szCs w:val="24"/>
        </w:rPr>
      </w:pPr>
      <w:r w:rsidRPr="008A2FA2">
        <w:rPr>
          <w:rFonts w:ascii="Century Gothic" w:hAnsi="Century Gothic" w:cs="Arial"/>
          <w:sz w:val="24"/>
          <w:szCs w:val="24"/>
        </w:rPr>
        <w:t>Ahumada</w:t>
      </w:r>
    </w:p>
    <w:p w14:paraId="00A819B7" w14:textId="77777777" w:rsidR="008A2FA2" w:rsidRPr="008A2FA2" w:rsidRDefault="008A2FA2" w:rsidP="001A4EBF">
      <w:pPr>
        <w:pStyle w:val="Prrafodelista"/>
        <w:numPr>
          <w:ilvl w:val="0"/>
          <w:numId w:val="12"/>
        </w:numPr>
        <w:spacing w:after="120" w:line="480" w:lineRule="auto"/>
        <w:jc w:val="both"/>
        <w:rPr>
          <w:rFonts w:ascii="Century Gothic" w:hAnsi="Century Gothic" w:cs="Arial"/>
          <w:sz w:val="24"/>
          <w:szCs w:val="24"/>
        </w:rPr>
      </w:pPr>
      <w:r w:rsidRPr="008A2FA2">
        <w:rPr>
          <w:rFonts w:ascii="Century Gothic" w:hAnsi="Century Gothic" w:cs="Arial"/>
          <w:sz w:val="24"/>
          <w:szCs w:val="24"/>
        </w:rPr>
        <w:t>Guadalupe</w:t>
      </w:r>
    </w:p>
    <w:p w14:paraId="4BEF21C7" w14:textId="77777777" w:rsidR="008A2FA2" w:rsidRPr="008A2FA2" w:rsidRDefault="008A2FA2" w:rsidP="001A4EBF">
      <w:pPr>
        <w:pStyle w:val="Prrafodelista"/>
        <w:numPr>
          <w:ilvl w:val="0"/>
          <w:numId w:val="12"/>
        </w:numPr>
        <w:spacing w:after="120" w:line="480" w:lineRule="auto"/>
        <w:jc w:val="both"/>
        <w:rPr>
          <w:rFonts w:ascii="Century Gothic" w:hAnsi="Century Gothic" w:cs="Arial"/>
          <w:sz w:val="24"/>
          <w:szCs w:val="24"/>
        </w:rPr>
      </w:pPr>
      <w:r w:rsidRPr="008A2FA2">
        <w:rPr>
          <w:rFonts w:ascii="Century Gothic" w:hAnsi="Century Gothic" w:cs="Arial"/>
          <w:sz w:val="24"/>
          <w:szCs w:val="24"/>
        </w:rPr>
        <w:t>Guadalupe y Calvo</w:t>
      </w:r>
    </w:p>
    <w:p w14:paraId="2FEFA4C8" w14:textId="77777777" w:rsidR="008A2FA2" w:rsidRPr="008A2FA2" w:rsidRDefault="008A2FA2" w:rsidP="001A4EBF">
      <w:pPr>
        <w:pStyle w:val="Prrafodelista"/>
        <w:numPr>
          <w:ilvl w:val="0"/>
          <w:numId w:val="12"/>
        </w:numPr>
        <w:spacing w:after="120" w:line="480" w:lineRule="auto"/>
        <w:jc w:val="both"/>
        <w:rPr>
          <w:rFonts w:ascii="Century Gothic" w:hAnsi="Century Gothic" w:cs="Arial"/>
          <w:sz w:val="24"/>
          <w:szCs w:val="24"/>
        </w:rPr>
      </w:pPr>
      <w:proofErr w:type="spellStart"/>
      <w:r w:rsidRPr="008A2FA2">
        <w:rPr>
          <w:rFonts w:ascii="Century Gothic" w:hAnsi="Century Gothic" w:cs="Arial"/>
          <w:sz w:val="24"/>
          <w:szCs w:val="24"/>
        </w:rPr>
        <w:t>Praxedis</w:t>
      </w:r>
      <w:proofErr w:type="spellEnd"/>
      <w:r w:rsidRPr="008A2FA2">
        <w:rPr>
          <w:rFonts w:ascii="Century Gothic" w:hAnsi="Century Gothic" w:cs="Arial"/>
          <w:sz w:val="24"/>
          <w:szCs w:val="24"/>
        </w:rPr>
        <w:t xml:space="preserve"> G. Guerrero</w:t>
      </w:r>
    </w:p>
    <w:p w14:paraId="17915D0F" w14:textId="77777777" w:rsidR="008A2FA2" w:rsidRPr="008A2FA2" w:rsidRDefault="008A2FA2" w:rsidP="001A4EBF">
      <w:pPr>
        <w:pStyle w:val="Prrafodelista"/>
        <w:numPr>
          <w:ilvl w:val="0"/>
          <w:numId w:val="12"/>
        </w:numPr>
        <w:spacing w:after="120" w:line="480" w:lineRule="auto"/>
        <w:jc w:val="both"/>
        <w:rPr>
          <w:rFonts w:ascii="Century Gothic" w:hAnsi="Century Gothic" w:cs="Arial"/>
          <w:sz w:val="24"/>
          <w:szCs w:val="24"/>
        </w:rPr>
      </w:pPr>
      <w:r w:rsidRPr="008A2FA2">
        <w:rPr>
          <w:rFonts w:ascii="Century Gothic" w:hAnsi="Century Gothic" w:cs="Arial"/>
          <w:sz w:val="24"/>
          <w:szCs w:val="24"/>
        </w:rPr>
        <w:t>Rosales</w:t>
      </w:r>
    </w:p>
    <w:p w14:paraId="3EABB81B"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En el caso de Rosales, por ejemplo, el Titular de la Tesorería, manifestó que no contaba con la información en los equipos de cómputo ni en los archivos físicos resguardados</w:t>
      </w:r>
    </w:p>
    <w:p w14:paraId="5CC2AB5D"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Si se hace un comparativo de esos cinco municipios que no entregaron la cuenta pública con las observaciones sobre faltas administrativas y denuncias que se determinaron en el ejercicio fiscal 2020, se advierte que podría hay una relación entre la negligencia de no presentar la información y el posterior número de observaciones.</w:t>
      </w:r>
    </w:p>
    <w:tbl>
      <w:tblPr>
        <w:tblStyle w:val="Tablaconcuadrcula"/>
        <w:tblW w:w="0" w:type="auto"/>
        <w:tblLook w:val="04A0" w:firstRow="1" w:lastRow="0" w:firstColumn="1" w:lastColumn="0" w:noHBand="0" w:noVBand="1"/>
      </w:tblPr>
      <w:tblGrid>
        <w:gridCol w:w="2218"/>
        <w:gridCol w:w="2197"/>
        <w:gridCol w:w="2198"/>
        <w:gridCol w:w="2215"/>
      </w:tblGrid>
      <w:tr w:rsidR="008A2FA2" w:rsidRPr="008A2FA2" w14:paraId="4C47AA83" w14:textId="77777777" w:rsidTr="004A27FA">
        <w:tc>
          <w:tcPr>
            <w:tcW w:w="2244" w:type="dxa"/>
          </w:tcPr>
          <w:p w14:paraId="3334FA88"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Municipio</w:t>
            </w:r>
          </w:p>
        </w:tc>
        <w:tc>
          <w:tcPr>
            <w:tcW w:w="2244" w:type="dxa"/>
          </w:tcPr>
          <w:p w14:paraId="127C14E4"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Faltas no graves</w:t>
            </w:r>
          </w:p>
        </w:tc>
        <w:tc>
          <w:tcPr>
            <w:tcW w:w="2245" w:type="dxa"/>
          </w:tcPr>
          <w:p w14:paraId="3D3A2E5E"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Faltas graves</w:t>
            </w:r>
          </w:p>
        </w:tc>
        <w:tc>
          <w:tcPr>
            <w:tcW w:w="2245" w:type="dxa"/>
          </w:tcPr>
          <w:p w14:paraId="7C11A72F"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Denuncias de hechos</w:t>
            </w:r>
          </w:p>
        </w:tc>
      </w:tr>
      <w:tr w:rsidR="008A2FA2" w:rsidRPr="008A2FA2" w14:paraId="13F832D1" w14:textId="77777777" w:rsidTr="004A27FA">
        <w:tc>
          <w:tcPr>
            <w:tcW w:w="2244" w:type="dxa"/>
          </w:tcPr>
          <w:p w14:paraId="746547EA"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Ahumada</w:t>
            </w:r>
          </w:p>
        </w:tc>
        <w:tc>
          <w:tcPr>
            <w:tcW w:w="2244" w:type="dxa"/>
          </w:tcPr>
          <w:p w14:paraId="6C84E486"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10</w:t>
            </w:r>
          </w:p>
        </w:tc>
        <w:tc>
          <w:tcPr>
            <w:tcW w:w="2245" w:type="dxa"/>
          </w:tcPr>
          <w:p w14:paraId="413FE715"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1</w:t>
            </w:r>
          </w:p>
        </w:tc>
        <w:tc>
          <w:tcPr>
            <w:tcW w:w="2245" w:type="dxa"/>
          </w:tcPr>
          <w:p w14:paraId="4B90FAF4"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1</w:t>
            </w:r>
          </w:p>
        </w:tc>
      </w:tr>
      <w:tr w:rsidR="008A2FA2" w:rsidRPr="008A2FA2" w14:paraId="01A88FF3" w14:textId="77777777" w:rsidTr="004A27FA">
        <w:tc>
          <w:tcPr>
            <w:tcW w:w="2244" w:type="dxa"/>
          </w:tcPr>
          <w:p w14:paraId="33C23D0A"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Guadalupe</w:t>
            </w:r>
          </w:p>
        </w:tc>
        <w:tc>
          <w:tcPr>
            <w:tcW w:w="2244" w:type="dxa"/>
          </w:tcPr>
          <w:p w14:paraId="3DAC7C8E"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3</w:t>
            </w:r>
          </w:p>
        </w:tc>
        <w:tc>
          <w:tcPr>
            <w:tcW w:w="2245" w:type="dxa"/>
          </w:tcPr>
          <w:p w14:paraId="1D3317D9"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0</w:t>
            </w:r>
          </w:p>
        </w:tc>
        <w:tc>
          <w:tcPr>
            <w:tcW w:w="2245" w:type="dxa"/>
          </w:tcPr>
          <w:p w14:paraId="4C26A584"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0</w:t>
            </w:r>
          </w:p>
        </w:tc>
      </w:tr>
      <w:tr w:rsidR="008A2FA2" w:rsidRPr="008A2FA2" w14:paraId="2C1A49C4" w14:textId="77777777" w:rsidTr="004A27FA">
        <w:tc>
          <w:tcPr>
            <w:tcW w:w="2244" w:type="dxa"/>
          </w:tcPr>
          <w:p w14:paraId="3AA70C55"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Guadalupe y Calvo</w:t>
            </w:r>
          </w:p>
        </w:tc>
        <w:tc>
          <w:tcPr>
            <w:tcW w:w="2244" w:type="dxa"/>
          </w:tcPr>
          <w:p w14:paraId="3590F56B"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11</w:t>
            </w:r>
          </w:p>
        </w:tc>
        <w:tc>
          <w:tcPr>
            <w:tcW w:w="2245" w:type="dxa"/>
          </w:tcPr>
          <w:p w14:paraId="1523D554"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1</w:t>
            </w:r>
          </w:p>
        </w:tc>
        <w:tc>
          <w:tcPr>
            <w:tcW w:w="2245" w:type="dxa"/>
          </w:tcPr>
          <w:p w14:paraId="1ABBA79F"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0</w:t>
            </w:r>
          </w:p>
        </w:tc>
      </w:tr>
      <w:tr w:rsidR="008A2FA2" w:rsidRPr="008A2FA2" w14:paraId="5E65542C" w14:textId="77777777" w:rsidTr="004A27FA">
        <w:tc>
          <w:tcPr>
            <w:tcW w:w="2244" w:type="dxa"/>
          </w:tcPr>
          <w:p w14:paraId="078CB73A" w14:textId="77777777" w:rsidR="008A2FA2" w:rsidRPr="008A2FA2" w:rsidRDefault="008A2FA2" w:rsidP="001A4EBF">
            <w:pPr>
              <w:spacing w:after="120" w:line="480" w:lineRule="auto"/>
              <w:jc w:val="both"/>
              <w:rPr>
                <w:rFonts w:ascii="Century Gothic" w:hAnsi="Century Gothic" w:cs="Arial"/>
                <w:sz w:val="24"/>
                <w:szCs w:val="24"/>
              </w:rPr>
            </w:pPr>
            <w:proofErr w:type="spellStart"/>
            <w:r w:rsidRPr="008A2FA2">
              <w:rPr>
                <w:rFonts w:ascii="Century Gothic" w:hAnsi="Century Gothic" w:cs="Arial"/>
                <w:sz w:val="24"/>
                <w:szCs w:val="24"/>
              </w:rPr>
              <w:t>Praxedis</w:t>
            </w:r>
            <w:proofErr w:type="spellEnd"/>
            <w:r w:rsidRPr="008A2FA2">
              <w:rPr>
                <w:rFonts w:ascii="Century Gothic" w:hAnsi="Century Gothic" w:cs="Arial"/>
                <w:sz w:val="24"/>
                <w:szCs w:val="24"/>
              </w:rPr>
              <w:t xml:space="preserve"> G. Guerrero</w:t>
            </w:r>
          </w:p>
        </w:tc>
        <w:tc>
          <w:tcPr>
            <w:tcW w:w="2244" w:type="dxa"/>
          </w:tcPr>
          <w:p w14:paraId="3C5DE970"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16</w:t>
            </w:r>
          </w:p>
        </w:tc>
        <w:tc>
          <w:tcPr>
            <w:tcW w:w="2245" w:type="dxa"/>
          </w:tcPr>
          <w:p w14:paraId="79D13E75"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0</w:t>
            </w:r>
          </w:p>
        </w:tc>
        <w:tc>
          <w:tcPr>
            <w:tcW w:w="2245" w:type="dxa"/>
          </w:tcPr>
          <w:p w14:paraId="6B56075C"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0</w:t>
            </w:r>
          </w:p>
        </w:tc>
      </w:tr>
      <w:tr w:rsidR="008A2FA2" w:rsidRPr="008A2FA2" w14:paraId="244EF302" w14:textId="77777777" w:rsidTr="004A27FA">
        <w:tc>
          <w:tcPr>
            <w:tcW w:w="2244" w:type="dxa"/>
          </w:tcPr>
          <w:p w14:paraId="705B10A5"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Rosales</w:t>
            </w:r>
          </w:p>
        </w:tc>
        <w:tc>
          <w:tcPr>
            <w:tcW w:w="2244" w:type="dxa"/>
          </w:tcPr>
          <w:p w14:paraId="709A8306"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5</w:t>
            </w:r>
          </w:p>
        </w:tc>
        <w:tc>
          <w:tcPr>
            <w:tcW w:w="2245" w:type="dxa"/>
          </w:tcPr>
          <w:p w14:paraId="72A16B65"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1</w:t>
            </w:r>
          </w:p>
        </w:tc>
        <w:tc>
          <w:tcPr>
            <w:tcW w:w="2245" w:type="dxa"/>
          </w:tcPr>
          <w:p w14:paraId="35A20963" w14:textId="77777777" w:rsidR="008A2FA2" w:rsidRPr="008A2FA2"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0</w:t>
            </w:r>
          </w:p>
        </w:tc>
      </w:tr>
    </w:tbl>
    <w:p w14:paraId="040AABAD" w14:textId="6218F7B0" w:rsidR="008A2FA2" w:rsidRPr="001A4EBF" w:rsidRDefault="008A2FA2" w:rsidP="001A4EBF">
      <w:pPr>
        <w:spacing w:after="120" w:line="480" w:lineRule="auto"/>
        <w:jc w:val="both"/>
        <w:rPr>
          <w:rFonts w:ascii="Century Gothic" w:hAnsi="Century Gothic" w:cs="Arial"/>
          <w:sz w:val="24"/>
          <w:szCs w:val="24"/>
        </w:rPr>
      </w:pPr>
      <w:r w:rsidRPr="008A2FA2">
        <w:rPr>
          <w:rFonts w:ascii="Century Gothic" w:hAnsi="Century Gothic" w:cs="Arial"/>
          <w:sz w:val="24"/>
          <w:szCs w:val="24"/>
        </w:rPr>
        <w:t xml:space="preserve">Los procedimientos de fiscalización que realiza, la Auditoría Superior, son una de las principales herramientas para combatir la corrupción que vulnera la legitimidad institucional y la confianza pública. Por tanto, no puede tolerarse la negligencia en el primer paso de todo el proceso de fiscalización que se realiza durante un año, es decir la entrega de la cuenta pública, </w:t>
      </w:r>
      <w:r w:rsidR="001A4EBF">
        <w:rPr>
          <w:rFonts w:ascii="Century Gothic" w:hAnsi="Century Gothic" w:cs="Arial"/>
          <w:sz w:val="24"/>
          <w:szCs w:val="24"/>
        </w:rPr>
        <w:t>puesto que</w:t>
      </w:r>
      <w:r w:rsidRPr="008A2FA2">
        <w:rPr>
          <w:rFonts w:ascii="Century Gothic" w:hAnsi="Century Gothic" w:cs="Arial"/>
          <w:sz w:val="24"/>
          <w:szCs w:val="24"/>
        </w:rPr>
        <w:t xml:space="preserve"> finalmente es la información de la cual derivarán las observaciones.</w:t>
      </w:r>
    </w:p>
    <w:p w14:paraId="65D446D5" w14:textId="77777777" w:rsidR="001A4EBF" w:rsidRDefault="0089213D" w:rsidP="001A4EBF">
      <w:pPr>
        <w:spacing w:afterLines="100" w:after="240" w:line="480" w:lineRule="auto"/>
        <w:jc w:val="both"/>
        <w:rPr>
          <w:rFonts w:ascii="Century Gothic" w:eastAsia="Arial" w:hAnsi="Century Gothic" w:cs="Arial"/>
          <w:sz w:val="24"/>
          <w:szCs w:val="24"/>
        </w:rPr>
      </w:pPr>
      <w:r w:rsidRPr="00ED5AF2">
        <w:rPr>
          <w:rFonts w:ascii="Century Gothic" w:eastAsia="Arial" w:hAnsi="Century Gothic" w:cs="Arial"/>
          <w:sz w:val="24"/>
          <w:szCs w:val="24"/>
        </w:rPr>
        <w:t>Por lo anteriormente y fundado, se somete a esta soberanía la siguiente iniciativa</w:t>
      </w:r>
      <w:r w:rsidR="001A4EBF">
        <w:rPr>
          <w:rFonts w:ascii="Century Gothic" w:eastAsia="Arial" w:hAnsi="Century Gothic" w:cs="Arial"/>
          <w:sz w:val="24"/>
          <w:szCs w:val="24"/>
        </w:rPr>
        <w:t>:</w:t>
      </w:r>
    </w:p>
    <w:p w14:paraId="072323AC" w14:textId="77777777" w:rsidR="001A4EBF" w:rsidRDefault="001A4EBF" w:rsidP="001A4EBF">
      <w:pPr>
        <w:spacing w:afterLines="100" w:after="240" w:line="480" w:lineRule="auto"/>
        <w:jc w:val="center"/>
        <w:rPr>
          <w:rFonts w:ascii="Century Gothic" w:eastAsia="Arial" w:hAnsi="Century Gothic" w:cs="Arial"/>
          <w:sz w:val="24"/>
          <w:szCs w:val="24"/>
        </w:rPr>
      </w:pPr>
    </w:p>
    <w:p w14:paraId="31D2C7EB" w14:textId="1BAE41E8" w:rsidR="00B05008" w:rsidRPr="00007A28" w:rsidRDefault="0000547A" w:rsidP="001A4EBF">
      <w:pPr>
        <w:spacing w:afterLines="100" w:after="240" w:line="480" w:lineRule="auto"/>
        <w:jc w:val="center"/>
        <w:rPr>
          <w:rFonts w:ascii="Century Gothic" w:eastAsia="Century Gothic" w:hAnsi="Century Gothic" w:cs="Century Gothic"/>
          <w:b/>
          <w:sz w:val="24"/>
          <w:szCs w:val="24"/>
          <w:highlight w:val="white"/>
        </w:rPr>
      </w:pPr>
      <w:r w:rsidRPr="00007A28">
        <w:rPr>
          <w:rFonts w:ascii="Century Gothic" w:eastAsia="Century Gothic" w:hAnsi="Century Gothic" w:cs="Century Gothic"/>
          <w:b/>
          <w:sz w:val="24"/>
          <w:szCs w:val="24"/>
          <w:highlight w:val="white"/>
        </w:rPr>
        <w:t>D E C R E T O</w:t>
      </w:r>
    </w:p>
    <w:p w14:paraId="022D4F43" w14:textId="72EB8304" w:rsidR="00C5028B" w:rsidRPr="00007A28" w:rsidRDefault="0000547A" w:rsidP="001A4EBF">
      <w:pPr>
        <w:spacing w:afterLines="120" w:after="288" w:line="480" w:lineRule="auto"/>
        <w:jc w:val="both"/>
        <w:rPr>
          <w:rFonts w:ascii="Century Gothic" w:eastAsia="Century Gothic" w:hAnsi="Century Gothic" w:cs="Century Gothic"/>
          <w:b/>
          <w:bCs/>
          <w:sz w:val="24"/>
          <w:szCs w:val="24"/>
        </w:rPr>
      </w:pPr>
      <w:r w:rsidRPr="00007A28">
        <w:rPr>
          <w:rFonts w:ascii="Century Gothic" w:eastAsia="Century Gothic" w:hAnsi="Century Gothic" w:cs="Century Gothic"/>
          <w:b/>
          <w:sz w:val="24"/>
          <w:szCs w:val="24"/>
        </w:rPr>
        <w:t xml:space="preserve">ARTÍCULO </w:t>
      </w:r>
      <w:r w:rsidR="00467D72" w:rsidRPr="00007A28">
        <w:rPr>
          <w:rFonts w:ascii="Century Gothic" w:eastAsia="Century Gothic" w:hAnsi="Century Gothic" w:cs="Century Gothic"/>
          <w:b/>
          <w:sz w:val="24"/>
          <w:szCs w:val="24"/>
        </w:rPr>
        <w:t>PRIMERO</w:t>
      </w:r>
      <w:r w:rsidR="00467D72" w:rsidRPr="00007A28">
        <w:rPr>
          <w:rFonts w:ascii="Century Gothic" w:eastAsia="Century Gothic" w:hAnsi="Century Gothic" w:cs="Century Gothic"/>
          <w:b/>
          <w:sz w:val="24"/>
          <w:szCs w:val="24"/>
          <w:highlight w:val="white"/>
        </w:rPr>
        <w:t xml:space="preserve">. </w:t>
      </w:r>
      <w:r w:rsidR="003320ED">
        <w:rPr>
          <w:rFonts w:ascii="Century Gothic" w:eastAsia="Century Gothic" w:hAnsi="Century Gothic" w:cs="Century Gothic"/>
          <w:b/>
          <w:sz w:val="24"/>
          <w:szCs w:val="24"/>
          <w:highlight w:val="white"/>
        </w:rPr>
        <w:t>–</w:t>
      </w:r>
      <w:r w:rsidRPr="00007A28">
        <w:rPr>
          <w:rFonts w:ascii="Century Gothic" w:eastAsia="Century Gothic" w:hAnsi="Century Gothic" w:cs="Century Gothic"/>
          <w:b/>
          <w:sz w:val="24"/>
          <w:szCs w:val="24"/>
          <w:highlight w:val="white"/>
        </w:rPr>
        <w:t xml:space="preserve"> </w:t>
      </w:r>
      <w:r w:rsidR="00C5028B" w:rsidRPr="00007A28">
        <w:rPr>
          <w:rFonts w:ascii="Century Gothic" w:eastAsia="Century Gothic" w:hAnsi="Century Gothic" w:cs="Century Gothic"/>
          <w:b/>
          <w:sz w:val="24"/>
          <w:szCs w:val="24"/>
        </w:rPr>
        <w:t>se</w:t>
      </w:r>
      <w:r w:rsidR="003320ED">
        <w:rPr>
          <w:rFonts w:ascii="Century Gothic" w:eastAsia="Century Gothic" w:hAnsi="Century Gothic" w:cs="Century Gothic"/>
          <w:b/>
          <w:sz w:val="24"/>
          <w:szCs w:val="24"/>
        </w:rPr>
        <w:t xml:space="preserve"> </w:t>
      </w:r>
      <w:r w:rsidR="00744E12">
        <w:rPr>
          <w:rFonts w:ascii="Century Gothic" w:eastAsia="Century Gothic" w:hAnsi="Century Gothic" w:cs="Century Gothic"/>
          <w:b/>
          <w:sz w:val="24"/>
          <w:szCs w:val="24"/>
        </w:rPr>
        <w:t xml:space="preserve">adiciona un último párrafo al artículo 13 de la Ley de Fiscalización del Estado de Chihuahua </w:t>
      </w:r>
      <w:r w:rsidR="00C5028B" w:rsidRPr="00007A28">
        <w:rPr>
          <w:rFonts w:ascii="Century Gothic" w:eastAsia="Century Gothic" w:hAnsi="Century Gothic" w:cs="Century Gothic"/>
          <w:b/>
          <w:bCs/>
          <w:sz w:val="24"/>
          <w:szCs w:val="24"/>
        </w:rPr>
        <w:t>para quedar en los siguientes términos:</w:t>
      </w:r>
    </w:p>
    <w:p w14:paraId="1284F3E1" w14:textId="77777777" w:rsidR="005D4BA1" w:rsidRPr="005D4BA1" w:rsidRDefault="005D4BA1" w:rsidP="001A4EBF">
      <w:pPr>
        <w:spacing w:line="480" w:lineRule="auto"/>
        <w:jc w:val="both"/>
        <w:rPr>
          <w:rFonts w:ascii="Century Gothic" w:hAnsi="Century Gothic"/>
          <w:sz w:val="24"/>
          <w:szCs w:val="24"/>
        </w:rPr>
      </w:pPr>
      <w:r w:rsidRPr="005D4BA1">
        <w:rPr>
          <w:rFonts w:ascii="Century Gothic" w:hAnsi="Century Gothic"/>
          <w:sz w:val="24"/>
          <w:szCs w:val="24"/>
        </w:rPr>
        <w:t xml:space="preserve">Artículo 13. La Cuenta Pública de Gobierno del Estado del ejercicio fiscal correspondiente deberá ser presentada ante el Congreso, a través de la Auditoría Superior, a más tardar el último día del mes de febrero del año siguiente. </w:t>
      </w:r>
    </w:p>
    <w:p w14:paraId="5FBA2156" w14:textId="77777777" w:rsidR="005D4BA1" w:rsidRPr="005D4BA1" w:rsidRDefault="005D4BA1" w:rsidP="001A4EBF">
      <w:pPr>
        <w:spacing w:line="480" w:lineRule="auto"/>
        <w:jc w:val="both"/>
        <w:rPr>
          <w:rFonts w:ascii="Century Gothic" w:hAnsi="Century Gothic"/>
          <w:sz w:val="24"/>
          <w:szCs w:val="24"/>
        </w:rPr>
      </w:pPr>
      <w:r w:rsidRPr="005D4BA1">
        <w:rPr>
          <w:rFonts w:ascii="Century Gothic" w:hAnsi="Century Gothic"/>
          <w:sz w:val="24"/>
          <w:szCs w:val="24"/>
        </w:rPr>
        <w:t xml:space="preserve">La Cuenta Pública de los municipios será presentada a la Auditoría Superior por quien ocupe la titularidad de la Presidencia Municipal o por la persona titular de la dependencia encargada de las finanzas públicas, a más tardar el último día del mes enero del año siguiente. En el caso de los Municipios de Chihuahua y Juárez, será a más tardar el último día del mes de febrero. </w:t>
      </w:r>
    </w:p>
    <w:p w14:paraId="7C8794CB" w14:textId="501E15A7" w:rsidR="005D4BA1" w:rsidRDefault="005D4BA1" w:rsidP="001A4EBF">
      <w:pPr>
        <w:spacing w:line="480" w:lineRule="auto"/>
        <w:jc w:val="both"/>
        <w:rPr>
          <w:rFonts w:ascii="Century Gothic" w:hAnsi="Century Gothic"/>
          <w:sz w:val="24"/>
          <w:szCs w:val="24"/>
        </w:rPr>
      </w:pPr>
      <w:r w:rsidRPr="005D4BA1">
        <w:rPr>
          <w:rFonts w:ascii="Century Gothic" w:hAnsi="Century Gothic"/>
          <w:sz w:val="24"/>
          <w:szCs w:val="24"/>
        </w:rPr>
        <w:t xml:space="preserve">La Cuenta Pública deberá contener como mínimo lo señalado en la Ley General de Contabilidad Gubernamental, la Ley de Presupuesto de Egresos, Contabilidad Gubernamental y Gasto Público del Estado de Chihuahua; los acuerdos emitidos por el Consejo Nacional o por su equivalente en el Estado; la Ley de Disciplina Financiera de las Entidades Federativas y los Municipios y en las demás disposiciones aplicables, en los términos que determine la Auditoría Superior. </w:t>
      </w:r>
    </w:p>
    <w:p w14:paraId="336D4F67" w14:textId="769023D5" w:rsidR="00F46FB7" w:rsidRDefault="005D4BA1" w:rsidP="001A4EBF">
      <w:pPr>
        <w:spacing w:line="480" w:lineRule="auto"/>
        <w:jc w:val="both"/>
        <w:rPr>
          <w:rFonts w:ascii="Century Gothic" w:hAnsi="Century Gothic"/>
          <w:sz w:val="24"/>
          <w:szCs w:val="24"/>
        </w:rPr>
      </w:pPr>
      <w:r w:rsidRPr="005D4BA1">
        <w:rPr>
          <w:rFonts w:ascii="Century Gothic" w:hAnsi="Century Gothic"/>
          <w:sz w:val="24"/>
          <w:szCs w:val="24"/>
        </w:rPr>
        <w:t>La Auditoría Superior deberá informar a la Comisión, en un plazo no mayor a cinco días hábiles contados a partir de la fecha establecida en este artículo, el incumplimiento de dicha obligación por parte de los entes públicos.</w:t>
      </w:r>
    </w:p>
    <w:p w14:paraId="4139B865" w14:textId="4A4CC080" w:rsidR="00F02D05" w:rsidRPr="00F02D05" w:rsidRDefault="00F02D05" w:rsidP="001A4EBF">
      <w:pPr>
        <w:spacing w:line="480" w:lineRule="auto"/>
        <w:jc w:val="both"/>
        <w:rPr>
          <w:rFonts w:ascii="Century Gothic" w:hAnsi="Century Gothic"/>
          <w:b/>
          <w:bCs/>
          <w:sz w:val="24"/>
          <w:szCs w:val="24"/>
        </w:rPr>
      </w:pPr>
      <w:r w:rsidRPr="00F02D05">
        <w:rPr>
          <w:rFonts w:ascii="Century Gothic" w:hAnsi="Century Gothic"/>
          <w:b/>
          <w:bCs/>
          <w:sz w:val="24"/>
          <w:szCs w:val="24"/>
        </w:rPr>
        <w:t xml:space="preserve">A las y los servidores públicos que omitan y obstaculicen el cumplimiento de las disposiciones anteriores en torno a la entrega de la cuenta pública en los plazos y términos establecidos, </w:t>
      </w:r>
      <w:r w:rsidR="00187EA4">
        <w:rPr>
          <w:rFonts w:ascii="Century Gothic" w:hAnsi="Century Gothic"/>
          <w:b/>
          <w:bCs/>
          <w:sz w:val="24"/>
          <w:szCs w:val="24"/>
        </w:rPr>
        <w:t xml:space="preserve">cometerá </w:t>
      </w:r>
      <w:r w:rsidR="00E55070">
        <w:rPr>
          <w:rFonts w:ascii="Century Gothic" w:hAnsi="Century Gothic"/>
          <w:b/>
          <w:bCs/>
          <w:sz w:val="24"/>
          <w:szCs w:val="24"/>
        </w:rPr>
        <w:t xml:space="preserve">desacato </w:t>
      </w:r>
      <w:r w:rsidRPr="00F02D05">
        <w:rPr>
          <w:rFonts w:ascii="Century Gothic" w:hAnsi="Century Gothic"/>
          <w:b/>
          <w:bCs/>
          <w:sz w:val="24"/>
          <w:szCs w:val="24"/>
        </w:rPr>
        <w:t>de</w:t>
      </w:r>
      <w:r w:rsidR="00E55070">
        <w:rPr>
          <w:rFonts w:ascii="Century Gothic" w:hAnsi="Century Gothic"/>
          <w:b/>
          <w:bCs/>
          <w:sz w:val="24"/>
          <w:szCs w:val="24"/>
        </w:rPr>
        <w:t xml:space="preserve"> acuerdo con el supuesto establecido en el artículo 63</w:t>
      </w:r>
      <w:r w:rsidRPr="00F02D05">
        <w:rPr>
          <w:rFonts w:ascii="Century Gothic" w:hAnsi="Century Gothic"/>
          <w:b/>
          <w:bCs/>
          <w:sz w:val="24"/>
          <w:szCs w:val="24"/>
        </w:rPr>
        <w:t xml:space="preserve"> la Ley General de Responsabilidades Administrativas</w:t>
      </w:r>
      <w:r w:rsidR="00435832">
        <w:rPr>
          <w:rFonts w:ascii="Century Gothic" w:hAnsi="Century Gothic"/>
          <w:b/>
          <w:bCs/>
          <w:sz w:val="24"/>
          <w:szCs w:val="24"/>
        </w:rPr>
        <w:t xml:space="preserve">, así como otras posibles faltas administrativas que del caso de desprendan. </w:t>
      </w:r>
    </w:p>
    <w:p w14:paraId="12BB946C" w14:textId="77777777" w:rsidR="00F02D05" w:rsidRPr="005D4BA1" w:rsidRDefault="00F02D05" w:rsidP="001A4EBF">
      <w:pPr>
        <w:spacing w:line="480" w:lineRule="auto"/>
        <w:jc w:val="both"/>
        <w:rPr>
          <w:rFonts w:ascii="Century Gothic" w:hAnsi="Century Gothic"/>
          <w:sz w:val="24"/>
          <w:szCs w:val="24"/>
        </w:rPr>
      </w:pPr>
    </w:p>
    <w:p w14:paraId="5953AAF4" w14:textId="77777777" w:rsidR="005D4BA1" w:rsidRPr="00ED5AF2" w:rsidRDefault="005D4BA1" w:rsidP="001A4EBF">
      <w:pPr>
        <w:spacing w:line="480" w:lineRule="auto"/>
        <w:jc w:val="center"/>
        <w:rPr>
          <w:rFonts w:ascii="Century Gothic" w:hAnsi="Century Gothic"/>
          <w:sz w:val="24"/>
          <w:szCs w:val="24"/>
        </w:rPr>
      </w:pPr>
    </w:p>
    <w:p w14:paraId="13092EC7" w14:textId="77777777" w:rsidR="00B05008" w:rsidRPr="00ED5AF2" w:rsidRDefault="0000547A" w:rsidP="001A4EBF">
      <w:pPr>
        <w:pBdr>
          <w:top w:val="nil"/>
          <w:left w:val="nil"/>
          <w:bottom w:val="nil"/>
          <w:right w:val="nil"/>
          <w:between w:val="nil"/>
        </w:pBdr>
        <w:spacing w:afterLines="100" w:after="240" w:line="480" w:lineRule="auto"/>
        <w:jc w:val="center"/>
        <w:rPr>
          <w:rFonts w:ascii="Century Gothic" w:eastAsia="Century Gothic" w:hAnsi="Century Gothic" w:cs="Century Gothic"/>
          <w:b/>
          <w:color w:val="000000"/>
          <w:sz w:val="24"/>
          <w:szCs w:val="24"/>
        </w:rPr>
      </w:pPr>
      <w:r w:rsidRPr="00ED5AF2">
        <w:rPr>
          <w:rFonts w:ascii="Century Gothic" w:eastAsia="Century Gothic" w:hAnsi="Century Gothic" w:cs="Century Gothic"/>
          <w:b/>
          <w:color w:val="000000"/>
          <w:sz w:val="24"/>
          <w:szCs w:val="24"/>
        </w:rPr>
        <w:t>T R A N S I T O R I O S:</w:t>
      </w:r>
    </w:p>
    <w:p w14:paraId="31FA1090" w14:textId="26991321" w:rsidR="00744E12" w:rsidRPr="00744E12" w:rsidRDefault="00744E12" w:rsidP="001A4EBF">
      <w:pPr>
        <w:spacing w:line="480" w:lineRule="auto"/>
        <w:jc w:val="both"/>
        <w:rPr>
          <w:rFonts w:ascii="Century Gothic" w:hAnsi="Century Gothic"/>
          <w:b/>
          <w:sz w:val="24"/>
        </w:rPr>
      </w:pPr>
      <w:r>
        <w:rPr>
          <w:rFonts w:ascii="Century Gothic" w:hAnsi="Century Gothic"/>
          <w:b/>
          <w:sz w:val="24"/>
        </w:rPr>
        <w:t>ÚN</w:t>
      </w:r>
      <w:r w:rsidRPr="00744E12">
        <w:rPr>
          <w:rFonts w:ascii="Century Gothic" w:hAnsi="Century Gothic"/>
          <w:b/>
          <w:sz w:val="24"/>
        </w:rPr>
        <w:t xml:space="preserve">ICO.- </w:t>
      </w:r>
      <w:r w:rsidRPr="00744E12">
        <w:rPr>
          <w:rFonts w:ascii="Century Gothic" w:hAnsi="Century Gothic"/>
          <w:bCs/>
          <w:sz w:val="24"/>
        </w:rPr>
        <w:t>El presente Decreto entrará en vigor al día siguiente de su publicación en el Periódico Oficial del Estado.</w:t>
      </w:r>
    </w:p>
    <w:p w14:paraId="78F11213" w14:textId="77777777" w:rsidR="00744E12" w:rsidRPr="00744E12" w:rsidRDefault="00744E12" w:rsidP="001A4EBF">
      <w:pPr>
        <w:spacing w:line="480" w:lineRule="auto"/>
        <w:jc w:val="both"/>
        <w:rPr>
          <w:rFonts w:ascii="Century Gothic" w:hAnsi="Century Gothic"/>
          <w:b/>
          <w:sz w:val="24"/>
        </w:rPr>
      </w:pPr>
    </w:p>
    <w:p w14:paraId="720943F5" w14:textId="7876C413" w:rsidR="00B05008" w:rsidRPr="00744E12" w:rsidRDefault="0000547A" w:rsidP="001A4EBF">
      <w:pPr>
        <w:pBdr>
          <w:top w:val="nil"/>
          <w:left w:val="nil"/>
          <w:bottom w:val="nil"/>
          <w:right w:val="nil"/>
          <w:between w:val="nil"/>
        </w:pBdr>
        <w:spacing w:afterLines="100" w:after="240" w:line="480" w:lineRule="auto"/>
        <w:jc w:val="both"/>
        <w:rPr>
          <w:rFonts w:ascii="Century Gothic" w:eastAsia="Century Gothic" w:hAnsi="Century Gothic" w:cs="Century Gothic"/>
          <w:color w:val="000000"/>
          <w:sz w:val="24"/>
          <w:szCs w:val="24"/>
        </w:rPr>
      </w:pPr>
      <w:r w:rsidRPr="00744E12">
        <w:rPr>
          <w:rFonts w:ascii="Century Gothic" w:eastAsia="Century Gothic" w:hAnsi="Century Gothic" w:cs="Century Gothic"/>
          <w:b/>
          <w:color w:val="000000"/>
          <w:sz w:val="24"/>
          <w:szCs w:val="24"/>
        </w:rPr>
        <w:t xml:space="preserve">ECONÓMICO. - </w:t>
      </w:r>
      <w:r w:rsidRPr="00744E12">
        <w:rPr>
          <w:rFonts w:ascii="Century Gothic" w:eastAsia="Century Gothic" w:hAnsi="Century Gothic" w:cs="Century Gothic"/>
          <w:color w:val="000000"/>
          <w:sz w:val="24"/>
          <w:szCs w:val="24"/>
        </w:rPr>
        <w:t>Aprobado que sea túrnese a la Secretaría de Asuntos Legislativos y Jurídicos para que elabore la minuta de Decreto en los términos que deba publicarse.</w:t>
      </w:r>
    </w:p>
    <w:p w14:paraId="38085013" w14:textId="141CB00A" w:rsidR="00B05008" w:rsidRPr="00744E12" w:rsidRDefault="0000547A" w:rsidP="001A4EBF">
      <w:pPr>
        <w:pBdr>
          <w:top w:val="nil"/>
          <w:left w:val="nil"/>
          <w:bottom w:val="nil"/>
          <w:right w:val="nil"/>
          <w:between w:val="nil"/>
        </w:pBdr>
        <w:spacing w:afterLines="100" w:after="240" w:line="480" w:lineRule="auto"/>
        <w:jc w:val="both"/>
        <w:rPr>
          <w:rFonts w:ascii="Century Gothic" w:eastAsia="Century Gothic" w:hAnsi="Century Gothic" w:cs="Century Gothic"/>
          <w:color w:val="000000"/>
          <w:sz w:val="24"/>
          <w:szCs w:val="24"/>
        </w:rPr>
      </w:pPr>
      <w:r w:rsidRPr="00744E12">
        <w:rPr>
          <w:rFonts w:ascii="Century Gothic" w:eastAsia="Century Gothic" w:hAnsi="Century Gothic" w:cs="Century Gothic"/>
          <w:b/>
          <w:color w:val="000000"/>
          <w:sz w:val="24"/>
          <w:szCs w:val="24"/>
        </w:rPr>
        <w:t>D A D O</w:t>
      </w:r>
      <w:r w:rsidRPr="00744E12">
        <w:rPr>
          <w:rFonts w:ascii="Century Gothic" w:eastAsia="Century Gothic" w:hAnsi="Century Gothic" w:cs="Century Gothic"/>
          <w:color w:val="000000"/>
          <w:sz w:val="24"/>
          <w:szCs w:val="24"/>
        </w:rPr>
        <w:t xml:space="preserve"> en el salón de sesiones del Poder Legislativo a los </w:t>
      </w:r>
      <w:r w:rsidR="00082D53" w:rsidRPr="00744E12">
        <w:rPr>
          <w:rFonts w:ascii="Century Gothic" w:eastAsia="Century Gothic" w:hAnsi="Century Gothic" w:cs="Century Gothic"/>
          <w:color w:val="000000"/>
          <w:sz w:val="24"/>
          <w:szCs w:val="24"/>
        </w:rPr>
        <w:t>1</w:t>
      </w:r>
      <w:r w:rsidR="00744E12">
        <w:rPr>
          <w:rFonts w:ascii="Century Gothic" w:eastAsia="Century Gothic" w:hAnsi="Century Gothic" w:cs="Century Gothic"/>
          <w:color w:val="000000"/>
          <w:sz w:val="24"/>
          <w:szCs w:val="24"/>
        </w:rPr>
        <w:t>5</w:t>
      </w:r>
      <w:r w:rsidRPr="00744E12">
        <w:rPr>
          <w:rFonts w:ascii="Century Gothic" w:eastAsia="Century Gothic" w:hAnsi="Century Gothic" w:cs="Century Gothic"/>
          <w:color w:val="000000"/>
          <w:sz w:val="24"/>
          <w:szCs w:val="24"/>
        </w:rPr>
        <w:t xml:space="preserve"> días del mes de </w:t>
      </w:r>
      <w:r w:rsidR="00744E12">
        <w:rPr>
          <w:rFonts w:ascii="Century Gothic" w:eastAsia="Century Gothic" w:hAnsi="Century Gothic" w:cs="Century Gothic"/>
          <w:color w:val="000000"/>
          <w:sz w:val="24"/>
          <w:szCs w:val="24"/>
        </w:rPr>
        <w:t>julio</w:t>
      </w:r>
      <w:r w:rsidRPr="00744E12">
        <w:rPr>
          <w:rFonts w:ascii="Century Gothic" w:eastAsia="Century Gothic" w:hAnsi="Century Gothic" w:cs="Century Gothic"/>
          <w:color w:val="000000"/>
          <w:sz w:val="24"/>
          <w:szCs w:val="24"/>
        </w:rPr>
        <w:t xml:space="preserve"> del año dos mil </w:t>
      </w:r>
      <w:r w:rsidR="00C5028B" w:rsidRPr="00744E12">
        <w:rPr>
          <w:rFonts w:ascii="Century Gothic" w:eastAsia="Century Gothic" w:hAnsi="Century Gothic" w:cs="Century Gothic"/>
          <w:color w:val="000000"/>
          <w:sz w:val="24"/>
          <w:szCs w:val="24"/>
        </w:rPr>
        <w:t>veintidós.</w:t>
      </w:r>
    </w:p>
    <w:p w14:paraId="0172C5CC" w14:textId="77777777" w:rsidR="00F166E7" w:rsidRPr="00ED5AF2" w:rsidRDefault="00F166E7" w:rsidP="001A4EBF">
      <w:pPr>
        <w:spacing w:afterLines="100" w:after="240" w:line="480" w:lineRule="auto"/>
        <w:jc w:val="both"/>
        <w:rPr>
          <w:rFonts w:ascii="Century Gothic" w:eastAsia="Century Gothic" w:hAnsi="Century Gothic" w:cs="Century Gothic"/>
          <w:b/>
          <w:sz w:val="24"/>
          <w:szCs w:val="24"/>
        </w:rPr>
      </w:pPr>
    </w:p>
    <w:p w14:paraId="171ED658"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A T E N T A M E N T E</w:t>
      </w:r>
    </w:p>
    <w:p w14:paraId="49FF1FC6" w14:textId="77777777" w:rsidR="00B05008" w:rsidRPr="00ED5AF2" w:rsidRDefault="00B05008" w:rsidP="001A4EBF">
      <w:pPr>
        <w:pBdr>
          <w:top w:val="nil"/>
          <w:left w:val="nil"/>
          <w:bottom w:val="nil"/>
          <w:right w:val="nil"/>
          <w:between w:val="nil"/>
        </w:pBdr>
        <w:spacing w:afterLines="100" w:after="240" w:line="480" w:lineRule="auto"/>
        <w:jc w:val="center"/>
        <w:rPr>
          <w:rFonts w:ascii="Century Gothic" w:eastAsia="Century Gothic" w:hAnsi="Century Gothic" w:cs="Century Gothic"/>
          <w:b/>
          <w:color w:val="000000"/>
          <w:sz w:val="24"/>
          <w:szCs w:val="24"/>
          <w:highlight w:val="white"/>
        </w:rPr>
      </w:pPr>
    </w:p>
    <w:p w14:paraId="5B72C984"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LETICIA ORTEGA MÁYNEZ</w:t>
      </w:r>
    </w:p>
    <w:tbl>
      <w:tblPr>
        <w:tblStyle w:val="a"/>
        <w:tblW w:w="8828" w:type="dxa"/>
        <w:tblInd w:w="0" w:type="dxa"/>
        <w:tblLayout w:type="fixed"/>
        <w:tblLook w:val="0400" w:firstRow="0" w:lastRow="0" w:firstColumn="0" w:lastColumn="0" w:noHBand="0" w:noVBand="1"/>
      </w:tblPr>
      <w:tblGrid>
        <w:gridCol w:w="4106"/>
        <w:gridCol w:w="4722"/>
      </w:tblGrid>
      <w:tr w:rsidR="00B05008" w:rsidRPr="00ED5AF2" w14:paraId="239F317A" w14:textId="77777777" w:rsidTr="00FC5458">
        <w:trPr>
          <w:trHeight w:val="1984"/>
        </w:trPr>
        <w:tc>
          <w:tcPr>
            <w:tcW w:w="4106" w:type="dxa"/>
            <w:vAlign w:val="bottom"/>
          </w:tcPr>
          <w:p w14:paraId="5DA9BDF2"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EDIN CUAUTHÉMOC ESTRADA</w:t>
            </w:r>
          </w:p>
        </w:tc>
        <w:tc>
          <w:tcPr>
            <w:tcW w:w="4722" w:type="dxa"/>
            <w:vAlign w:val="bottom"/>
          </w:tcPr>
          <w:p w14:paraId="53E8C375"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ÓSCAR DANIEL AVITIA ARELLANES</w:t>
            </w:r>
          </w:p>
        </w:tc>
      </w:tr>
      <w:tr w:rsidR="00B05008" w:rsidRPr="00ED5AF2" w14:paraId="76513507" w14:textId="77777777" w:rsidTr="00FC5458">
        <w:trPr>
          <w:trHeight w:val="1984"/>
        </w:trPr>
        <w:tc>
          <w:tcPr>
            <w:tcW w:w="4106" w:type="dxa"/>
            <w:vAlign w:val="bottom"/>
          </w:tcPr>
          <w:p w14:paraId="2D39E439"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ROSANA DÍAZ REYES</w:t>
            </w:r>
          </w:p>
        </w:tc>
        <w:tc>
          <w:tcPr>
            <w:tcW w:w="4722" w:type="dxa"/>
            <w:vAlign w:val="bottom"/>
          </w:tcPr>
          <w:p w14:paraId="20F51C73"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GUSTAVO DE LA ROSA HICKERSON</w:t>
            </w:r>
          </w:p>
        </w:tc>
      </w:tr>
      <w:tr w:rsidR="00B05008" w:rsidRPr="00ED5AF2" w14:paraId="7432115C" w14:textId="77777777" w:rsidTr="00FC5458">
        <w:trPr>
          <w:trHeight w:val="1984"/>
        </w:trPr>
        <w:tc>
          <w:tcPr>
            <w:tcW w:w="4106" w:type="dxa"/>
            <w:vAlign w:val="bottom"/>
          </w:tcPr>
          <w:p w14:paraId="246C31CD"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MAGDALENA RENTERÍA PÉREZ</w:t>
            </w:r>
          </w:p>
        </w:tc>
        <w:tc>
          <w:tcPr>
            <w:tcW w:w="4722" w:type="dxa"/>
            <w:vAlign w:val="bottom"/>
          </w:tcPr>
          <w:p w14:paraId="65BF3A72"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MARÍA ANTONIETA PÉREZ REYES</w:t>
            </w:r>
          </w:p>
        </w:tc>
      </w:tr>
      <w:tr w:rsidR="00B05008" w:rsidRPr="00ED5AF2" w14:paraId="05CF4557" w14:textId="77777777" w:rsidTr="00FC5458">
        <w:trPr>
          <w:trHeight w:val="1984"/>
        </w:trPr>
        <w:tc>
          <w:tcPr>
            <w:tcW w:w="4106" w:type="dxa"/>
            <w:vAlign w:val="bottom"/>
          </w:tcPr>
          <w:p w14:paraId="3FD0F07B"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ADRIANA TERRAZAS PORRAS</w:t>
            </w:r>
          </w:p>
        </w:tc>
        <w:tc>
          <w:tcPr>
            <w:tcW w:w="4722" w:type="dxa"/>
            <w:vAlign w:val="bottom"/>
          </w:tcPr>
          <w:p w14:paraId="4DA6747A"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BENJAMÍN CARRERA CHÁVEZ</w:t>
            </w:r>
          </w:p>
        </w:tc>
      </w:tr>
      <w:tr w:rsidR="00B05008" w:rsidRPr="00ED5AF2" w14:paraId="4ECBF8EC" w14:textId="77777777" w:rsidTr="00FC5458">
        <w:trPr>
          <w:trHeight w:val="1984"/>
        </w:trPr>
        <w:tc>
          <w:tcPr>
            <w:tcW w:w="4106" w:type="dxa"/>
            <w:vAlign w:val="bottom"/>
          </w:tcPr>
          <w:p w14:paraId="7BA3C5FC" w14:textId="77777777" w:rsidR="00B05008" w:rsidRPr="00ED5AF2" w:rsidRDefault="00B05008" w:rsidP="001A4EBF">
            <w:pPr>
              <w:spacing w:afterLines="100" w:after="240" w:line="480" w:lineRule="auto"/>
              <w:jc w:val="center"/>
              <w:rPr>
                <w:rFonts w:ascii="Century Gothic" w:eastAsia="Century Gothic" w:hAnsi="Century Gothic" w:cs="Century Gothic"/>
                <w:b/>
                <w:sz w:val="24"/>
                <w:szCs w:val="24"/>
              </w:rPr>
            </w:pPr>
          </w:p>
          <w:p w14:paraId="54EF5B44" w14:textId="77777777" w:rsidR="00B05008" w:rsidRPr="00ED5AF2" w:rsidRDefault="00B05008" w:rsidP="001A4EBF">
            <w:pPr>
              <w:spacing w:afterLines="100" w:after="240" w:line="480" w:lineRule="auto"/>
              <w:jc w:val="center"/>
              <w:rPr>
                <w:rFonts w:ascii="Century Gothic" w:eastAsia="Century Gothic" w:hAnsi="Century Gothic" w:cs="Century Gothic"/>
                <w:b/>
                <w:sz w:val="24"/>
                <w:szCs w:val="24"/>
              </w:rPr>
            </w:pPr>
          </w:p>
          <w:p w14:paraId="7D8D3051" w14:textId="77777777" w:rsidR="00B05008" w:rsidRPr="00ED5AF2" w:rsidRDefault="0000547A" w:rsidP="001A4EBF">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DAVID ÓSCAR CASTREJÓN RIVAS</w:t>
            </w:r>
          </w:p>
        </w:tc>
        <w:tc>
          <w:tcPr>
            <w:tcW w:w="4722" w:type="dxa"/>
          </w:tcPr>
          <w:p w14:paraId="4DD885E8" w14:textId="77777777" w:rsidR="00B05008" w:rsidRPr="00ED5AF2" w:rsidRDefault="00B05008" w:rsidP="001A4EBF">
            <w:pPr>
              <w:spacing w:afterLines="100" w:after="240" w:line="480" w:lineRule="auto"/>
              <w:jc w:val="center"/>
              <w:rPr>
                <w:rFonts w:ascii="Century Gothic" w:eastAsia="Century Gothic" w:hAnsi="Century Gothic" w:cs="Century Gothic"/>
                <w:sz w:val="24"/>
                <w:szCs w:val="24"/>
              </w:rPr>
            </w:pPr>
          </w:p>
          <w:p w14:paraId="436A6E42" w14:textId="77777777" w:rsidR="00FC5458" w:rsidRPr="00ED5AF2" w:rsidRDefault="00FC5458" w:rsidP="001A4EBF">
            <w:pPr>
              <w:spacing w:afterLines="100" w:after="240" w:line="480" w:lineRule="auto"/>
              <w:jc w:val="center"/>
              <w:rPr>
                <w:rFonts w:ascii="Century Gothic" w:eastAsia="Century Gothic" w:hAnsi="Century Gothic" w:cs="Century Gothic"/>
                <w:sz w:val="24"/>
                <w:szCs w:val="24"/>
              </w:rPr>
            </w:pPr>
          </w:p>
          <w:p w14:paraId="66432A98" w14:textId="77777777" w:rsidR="00FC5458" w:rsidRPr="00ED5AF2" w:rsidRDefault="00FC5458" w:rsidP="001A4EBF">
            <w:pPr>
              <w:spacing w:afterLines="100" w:after="240" w:line="480" w:lineRule="auto"/>
              <w:jc w:val="center"/>
              <w:rPr>
                <w:rFonts w:ascii="Century Gothic" w:eastAsia="Century Gothic" w:hAnsi="Century Gothic" w:cs="Century Gothic"/>
                <w:sz w:val="24"/>
                <w:szCs w:val="24"/>
              </w:rPr>
            </w:pPr>
          </w:p>
          <w:p w14:paraId="2C8393DB" w14:textId="70CF0AF2" w:rsidR="00FC5458" w:rsidRPr="00ED5AF2" w:rsidRDefault="00FC5458" w:rsidP="001A4EBF">
            <w:pPr>
              <w:spacing w:afterLines="100" w:after="240" w:line="480" w:lineRule="auto"/>
              <w:jc w:val="center"/>
              <w:rPr>
                <w:rFonts w:ascii="Century Gothic" w:eastAsia="Century Gothic" w:hAnsi="Century Gothic" w:cs="Century Gothic"/>
                <w:b/>
                <w:bCs/>
                <w:sz w:val="24"/>
                <w:szCs w:val="24"/>
              </w:rPr>
            </w:pPr>
          </w:p>
        </w:tc>
      </w:tr>
    </w:tbl>
    <w:p w14:paraId="021950B4" w14:textId="77777777" w:rsidR="00B05008" w:rsidRPr="00ED5AF2" w:rsidRDefault="00B05008" w:rsidP="001A4EBF">
      <w:pPr>
        <w:spacing w:afterLines="100" w:after="240" w:line="480" w:lineRule="auto"/>
        <w:jc w:val="center"/>
        <w:rPr>
          <w:rFonts w:ascii="Century Gothic" w:eastAsia="Century Gothic" w:hAnsi="Century Gothic" w:cs="Century Gothic"/>
          <w:b/>
          <w:sz w:val="24"/>
          <w:szCs w:val="24"/>
        </w:rPr>
      </w:pPr>
    </w:p>
    <w:sectPr w:rsidR="00B05008" w:rsidRPr="00ED5AF2">
      <w:headerReference w:type="default" r:id="rId8"/>
      <w:footerReference w:type="default" r:id="rId9"/>
      <w:pgSz w:w="12240" w:h="15840"/>
      <w:pgMar w:top="2552" w:right="1701" w:bottom="1418" w:left="1701" w:header="426" w:footer="3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03FC6" w14:textId="77777777" w:rsidR="00252340" w:rsidRDefault="00252340">
      <w:r>
        <w:separator/>
      </w:r>
    </w:p>
  </w:endnote>
  <w:endnote w:type="continuationSeparator" w:id="0">
    <w:p w14:paraId="39521A11" w14:textId="77777777" w:rsidR="00252340" w:rsidRDefault="0025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inyon Script">
    <w:altName w:val="Calibri"/>
    <w:charset w:val="00"/>
    <w:family w:val="auto"/>
    <w:pitch w:val="variable"/>
    <w:sig w:usb0="A00000AF" w:usb1="00000002"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BADD" w14:textId="77777777" w:rsidR="00B05008" w:rsidRDefault="0000547A">
    <w:pPr>
      <w:pBdr>
        <w:top w:val="nil"/>
        <w:left w:val="nil"/>
        <w:bottom w:val="nil"/>
        <w:right w:val="nil"/>
        <w:between w:val="nil"/>
      </w:pBdr>
      <w:tabs>
        <w:tab w:val="center" w:pos="4419"/>
        <w:tab w:val="right" w:pos="8838"/>
      </w:tabs>
      <w:jc w:val="right"/>
      <w:rPr>
        <w:color w:val="525252"/>
      </w:rPr>
    </w:pPr>
    <w:r>
      <w:rPr>
        <w:rFonts w:ascii="Century Gothic" w:eastAsia="Century Gothic" w:hAnsi="Century Gothic" w:cs="Century Gothic"/>
        <w:color w:val="525252"/>
        <w:sz w:val="16"/>
        <w:szCs w:val="16"/>
      </w:rPr>
      <w:t xml:space="preserve">Página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PAGE</w:instrText>
    </w:r>
    <w:r>
      <w:rPr>
        <w:rFonts w:ascii="Century Gothic" w:eastAsia="Century Gothic" w:hAnsi="Century Gothic" w:cs="Century Gothic"/>
        <w:b/>
        <w:color w:val="525252"/>
        <w:sz w:val="16"/>
        <w:szCs w:val="16"/>
      </w:rPr>
      <w:fldChar w:fldCharType="separate"/>
    </w:r>
    <w:r w:rsidR="004C6ACC">
      <w:rPr>
        <w:rFonts w:ascii="Century Gothic" w:eastAsia="Century Gothic" w:hAnsi="Century Gothic" w:cs="Century Gothic"/>
        <w:b/>
        <w:noProof/>
        <w:color w:val="525252"/>
        <w:sz w:val="16"/>
        <w:szCs w:val="16"/>
      </w:rPr>
      <w:t>1</w:t>
    </w:r>
    <w:r>
      <w:rPr>
        <w:rFonts w:ascii="Century Gothic" w:eastAsia="Century Gothic" w:hAnsi="Century Gothic" w:cs="Century Gothic"/>
        <w:b/>
        <w:color w:val="525252"/>
        <w:sz w:val="16"/>
        <w:szCs w:val="16"/>
      </w:rPr>
      <w:fldChar w:fldCharType="end"/>
    </w:r>
    <w:r>
      <w:rPr>
        <w:rFonts w:ascii="Century Gothic" w:eastAsia="Century Gothic" w:hAnsi="Century Gothic" w:cs="Century Gothic"/>
        <w:color w:val="525252"/>
        <w:sz w:val="16"/>
        <w:szCs w:val="16"/>
      </w:rPr>
      <w:t xml:space="preserve"> de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NUMPAGES</w:instrText>
    </w:r>
    <w:r>
      <w:rPr>
        <w:rFonts w:ascii="Century Gothic" w:eastAsia="Century Gothic" w:hAnsi="Century Gothic" w:cs="Century Gothic"/>
        <w:b/>
        <w:color w:val="525252"/>
        <w:sz w:val="16"/>
        <w:szCs w:val="16"/>
      </w:rPr>
      <w:fldChar w:fldCharType="separate"/>
    </w:r>
    <w:r w:rsidR="004C6ACC">
      <w:rPr>
        <w:rFonts w:ascii="Century Gothic" w:eastAsia="Century Gothic" w:hAnsi="Century Gothic" w:cs="Century Gothic"/>
        <w:b/>
        <w:noProof/>
        <w:color w:val="525252"/>
        <w:sz w:val="16"/>
        <w:szCs w:val="16"/>
      </w:rPr>
      <w:t>4</w:t>
    </w:r>
    <w:r>
      <w:rPr>
        <w:rFonts w:ascii="Century Gothic" w:eastAsia="Century Gothic" w:hAnsi="Century Gothic" w:cs="Century Gothic"/>
        <w:b/>
        <w:color w:val="525252"/>
        <w:sz w:val="16"/>
        <w:szCs w:val="16"/>
      </w:rPr>
      <w:fldChar w:fldCharType="end"/>
    </w:r>
  </w:p>
  <w:p w14:paraId="02125EF8" w14:textId="77777777" w:rsidR="00B05008" w:rsidRDefault="00B050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A9B29" w14:textId="77777777" w:rsidR="00252340" w:rsidRDefault="00252340">
      <w:r>
        <w:separator/>
      </w:r>
    </w:p>
  </w:footnote>
  <w:footnote w:type="continuationSeparator" w:id="0">
    <w:p w14:paraId="2F30CA50" w14:textId="77777777" w:rsidR="00252340" w:rsidRDefault="00252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176E" w14:textId="77777777" w:rsidR="00325B88" w:rsidRPr="00325B88" w:rsidRDefault="00325B88" w:rsidP="00325B88">
    <w:pPr>
      <w:jc w:val="right"/>
      <w:rPr>
        <w:rFonts w:ascii="Pinyon Script" w:eastAsia="Pinyon Script" w:hAnsi="Pinyon Script" w:cs="Pinyon Script"/>
        <w:b/>
        <w:i/>
      </w:rPr>
    </w:pPr>
    <w:r w:rsidRPr="00325B88">
      <w:rPr>
        <w:rFonts w:ascii="Pinyon Script" w:eastAsia="Pinyon Script" w:hAnsi="Pinyon Script" w:cs="Pinyon Script"/>
        <w:b/>
        <w:i/>
      </w:rPr>
      <w:t>"2022, Año del Centenario de la llegada de la Comunidad Menonita a Chihuahua”</w:t>
    </w:r>
  </w:p>
  <w:p w14:paraId="65A2C1A0"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2FEAF589"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63DA5D83"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4B425523" w14:textId="445A14C6" w:rsidR="00B05008" w:rsidRDefault="00B05008" w:rsidP="00E87DE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27CDF1E"/>
    <w:lvl w:ilvl="0">
      <w:start w:val="1"/>
      <w:numFmt w:val="decimal"/>
      <w:lvlText w:val="%1."/>
      <w:lvlJc w:val="left"/>
      <w:pPr>
        <w:tabs>
          <w:tab w:val="num" w:pos="360"/>
        </w:tabs>
        <w:ind w:left="360" w:hanging="360"/>
      </w:pPr>
    </w:lvl>
  </w:abstractNum>
  <w:abstractNum w:abstractNumId="1" w15:restartNumberingAfterBreak="0">
    <w:nsid w:val="08C931FD"/>
    <w:multiLevelType w:val="hybridMultilevel"/>
    <w:tmpl w:val="0BD44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7156B"/>
    <w:multiLevelType w:val="hybridMultilevel"/>
    <w:tmpl w:val="89B8F392"/>
    <w:lvl w:ilvl="0" w:tplc="91D40BA2">
      <w:start w:val="1"/>
      <w:numFmt w:val="decimal"/>
      <w:lvlText w:val="%1."/>
      <w:lvlJc w:val="left"/>
      <w:pPr>
        <w:ind w:left="720" w:hanging="360"/>
      </w:pPr>
      <w:rPr>
        <w:rFonts w:eastAsia="Arial" w:cs="Arial"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C43E2"/>
    <w:multiLevelType w:val="hybridMultilevel"/>
    <w:tmpl w:val="779E638E"/>
    <w:lvl w:ilvl="0" w:tplc="3C4C7B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B210BB"/>
    <w:multiLevelType w:val="hybridMultilevel"/>
    <w:tmpl w:val="9ED021CC"/>
    <w:lvl w:ilvl="0" w:tplc="3A5AF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3A607C"/>
    <w:multiLevelType w:val="hybridMultilevel"/>
    <w:tmpl w:val="A5D8F476"/>
    <w:lvl w:ilvl="0" w:tplc="AE7677C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F825E7"/>
    <w:multiLevelType w:val="hybridMultilevel"/>
    <w:tmpl w:val="46E2B8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5B3FF0"/>
    <w:multiLevelType w:val="hybridMultilevel"/>
    <w:tmpl w:val="EC1C8A84"/>
    <w:lvl w:ilvl="0" w:tplc="8C10CAF8">
      <w:start w:val="1"/>
      <w:numFmt w:val="bullet"/>
      <w:lvlText w:val=""/>
      <w:lvlJc w:val="left"/>
      <w:pPr>
        <w:ind w:left="720" w:hanging="360"/>
      </w:pPr>
      <w:rPr>
        <w:rFonts w:ascii="Wingdings" w:hAnsi="Wingdings" w:hint="default"/>
        <w:color w:val="00B05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850065"/>
    <w:multiLevelType w:val="hybridMultilevel"/>
    <w:tmpl w:val="C39A9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3D5F92"/>
    <w:multiLevelType w:val="multilevel"/>
    <w:tmpl w:val="4AA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330A0E"/>
    <w:multiLevelType w:val="hybridMultilevel"/>
    <w:tmpl w:val="EF6A7614"/>
    <w:lvl w:ilvl="0" w:tplc="6602B45A">
      <w:start w:val="1"/>
      <w:numFmt w:val="decimal"/>
      <w:lvlText w:val="%1."/>
      <w:lvlJc w:val="left"/>
      <w:pPr>
        <w:ind w:left="720" w:hanging="360"/>
      </w:pPr>
      <w:rPr>
        <w:rFonts w:ascii="Arial" w:hAnsi="Arial" w:cs="Arial" w:hint="default"/>
        <w:b w:val="0"/>
        <w:bCs w:val="0"/>
        <w:i w:val="0"/>
        <w:iCs w:val="0"/>
        <w:sz w:val="28"/>
        <w:szCs w:val="28"/>
      </w:rPr>
    </w:lvl>
    <w:lvl w:ilvl="1" w:tplc="AFC82B2E">
      <w:start w:val="96"/>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FB4C3F"/>
    <w:multiLevelType w:val="hybridMultilevel"/>
    <w:tmpl w:val="46E2B8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6"/>
  </w:num>
  <w:num w:numId="5">
    <w:abstractNumId w:val="11"/>
  </w:num>
  <w:num w:numId="6">
    <w:abstractNumId w:val="1"/>
  </w:num>
  <w:num w:numId="7">
    <w:abstractNumId w:val="0"/>
  </w:num>
  <w:num w:numId="8">
    <w:abstractNumId w:val="7"/>
  </w:num>
  <w:num w:numId="9">
    <w:abstractNumId w:val="4"/>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08"/>
    <w:rsid w:val="00001978"/>
    <w:rsid w:val="0000547A"/>
    <w:rsid w:val="00007A28"/>
    <w:rsid w:val="00033E45"/>
    <w:rsid w:val="00061E96"/>
    <w:rsid w:val="00082D53"/>
    <w:rsid w:val="000A4E35"/>
    <w:rsid w:val="000E4C2D"/>
    <w:rsid w:val="000E5AA3"/>
    <w:rsid w:val="00113DE2"/>
    <w:rsid w:val="00116E2A"/>
    <w:rsid w:val="001304A5"/>
    <w:rsid w:val="00142759"/>
    <w:rsid w:val="00186EE6"/>
    <w:rsid w:val="00187EA4"/>
    <w:rsid w:val="00193D88"/>
    <w:rsid w:val="001A4EBF"/>
    <w:rsid w:val="001B39B5"/>
    <w:rsid w:val="001E3D47"/>
    <w:rsid w:val="001F54C6"/>
    <w:rsid w:val="001F64D8"/>
    <w:rsid w:val="0020395B"/>
    <w:rsid w:val="0024077A"/>
    <w:rsid w:val="0024194D"/>
    <w:rsid w:val="00252340"/>
    <w:rsid w:val="002E1A43"/>
    <w:rsid w:val="002E3250"/>
    <w:rsid w:val="00325B88"/>
    <w:rsid w:val="003320ED"/>
    <w:rsid w:val="00341F41"/>
    <w:rsid w:val="0037245F"/>
    <w:rsid w:val="003776C3"/>
    <w:rsid w:val="0038217B"/>
    <w:rsid w:val="00382FAA"/>
    <w:rsid w:val="003E7250"/>
    <w:rsid w:val="004139B3"/>
    <w:rsid w:val="00433A7B"/>
    <w:rsid w:val="00435832"/>
    <w:rsid w:val="00455B5F"/>
    <w:rsid w:val="00460F75"/>
    <w:rsid w:val="00462B4C"/>
    <w:rsid w:val="00465A14"/>
    <w:rsid w:val="00467D72"/>
    <w:rsid w:val="00493CCD"/>
    <w:rsid w:val="004B7377"/>
    <w:rsid w:val="004C6ACC"/>
    <w:rsid w:val="00532350"/>
    <w:rsid w:val="00543495"/>
    <w:rsid w:val="00561059"/>
    <w:rsid w:val="0056143E"/>
    <w:rsid w:val="005668BF"/>
    <w:rsid w:val="0058632E"/>
    <w:rsid w:val="00594920"/>
    <w:rsid w:val="00596A33"/>
    <w:rsid w:val="005D4BA1"/>
    <w:rsid w:val="005D7DE9"/>
    <w:rsid w:val="0060108C"/>
    <w:rsid w:val="0062671E"/>
    <w:rsid w:val="00633923"/>
    <w:rsid w:val="00634FC5"/>
    <w:rsid w:val="00663789"/>
    <w:rsid w:val="00677728"/>
    <w:rsid w:val="00681A87"/>
    <w:rsid w:val="0069175F"/>
    <w:rsid w:val="006C0F45"/>
    <w:rsid w:val="006C66BA"/>
    <w:rsid w:val="006D39C1"/>
    <w:rsid w:val="006F4335"/>
    <w:rsid w:val="006F6E47"/>
    <w:rsid w:val="00717FBB"/>
    <w:rsid w:val="007218EA"/>
    <w:rsid w:val="00744E12"/>
    <w:rsid w:val="00752C30"/>
    <w:rsid w:val="00757B25"/>
    <w:rsid w:val="00830167"/>
    <w:rsid w:val="008533B6"/>
    <w:rsid w:val="00864F05"/>
    <w:rsid w:val="00870170"/>
    <w:rsid w:val="0089213D"/>
    <w:rsid w:val="008A2FA2"/>
    <w:rsid w:val="008C399A"/>
    <w:rsid w:val="008F6A9D"/>
    <w:rsid w:val="00940CF7"/>
    <w:rsid w:val="00947893"/>
    <w:rsid w:val="00952B1C"/>
    <w:rsid w:val="009568C4"/>
    <w:rsid w:val="00966393"/>
    <w:rsid w:val="009768FB"/>
    <w:rsid w:val="00983084"/>
    <w:rsid w:val="00987FC9"/>
    <w:rsid w:val="00997402"/>
    <w:rsid w:val="009C138C"/>
    <w:rsid w:val="009C1E11"/>
    <w:rsid w:val="009E2C49"/>
    <w:rsid w:val="00A43F50"/>
    <w:rsid w:val="00AB12DD"/>
    <w:rsid w:val="00AC30E2"/>
    <w:rsid w:val="00AE3499"/>
    <w:rsid w:val="00B05008"/>
    <w:rsid w:val="00B059AC"/>
    <w:rsid w:val="00B24791"/>
    <w:rsid w:val="00B737DC"/>
    <w:rsid w:val="00BB5755"/>
    <w:rsid w:val="00BE33D5"/>
    <w:rsid w:val="00BE466E"/>
    <w:rsid w:val="00C010D6"/>
    <w:rsid w:val="00C12F1C"/>
    <w:rsid w:val="00C2361D"/>
    <w:rsid w:val="00C4557B"/>
    <w:rsid w:val="00C5028B"/>
    <w:rsid w:val="00CA69E6"/>
    <w:rsid w:val="00CB5B36"/>
    <w:rsid w:val="00CC3E3F"/>
    <w:rsid w:val="00CD5EC0"/>
    <w:rsid w:val="00CF257F"/>
    <w:rsid w:val="00D12AFD"/>
    <w:rsid w:val="00D30850"/>
    <w:rsid w:val="00D34A93"/>
    <w:rsid w:val="00D54A0F"/>
    <w:rsid w:val="00D759FE"/>
    <w:rsid w:val="00D90625"/>
    <w:rsid w:val="00DC2212"/>
    <w:rsid w:val="00DC3AF2"/>
    <w:rsid w:val="00E23652"/>
    <w:rsid w:val="00E52BD2"/>
    <w:rsid w:val="00E54D5D"/>
    <w:rsid w:val="00E55070"/>
    <w:rsid w:val="00E5590E"/>
    <w:rsid w:val="00E62FC4"/>
    <w:rsid w:val="00E80863"/>
    <w:rsid w:val="00E87DE3"/>
    <w:rsid w:val="00ED5AF2"/>
    <w:rsid w:val="00ED65D5"/>
    <w:rsid w:val="00EE6FF4"/>
    <w:rsid w:val="00EF3745"/>
    <w:rsid w:val="00F02D05"/>
    <w:rsid w:val="00F166E7"/>
    <w:rsid w:val="00F209F9"/>
    <w:rsid w:val="00F3141D"/>
    <w:rsid w:val="00F406F3"/>
    <w:rsid w:val="00F41BB7"/>
    <w:rsid w:val="00F46FB7"/>
    <w:rsid w:val="00F7760D"/>
    <w:rsid w:val="00F83DB1"/>
    <w:rsid w:val="00F95346"/>
    <w:rsid w:val="00FA2FAC"/>
    <w:rsid w:val="00FC5458"/>
    <w:rsid w:val="00FD6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247C"/>
  <w15:docId w15:val="{A9D2CFC1-61B5-4702-90DD-69754E3E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link w:val="Ttulo2Car"/>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nfasis">
    <w:name w:val="Emphasis"/>
    <w:basedOn w:val="Fuentedeprrafopredeter"/>
    <w:uiPriority w:val="20"/>
    <w:qFormat/>
    <w:rsid w:val="00C5028B"/>
    <w:rPr>
      <w:i/>
      <w:iCs/>
    </w:rPr>
  </w:style>
  <w:style w:type="character" w:customStyle="1" w:styleId="Ttulo3Car">
    <w:name w:val="Título 3 Car"/>
    <w:basedOn w:val="Fuentedeprrafopredeter"/>
    <w:link w:val="Ttulo3"/>
    <w:uiPriority w:val="9"/>
    <w:rsid w:val="00C5028B"/>
    <w:rPr>
      <w:b/>
      <w:sz w:val="28"/>
      <w:szCs w:val="28"/>
    </w:rPr>
  </w:style>
  <w:style w:type="paragraph" w:styleId="Prrafodelista">
    <w:name w:val="List Paragraph"/>
    <w:aliases w:val="Párrafo de lista1,TEXTO GENERAL SENTENCIAS,Cita texto,Footnote,List Paragraph1,Párrafo de lista2,List Paragraph,CNBV Parrafo1,Parrafo 1,Colorful List - Accent 11,Cuadrícula clara - Énfasis 31"/>
    <w:basedOn w:val="Normal"/>
    <w:link w:val="PrrafodelistaCar"/>
    <w:uiPriority w:val="34"/>
    <w:qFormat/>
    <w:rsid w:val="00C5028B"/>
    <w:pPr>
      <w:ind w:left="708"/>
    </w:pPr>
    <w:rPr>
      <w:lang w:val="es-ES_tradnl"/>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
    <w:link w:val="Prrafodelista"/>
    <w:uiPriority w:val="34"/>
    <w:locked/>
    <w:rsid w:val="00C5028B"/>
    <w:rPr>
      <w:lang w:val="es-ES_tradnl"/>
    </w:rPr>
  </w:style>
  <w:style w:type="paragraph" w:customStyle="1" w:styleId="Default">
    <w:name w:val="Default"/>
    <w:rsid w:val="00C5028B"/>
    <w:pPr>
      <w:autoSpaceDE w:val="0"/>
      <w:autoSpaceDN w:val="0"/>
      <w:adjustRightInd w:val="0"/>
    </w:pPr>
    <w:rPr>
      <w:rFonts w:ascii="Verdana" w:eastAsiaTheme="minorHAnsi" w:hAnsi="Verdana" w:cs="Verdana"/>
      <w:color w:val="000000"/>
      <w:sz w:val="24"/>
      <w:szCs w:val="24"/>
      <w:lang w:eastAsia="en-US"/>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TextonotapieCar"/>
    <w:uiPriority w:val="99"/>
    <w:qFormat/>
    <w:rsid w:val="00C5028B"/>
    <w:rPr>
      <w:lang w:val="es-ES_tradnl"/>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C5028B"/>
    <w:rPr>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C502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5028B"/>
    <w:pPr>
      <w:jc w:val="both"/>
    </w:pPr>
    <w:rPr>
      <w:vertAlign w:val="superscript"/>
    </w:rPr>
  </w:style>
  <w:style w:type="paragraph" w:styleId="NormalWeb">
    <w:name w:val="Normal (Web)"/>
    <w:basedOn w:val="Normal"/>
    <w:uiPriority w:val="99"/>
    <w:unhideWhenUsed/>
    <w:rsid w:val="00C5028B"/>
    <w:pPr>
      <w:spacing w:before="100" w:beforeAutospacing="1" w:after="100" w:afterAutospacing="1"/>
    </w:pPr>
    <w:rPr>
      <w:sz w:val="24"/>
      <w:szCs w:val="24"/>
    </w:rPr>
  </w:style>
  <w:style w:type="character" w:styleId="Hipervnculo">
    <w:name w:val="Hyperlink"/>
    <w:basedOn w:val="Fuentedeprrafopredeter"/>
    <w:uiPriority w:val="99"/>
    <w:unhideWhenUsed/>
    <w:rsid w:val="00C5028B"/>
    <w:rPr>
      <w:color w:val="0000FF"/>
      <w:u w:val="single"/>
    </w:rPr>
  </w:style>
  <w:style w:type="paragraph" w:customStyle="1" w:styleId="corte4fondo">
    <w:name w:val="corte4 fondo"/>
    <w:basedOn w:val="Normal"/>
    <w:link w:val="corte4fondoCar1"/>
    <w:qFormat/>
    <w:rsid w:val="00C5028B"/>
    <w:pPr>
      <w:spacing w:line="360" w:lineRule="auto"/>
      <w:ind w:firstLine="709"/>
      <w:jc w:val="both"/>
    </w:pPr>
    <w:rPr>
      <w:rFonts w:ascii="Arial" w:hAnsi="Arial"/>
      <w:sz w:val="30"/>
      <w:lang w:val="es-ES_tradnl"/>
    </w:rPr>
  </w:style>
  <w:style w:type="character" w:customStyle="1" w:styleId="corte4fondoCar1">
    <w:name w:val="corte4 fondo Car1"/>
    <w:link w:val="corte4fondo"/>
    <w:rsid w:val="00C5028B"/>
    <w:rPr>
      <w:rFonts w:ascii="Arial" w:hAnsi="Arial"/>
      <w:sz w:val="30"/>
      <w:lang w:val="es-ES_tradnl"/>
    </w:rPr>
  </w:style>
  <w:style w:type="paragraph" w:styleId="Piedepgina">
    <w:name w:val="footer"/>
    <w:aliases w:val=" Car Car Car Car"/>
    <w:basedOn w:val="Normal"/>
    <w:link w:val="PiedepginaCar"/>
    <w:uiPriority w:val="99"/>
    <w:unhideWhenUsed/>
    <w:rsid w:val="00C5028B"/>
    <w:pPr>
      <w:tabs>
        <w:tab w:val="center" w:pos="4419"/>
        <w:tab w:val="right" w:pos="8838"/>
      </w:tabs>
    </w:pPr>
    <w:rPr>
      <w:lang w:val="es-ES_tradnl"/>
    </w:rPr>
  </w:style>
  <w:style w:type="character" w:customStyle="1" w:styleId="PiedepginaCar">
    <w:name w:val="Pie de página Car"/>
    <w:aliases w:val=" Car Car Car Car Car"/>
    <w:basedOn w:val="Fuentedeprrafopredeter"/>
    <w:link w:val="Piedepgina"/>
    <w:uiPriority w:val="99"/>
    <w:rsid w:val="00C5028B"/>
    <w:rPr>
      <w:lang w:val="es-ES_tradnl"/>
    </w:rPr>
  </w:style>
  <w:style w:type="paragraph" w:customStyle="1" w:styleId="Normal0">
    <w:name w:val="[Normal]"/>
    <w:rsid w:val="00C5028B"/>
    <w:pPr>
      <w:widowControl w:val="0"/>
      <w:autoSpaceDE w:val="0"/>
      <w:autoSpaceDN w:val="0"/>
      <w:adjustRightInd w:val="0"/>
    </w:pPr>
    <w:rPr>
      <w:rFonts w:ascii="Arial" w:hAnsi="Arial" w:cs="Arial"/>
      <w:sz w:val="24"/>
      <w:szCs w:val="24"/>
      <w:lang w:val="es-ES" w:eastAsia="es-ES"/>
    </w:rPr>
  </w:style>
  <w:style w:type="character" w:styleId="Nmerodepgina">
    <w:name w:val="page number"/>
    <w:basedOn w:val="Fuentedeprrafopredeter"/>
    <w:rsid w:val="00C5028B"/>
  </w:style>
  <w:style w:type="paragraph" w:customStyle="1" w:styleId="defaultstyledtext-xb1qmn-0">
    <w:name w:val="default__styledtext-xb1qmn-0"/>
    <w:basedOn w:val="Normal"/>
    <w:rsid w:val="00C5028B"/>
    <w:pPr>
      <w:spacing w:before="100" w:beforeAutospacing="1" w:after="100" w:afterAutospacing="1"/>
    </w:pPr>
    <w:rPr>
      <w:sz w:val="24"/>
      <w:szCs w:val="24"/>
    </w:rPr>
  </w:style>
  <w:style w:type="paragraph" w:customStyle="1" w:styleId="text-center">
    <w:name w:val="text-center"/>
    <w:basedOn w:val="Normal"/>
    <w:rsid w:val="00C5028B"/>
    <w:pPr>
      <w:spacing w:before="100" w:beforeAutospacing="1" w:after="100" w:afterAutospacing="1"/>
    </w:pPr>
    <w:rPr>
      <w:sz w:val="24"/>
      <w:szCs w:val="24"/>
    </w:rPr>
  </w:style>
  <w:style w:type="character" w:styleId="Textoennegrita">
    <w:name w:val="Strong"/>
    <w:basedOn w:val="Fuentedeprrafopredeter"/>
    <w:uiPriority w:val="22"/>
    <w:qFormat/>
    <w:rsid w:val="00C5028B"/>
    <w:rPr>
      <w:b/>
      <w:bCs/>
    </w:rPr>
  </w:style>
  <w:style w:type="paragraph" w:customStyle="1" w:styleId="text-justify">
    <w:name w:val="text-justify"/>
    <w:basedOn w:val="Normal"/>
    <w:rsid w:val="00C5028B"/>
    <w:pPr>
      <w:spacing w:before="100" w:beforeAutospacing="1" w:after="100" w:afterAutospacing="1"/>
    </w:pPr>
    <w:rPr>
      <w:sz w:val="24"/>
      <w:szCs w:val="24"/>
    </w:rPr>
  </w:style>
  <w:style w:type="paragraph" w:styleId="Encabezado">
    <w:name w:val="header"/>
    <w:basedOn w:val="Normal"/>
    <w:link w:val="EncabezadoCar"/>
    <w:uiPriority w:val="99"/>
    <w:unhideWhenUsed/>
    <w:rsid w:val="00C5028B"/>
    <w:pPr>
      <w:tabs>
        <w:tab w:val="center" w:pos="4680"/>
        <w:tab w:val="right" w:pos="9360"/>
      </w:tabs>
    </w:pPr>
    <w:rPr>
      <w:rFonts w:asciiTheme="minorHAnsi" w:eastAsiaTheme="minorEastAsia" w:hAnsiTheme="minorHAnsi" w:cstheme="minorBidi"/>
      <w:sz w:val="24"/>
      <w:szCs w:val="24"/>
      <w:lang w:eastAsia="en-US"/>
    </w:rPr>
  </w:style>
  <w:style w:type="character" w:customStyle="1" w:styleId="EncabezadoCar">
    <w:name w:val="Encabezado Car"/>
    <w:basedOn w:val="Fuentedeprrafopredeter"/>
    <w:link w:val="Encabezado"/>
    <w:uiPriority w:val="99"/>
    <w:rsid w:val="00C5028B"/>
    <w:rPr>
      <w:rFonts w:asciiTheme="minorHAnsi" w:eastAsiaTheme="minorEastAsia" w:hAnsiTheme="minorHAnsi" w:cstheme="minorBidi"/>
      <w:sz w:val="24"/>
      <w:szCs w:val="24"/>
      <w:lang w:eastAsia="en-US"/>
    </w:rPr>
  </w:style>
  <w:style w:type="character" w:customStyle="1" w:styleId="Ttulo2Car">
    <w:name w:val="Título 2 Car"/>
    <w:basedOn w:val="Fuentedeprrafopredeter"/>
    <w:link w:val="Ttulo2"/>
    <w:uiPriority w:val="9"/>
    <w:semiHidden/>
    <w:rsid w:val="00C5028B"/>
    <w:rPr>
      <w:rFonts w:ascii="Calibri" w:eastAsia="Calibri" w:hAnsi="Calibri" w:cs="Calibri"/>
      <w:color w:val="2E75B5"/>
      <w:sz w:val="26"/>
      <w:szCs w:val="26"/>
    </w:rPr>
  </w:style>
  <w:style w:type="character" w:customStyle="1" w:styleId="trcrboxheaderspan">
    <w:name w:val="trc_rbox_header_span"/>
    <w:basedOn w:val="Fuentedeprrafopredeter"/>
    <w:rsid w:val="00C5028B"/>
  </w:style>
  <w:style w:type="character" w:customStyle="1" w:styleId="video-label">
    <w:name w:val="video-label"/>
    <w:basedOn w:val="Fuentedeprrafopredeter"/>
    <w:rsid w:val="00C5028B"/>
  </w:style>
  <w:style w:type="character" w:customStyle="1" w:styleId="branding">
    <w:name w:val="branding"/>
    <w:basedOn w:val="Fuentedeprrafopredeter"/>
    <w:rsid w:val="00C5028B"/>
  </w:style>
  <w:style w:type="character" w:customStyle="1" w:styleId="author">
    <w:name w:val="author"/>
    <w:basedOn w:val="Fuentedeprrafopredeter"/>
    <w:rsid w:val="00C5028B"/>
  </w:style>
  <w:style w:type="character" w:customStyle="1" w:styleId="location">
    <w:name w:val="location"/>
    <w:basedOn w:val="Fuentedeprrafopredeter"/>
    <w:rsid w:val="00C5028B"/>
  </w:style>
  <w:style w:type="character" w:styleId="Textodelmarcadordeposicin">
    <w:name w:val="Placeholder Text"/>
    <w:basedOn w:val="Fuentedeprrafopredeter"/>
    <w:uiPriority w:val="99"/>
    <w:semiHidden/>
    <w:rsid w:val="001F54C6"/>
    <w:rPr>
      <w:color w:val="808080"/>
    </w:rPr>
  </w:style>
  <w:style w:type="table" w:styleId="Tablaconcuadrcula">
    <w:name w:val="Table Grid"/>
    <w:basedOn w:val="Tablanormal"/>
    <w:uiPriority w:val="39"/>
    <w:rsid w:val="002419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ia">
    <w:name w:val="sangria"/>
    <w:basedOn w:val="Normal"/>
    <w:rsid w:val="008921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4340-0DF3-401F-A2BD-4A061BF6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7063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cp:lastPrinted>2022-03-14T04:48:00Z</cp:lastPrinted>
  <dcterms:created xsi:type="dcterms:W3CDTF">2022-08-05T20:02:00Z</dcterms:created>
  <dcterms:modified xsi:type="dcterms:W3CDTF">2022-08-05T20:02:00Z</dcterms:modified>
</cp:coreProperties>
</file>