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3794B" w14:textId="77777777" w:rsidR="0072537A" w:rsidRDefault="0072537A" w:rsidP="00CA58A1">
      <w:pPr>
        <w:spacing w:after="0" w:line="360" w:lineRule="auto"/>
        <w:jc w:val="both"/>
        <w:rPr>
          <w:rFonts w:ascii="Arial" w:hAnsi="Arial" w:cs="Arial"/>
          <w:b/>
          <w:color w:val="000000"/>
          <w:sz w:val="24"/>
          <w:szCs w:val="24"/>
        </w:rPr>
      </w:pPr>
    </w:p>
    <w:p w14:paraId="415EF942" w14:textId="398445E0" w:rsidR="0072537A" w:rsidRDefault="0072537A" w:rsidP="00CA58A1">
      <w:pPr>
        <w:spacing w:after="0" w:line="360" w:lineRule="auto"/>
        <w:jc w:val="both"/>
        <w:rPr>
          <w:rFonts w:ascii="Arial" w:hAnsi="Arial" w:cs="Arial"/>
          <w:b/>
          <w:color w:val="000000"/>
          <w:sz w:val="24"/>
          <w:szCs w:val="24"/>
        </w:rPr>
      </w:pPr>
    </w:p>
    <w:p w14:paraId="22796A75" w14:textId="77777777" w:rsidR="0072537A" w:rsidRDefault="0072537A" w:rsidP="00CA58A1">
      <w:pPr>
        <w:spacing w:after="0" w:line="360" w:lineRule="auto"/>
        <w:jc w:val="both"/>
        <w:rPr>
          <w:rFonts w:ascii="Arial" w:hAnsi="Arial" w:cs="Arial"/>
          <w:b/>
          <w:color w:val="000000"/>
          <w:sz w:val="24"/>
          <w:szCs w:val="24"/>
        </w:rPr>
      </w:pPr>
    </w:p>
    <w:p w14:paraId="51259C36" w14:textId="28C8D6C2" w:rsidR="00F20F5D" w:rsidRPr="00CA58A1" w:rsidRDefault="00F20F5D" w:rsidP="00CA58A1">
      <w:pPr>
        <w:spacing w:after="0" w:line="360" w:lineRule="auto"/>
        <w:jc w:val="both"/>
        <w:rPr>
          <w:rFonts w:ascii="Arial" w:hAnsi="Arial" w:cs="Arial"/>
          <w:b/>
          <w:color w:val="000000"/>
          <w:sz w:val="24"/>
          <w:szCs w:val="24"/>
        </w:rPr>
      </w:pPr>
      <w:r w:rsidRPr="00CA58A1">
        <w:rPr>
          <w:rFonts w:ascii="Arial" w:hAnsi="Arial" w:cs="Arial"/>
          <w:b/>
          <w:color w:val="000000"/>
          <w:sz w:val="24"/>
          <w:szCs w:val="24"/>
        </w:rPr>
        <w:t xml:space="preserve">H. CONGRESO DEL ESTADO </w:t>
      </w:r>
    </w:p>
    <w:p w14:paraId="2AE69DFB" w14:textId="77777777" w:rsidR="00F20F5D" w:rsidRPr="00CA58A1" w:rsidRDefault="00F20F5D" w:rsidP="00CA58A1">
      <w:pPr>
        <w:spacing w:after="0" w:line="360" w:lineRule="auto"/>
        <w:jc w:val="both"/>
        <w:rPr>
          <w:rFonts w:ascii="Arial" w:hAnsi="Arial" w:cs="Arial"/>
          <w:b/>
          <w:color w:val="000000"/>
          <w:sz w:val="24"/>
          <w:szCs w:val="24"/>
        </w:rPr>
      </w:pPr>
      <w:r w:rsidRPr="00CA58A1">
        <w:rPr>
          <w:rFonts w:ascii="Arial" w:hAnsi="Arial" w:cs="Arial"/>
          <w:b/>
          <w:color w:val="000000"/>
          <w:sz w:val="24"/>
          <w:szCs w:val="24"/>
        </w:rPr>
        <w:t>P R E S E N T E.-</w:t>
      </w:r>
    </w:p>
    <w:p w14:paraId="6C478245" w14:textId="77777777" w:rsidR="00F20F5D" w:rsidRPr="00CA58A1" w:rsidRDefault="00F20F5D" w:rsidP="00CA58A1">
      <w:pPr>
        <w:spacing w:after="0" w:line="360" w:lineRule="auto"/>
        <w:jc w:val="both"/>
        <w:rPr>
          <w:rFonts w:ascii="Arial" w:hAnsi="Arial" w:cs="Arial"/>
          <w:color w:val="000000"/>
          <w:sz w:val="24"/>
          <w:szCs w:val="24"/>
        </w:rPr>
      </w:pPr>
    </w:p>
    <w:p w14:paraId="4D666DA8" w14:textId="5EC2E7DD" w:rsidR="00100B4D" w:rsidRDefault="00F20F5D" w:rsidP="001E4F3E">
      <w:pPr>
        <w:spacing w:after="0" w:line="360" w:lineRule="auto"/>
        <w:ind w:firstLine="708"/>
        <w:jc w:val="both"/>
        <w:rPr>
          <w:rFonts w:ascii="Arial" w:hAnsi="Arial" w:cs="Arial"/>
          <w:sz w:val="24"/>
          <w:szCs w:val="24"/>
        </w:rPr>
      </w:pPr>
      <w:r w:rsidRPr="00CA58A1">
        <w:rPr>
          <w:rFonts w:ascii="Arial" w:hAnsi="Arial" w:cs="Arial"/>
          <w:color w:val="000000"/>
          <w:sz w:val="24"/>
          <w:szCs w:val="24"/>
        </w:rPr>
        <w:t xml:space="preserve">La Suscrita, </w:t>
      </w:r>
      <w:r w:rsidR="002B13F7" w:rsidRPr="00CA58A1">
        <w:rPr>
          <w:rFonts w:ascii="Arial" w:hAnsi="Arial" w:cs="Arial"/>
          <w:b/>
          <w:color w:val="000000"/>
          <w:sz w:val="24"/>
          <w:szCs w:val="24"/>
        </w:rPr>
        <w:t xml:space="preserve">Diana Ivette Pereda </w:t>
      </w:r>
      <w:bookmarkStart w:id="0" w:name="_GoBack"/>
      <w:bookmarkEnd w:id="0"/>
      <w:r w:rsidR="002B13F7" w:rsidRPr="00CA58A1">
        <w:rPr>
          <w:rFonts w:ascii="Arial" w:hAnsi="Arial" w:cs="Arial"/>
          <w:b/>
          <w:color w:val="000000"/>
          <w:sz w:val="24"/>
          <w:szCs w:val="24"/>
        </w:rPr>
        <w:t>Gutiérrez</w:t>
      </w:r>
      <w:r w:rsidRPr="00CA58A1">
        <w:rPr>
          <w:rFonts w:ascii="Arial" w:hAnsi="Arial" w:cs="Arial"/>
          <w:color w:val="000000"/>
          <w:sz w:val="24"/>
          <w:szCs w:val="24"/>
        </w:rPr>
        <w:t xml:space="preserve"> en mi carácter de diputada de la Sexagésima Séptima Legislatura del H. Congreso del Estado, en representación del Grupo Parlamentario del Partido Acción Nacional, con fundamento </w:t>
      </w:r>
      <w:r w:rsidR="0083167A" w:rsidRPr="00CA58A1">
        <w:rPr>
          <w:rFonts w:ascii="Arial" w:hAnsi="Arial" w:cs="Arial"/>
          <w:sz w:val="24"/>
          <w:szCs w:val="24"/>
        </w:rPr>
        <w:t xml:space="preserve">en lo dispuesto en los Artículos </w:t>
      </w:r>
      <w:r w:rsidR="00ED7331">
        <w:rPr>
          <w:rFonts w:ascii="Arial" w:hAnsi="Arial" w:cs="Arial"/>
          <w:sz w:val="24"/>
          <w:szCs w:val="24"/>
        </w:rPr>
        <w:t>64 fracciones I y II, y 68 fracción I</w:t>
      </w:r>
      <w:r w:rsidR="00912475" w:rsidRPr="00CA58A1">
        <w:rPr>
          <w:rFonts w:ascii="Arial" w:hAnsi="Arial" w:cs="Arial"/>
          <w:sz w:val="24"/>
          <w:szCs w:val="24"/>
        </w:rPr>
        <w:t xml:space="preserve"> </w:t>
      </w:r>
      <w:r w:rsidR="0083167A" w:rsidRPr="00CA58A1">
        <w:rPr>
          <w:rFonts w:ascii="Arial" w:hAnsi="Arial" w:cs="Arial"/>
          <w:sz w:val="24"/>
          <w:szCs w:val="24"/>
        </w:rPr>
        <w:t>de la Constitución Política del Estado de Chihuahua</w:t>
      </w:r>
      <w:r w:rsidR="00ED7331">
        <w:rPr>
          <w:rFonts w:ascii="Arial" w:hAnsi="Arial" w:cs="Arial"/>
          <w:sz w:val="24"/>
          <w:szCs w:val="24"/>
        </w:rPr>
        <w:t>;</w:t>
      </w:r>
      <w:r w:rsidR="0083167A" w:rsidRPr="00CA58A1">
        <w:rPr>
          <w:rFonts w:ascii="Arial" w:hAnsi="Arial" w:cs="Arial"/>
          <w:sz w:val="24"/>
          <w:szCs w:val="24"/>
        </w:rPr>
        <w:t xml:space="preserve"> artículo 167 fracción </w:t>
      </w:r>
      <w:r w:rsidR="00F328CF">
        <w:rPr>
          <w:rFonts w:ascii="Arial" w:hAnsi="Arial" w:cs="Arial"/>
          <w:sz w:val="24"/>
          <w:szCs w:val="24"/>
        </w:rPr>
        <w:t xml:space="preserve">I </w:t>
      </w:r>
      <w:r w:rsidR="0083167A" w:rsidRPr="00CA58A1">
        <w:rPr>
          <w:rFonts w:ascii="Arial" w:hAnsi="Arial" w:cs="Arial"/>
          <w:sz w:val="24"/>
          <w:szCs w:val="24"/>
        </w:rPr>
        <w:t>de la Ley Orgánica del Poder Legislativo</w:t>
      </w:r>
      <w:r w:rsidR="00D81B41" w:rsidRPr="00CA58A1">
        <w:rPr>
          <w:rFonts w:ascii="Arial" w:hAnsi="Arial" w:cs="Arial"/>
          <w:sz w:val="24"/>
          <w:szCs w:val="24"/>
        </w:rPr>
        <w:t>, así como los 75, 76 y 77 del Reglamento Interior y de Prácticas Parlamentarias</w:t>
      </w:r>
      <w:r w:rsidR="0083167A" w:rsidRPr="00CA58A1">
        <w:rPr>
          <w:rFonts w:ascii="Arial" w:hAnsi="Arial" w:cs="Arial"/>
          <w:sz w:val="24"/>
          <w:szCs w:val="24"/>
        </w:rPr>
        <w:t xml:space="preserve">; acudo ante esta Honorable Representación Popular, a efecto de presentar </w:t>
      </w:r>
      <w:r w:rsidR="0083167A" w:rsidRPr="00CA58A1">
        <w:rPr>
          <w:rFonts w:ascii="Arial" w:hAnsi="Arial" w:cs="Arial"/>
          <w:b/>
          <w:sz w:val="24"/>
          <w:szCs w:val="24"/>
        </w:rPr>
        <w:t xml:space="preserve">Iniciativa con carácter de </w:t>
      </w:r>
      <w:bookmarkStart w:id="1" w:name="_Hlk83298868"/>
      <w:r w:rsidR="00100B4D">
        <w:rPr>
          <w:rFonts w:ascii="Arial" w:hAnsi="Arial" w:cs="Arial"/>
          <w:b/>
          <w:sz w:val="24"/>
          <w:szCs w:val="24"/>
        </w:rPr>
        <w:t>Decreto</w:t>
      </w:r>
      <w:r w:rsidR="004A5296" w:rsidRPr="00CA58A1">
        <w:rPr>
          <w:rFonts w:ascii="Arial" w:hAnsi="Arial" w:cs="Arial"/>
          <w:sz w:val="24"/>
          <w:szCs w:val="24"/>
        </w:rPr>
        <w:t xml:space="preserve"> </w:t>
      </w:r>
      <w:r w:rsidR="009628F8" w:rsidRPr="00CA58A1">
        <w:rPr>
          <w:rFonts w:ascii="Arial" w:hAnsi="Arial" w:cs="Arial"/>
          <w:sz w:val="24"/>
          <w:szCs w:val="24"/>
        </w:rPr>
        <w:t>para</w:t>
      </w:r>
      <w:r w:rsidR="00100B4D">
        <w:rPr>
          <w:rFonts w:ascii="Arial" w:hAnsi="Arial" w:cs="Arial"/>
          <w:sz w:val="24"/>
          <w:szCs w:val="24"/>
        </w:rPr>
        <w:t xml:space="preserve"> adicionar diversas disposiciones</w:t>
      </w:r>
      <w:r w:rsidR="00195F32">
        <w:rPr>
          <w:rFonts w:ascii="Arial" w:hAnsi="Arial" w:cs="Arial"/>
          <w:sz w:val="24"/>
          <w:szCs w:val="24"/>
        </w:rPr>
        <w:t xml:space="preserve"> de la Ley Estatal de Educación y la Ley de los Derechos de las Niñas, Niños y Adolescentes</w:t>
      </w:r>
      <w:r w:rsidR="00100B4D">
        <w:rPr>
          <w:rFonts w:ascii="Arial" w:hAnsi="Arial" w:cs="Arial"/>
          <w:sz w:val="24"/>
          <w:szCs w:val="24"/>
        </w:rPr>
        <w:t xml:space="preserve">, a fin de </w:t>
      </w:r>
      <w:r w:rsidR="00195F32">
        <w:rPr>
          <w:rFonts w:ascii="Arial" w:hAnsi="Arial" w:cs="Arial"/>
          <w:sz w:val="24"/>
          <w:szCs w:val="24"/>
        </w:rPr>
        <w:t xml:space="preserve">Implementar </w:t>
      </w:r>
      <w:r w:rsidR="0077797B" w:rsidRPr="008B3DD5">
        <w:rPr>
          <w:rFonts w:ascii="Arial" w:hAnsi="Arial" w:cs="Arial"/>
          <w:sz w:val="24"/>
          <w:szCs w:val="24"/>
        </w:rPr>
        <w:t>a través de talleres al interior de las instituciones educativas, hábitos</w:t>
      </w:r>
      <w:r w:rsidR="0077797B">
        <w:rPr>
          <w:rFonts w:ascii="Arial" w:hAnsi="Arial" w:cs="Arial"/>
          <w:sz w:val="24"/>
          <w:szCs w:val="24"/>
        </w:rPr>
        <w:t xml:space="preserve"> de</w:t>
      </w:r>
      <w:r w:rsidR="0077797B" w:rsidRPr="008B3DD5">
        <w:rPr>
          <w:rFonts w:ascii="Arial" w:hAnsi="Arial" w:cs="Arial"/>
          <w:sz w:val="24"/>
          <w:szCs w:val="24"/>
        </w:rPr>
        <w:t xml:space="preserve"> autocuidado y de correcta higiene bucodental.</w:t>
      </w:r>
      <w:bookmarkEnd w:id="1"/>
    </w:p>
    <w:p w14:paraId="54795263" w14:textId="5EC52D44" w:rsidR="00EF48F7" w:rsidRPr="00CA58A1" w:rsidRDefault="0083167A" w:rsidP="00100B4D">
      <w:pPr>
        <w:spacing w:after="0" w:line="360" w:lineRule="auto"/>
        <w:jc w:val="both"/>
        <w:rPr>
          <w:rFonts w:ascii="Arial" w:hAnsi="Arial" w:cs="Arial"/>
          <w:sz w:val="24"/>
          <w:szCs w:val="24"/>
        </w:rPr>
      </w:pPr>
      <w:r w:rsidRPr="00CA58A1">
        <w:rPr>
          <w:rFonts w:ascii="Arial" w:hAnsi="Arial" w:cs="Arial"/>
          <w:sz w:val="24"/>
          <w:szCs w:val="24"/>
        </w:rPr>
        <w:t>Lo anterior al tenor de la siguiente:</w:t>
      </w:r>
    </w:p>
    <w:p w14:paraId="4E5460E4" w14:textId="77777777" w:rsidR="00CA58A1" w:rsidRPr="00CA58A1" w:rsidRDefault="00CA58A1" w:rsidP="00CA58A1">
      <w:pPr>
        <w:spacing w:after="0" w:line="360" w:lineRule="auto"/>
        <w:jc w:val="both"/>
        <w:rPr>
          <w:rFonts w:ascii="Arial" w:hAnsi="Arial" w:cs="Arial"/>
          <w:sz w:val="24"/>
          <w:szCs w:val="24"/>
        </w:rPr>
      </w:pPr>
    </w:p>
    <w:p w14:paraId="1449E0C0" w14:textId="77777777" w:rsidR="0072537A" w:rsidRDefault="0072537A" w:rsidP="0072537A">
      <w:pPr>
        <w:spacing w:after="0" w:line="360" w:lineRule="auto"/>
        <w:jc w:val="center"/>
        <w:rPr>
          <w:rFonts w:ascii="Arial" w:hAnsi="Arial" w:cs="Arial"/>
          <w:b/>
          <w:bCs/>
          <w:sz w:val="24"/>
          <w:szCs w:val="24"/>
        </w:rPr>
      </w:pPr>
      <w:r w:rsidRPr="00CA58A1">
        <w:rPr>
          <w:rFonts w:ascii="Arial" w:hAnsi="Arial" w:cs="Arial"/>
          <w:b/>
          <w:bCs/>
          <w:sz w:val="24"/>
          <w:szCs w:val="24"/>
        </w:rPr>
        <w:t>EXPOSICIÓN DE MOTIVOS</w:t>
      </w:r>
    </w:p>
    <w:p w14:paraId="713FEDC1" w14:textId="77777777" w:rsidR="0072537A" w:rsidRPr="00CA58A1" w:rsidRDefault="0072537A" w:rsidP="0072537A">
      <w:pPr>
        <w:spacing w:after="0" w:line="360" w:lineRule="auto"/>
        <w:jc w:val="center"/>
        <w:rPr>
          <w:rFonts w:ascii="Arial" w:hAnsi="Arial" w:cs="Arial"/>
          <w:b/>
          <w:bCs/>
          <w:sz w:val="24"/>
          <w:szCs w:val="24"/>
        </w:rPr>
      </w:pPr>
    </w:p>
    <w:p w14:paraId="3C90F44F" w14:textId="77777777" w:rsidR="0072537A" w:rsidRDefault="0072537A" w:rsidP="0072537A">
      <w:pPr>
        <w:pStyle w:val="Prrafodelista"/>
        <w:numPr>
          <w:ilvl w:val="0"/>
          <w:numId w:val="6"/>
        </w:numPr>
        <w:spacing w:after="0" w:line="360" w:lineRule="auto"/>
        <w:jc w:val="both"/>
        <w:rPr>
          <w:rFonts w:ascii="Arial" w:hAnsi="Arial" w:cs="Arial"/>
          <w:sz w:val="24"/>
          <w:szCs w:val="24"/>
        </w:rPr>
      </w:pPr>
      <w:r w:rsidRPr="003247E8">
        <w:rPr>
          <w:rFonts w:ascii="Arial" w:hAnsi="Arial" w:cs="Arial"/>
          <w:sz w:val="24"/>
          <w:szCs w:val="24"/>
        </w:rPr>
        <w:t xml:space="preserve">Garantizar una vida sana y promover el bienestar de todos a todas las edades es el Objetivo marcado con el número 3 en los Objetivos de Desarrollo Sostenible de la agenda 2030 propuesta por la ONU, pero su aplicación en la práctica resulta más compleja que este simple enunciado. Garantizar una vida sana y promover el bienestar de todos a todas las edades es un reto que en esta legislatura no podemos perder de vista y que atender ya que a partir de la crisis sanitaria por COVID 19 pudimos entender la importancia de la salud integral de todas y todos, desde edades tempranas hasta la adultez es invaluable al momento de enfrentar situaciones desconocidas o </w:t>
      </w:r>
      <w:r w:rsidRPr="003247E8">
        <w:rPr>
          <w:rFonts w:ascii="Arial" w:hAnsi="Arial" w:cs="Arial"/>
          <w:sz w:val="24"/>
          <w:szCs w:val="24"/>
        </w:rPr>
        <w:lastRenderedPageBreak/>
        <w:t xml:space="preserve">desconcertantes como la que se vivió en 2020. Es por ello, que un aprendizaje bien entendido que se requiere en esta nueva era es la comprensión de la importancia de la prevención de la salud en todas las etapas de desarrollo por lo que promover hábitos correctos de higiene y una alimentación adecuada deberán ser temas del diario en adelante. </w:t>
      </w:r>
    </w:p>
    <w:p w14:paraId="1FF94375" w14:textId="77777777" w:rsidR="0072537A" w:rsidRPr="00D87A43" w:rsidRDefault="0072537A" w:rsidP="0072537A">
      <w:pPr>
        <w:pStyle w:val="Prrafodelista"/>
        <w:spacing w:after="0" w:line="360" w:lineRule="auto"/>
        <w:jc w:val="both"/>
        <w:rPr>
          <w:rFonts w:ascii="Arial" w:hAnsi="Arial" w:cs="Arial"/>
          <w:sz w:val="24"/>
          <w:szCs w:val="24"/>
        </w:rPr>
      </w:pPr>
    </w:p>
    <w:p w14:paraId="389DA14B" w14:textId="77777777" w:rsidR="0072537A" w:rsidRPr="00F05274" w:rsidRDefault="0072537A" w:rsidP="0072537A">
      <w:pPr>
        <w:pStyle w:val="Prrafodelista"/>
        <w:numPr>
          <w:ilvl w:val="0"/>
          <w:numId w:val="6"/>
        </w:numPr>
        <w:spacing w:after="0" w:line="360" w:lineRule="auto"/>
        <w:jc w:val="both"/>
        <w:rPr>
          <w:rFonts w:ascii="Arial" w:hAnsi="Arial" w:cs="Arial"/>
          <w:sz w:val="24"/>
          <w:szCs w:val="24"/>
        </w:rPr>
      </w:pPr>
      <w:r w:rsidRPr="003247E8">
        <w:rPr>
          <w:rFonts w:ascii="Arial" w:hAnsi="Arial" w:cs="Arial"/>
          <w:sz w:val="24"/>
          <w:szCs w:val="24"/>
        </w:rPr>
        <w:t>Según datos de la Organización Mundial de la Salud en nuestro país entre 2017 y 2018, más del setenta por ciento de niños entre cinco y seis años de edad sufrían por caries en los dientes. Los primeros dientes en los infantes aparecen entre los seis meses de edad y se complementa toda la dentición antes de los dos años, estos primeros son conocidos como dientes de leche. La caries en la primera infancia se distingue de las caries del resto por su rápido desarrollo y la complicación en su abordaje y los efectos económicos para las familias que implica su atención y tratamiento. El único tratamiento para atender la caries es la extracción de dientes infectados, lo que implica una experiencia traumática para el niño y su familia. Estas extracciones se realizan con anestesia general y los costos de la atención son muchas veces inaccesible para un porcentaje de población alto en nuestro país, por lo que muchas veces no es atendida hasta que se llega a la adultez.</w:t>
      </w:r>
    </w:p>
    <w:p w14:paraId="12418028" w14:textId="77777777" w:rsidR="0072537A" w:rsidRPr="00A4534C" w:rsidRDefault="0072537A" w:rsidP="0072537A">
      <w:pPr>
        <w:pStyle w:val="Prrafodelista"/>
        <w:spacing w:after="0" w:line="360" w:lineRule="auto"/>
        <w:jc w:val="both"/>
        <w:rPr>
          <w:rFonts w:ascii="Arial" w:hAnsi="Arial" w:cs="Arial"/>
          <w:sz w:val="24"/>
          <w:szCs w:val="24"/>
        </w:rPr>
      </w:pPr>
    </w:p>
    <w:p w14:paraId="75DE4410" w14:textId="77777777" w:rsidR="0072537A" w:rsidRPr="003247E8" w:rsidRDefault="0072537A" w:rsidP="0072537A">
      <w:pPr>
        <w:pStyle w:val="Prrafodelista"/>
        <w:numPr>
          <w:ilvl w:val="0"/>
          <w:numId w:val="6"/>
        </w:numPr>
        <w:spacing w:after="0" w:line="360" w:lineRule="auto"/>
        <w:jc w:val="both"/>
        <w:rPr>
          <w:rFonts w:ascii="Arial" w:hAnsi="Arial" w:cs="Arial"/>
          <w:sz w:val="24"/>
          <w:szCs w:val="24"/>
        </w:rPr>
      </w:pPr>
      <w:r w:rsidRPr="008B3DD5">
        <w:rPr>
          <w:rFonts w:ascii="Arial" w:hAnsi="Arial" w:cs="Arial"/>
          <w:sz w:val="24"/>
          <w:szCs w:val="24"/>
        </w:rPr>
        <w:t xml:space="preserve">La mayoría de los </w:t>
      </w:r>
      <w:r>
        <w:rPr>
          <w:rFonts w:ascii="Arial" w:hAnsi="Arial" w:cs="Arial"/>
          <w:sz w:val="24"/>
          <w:szCs w:val="24"/>
        </w:rPr>
        <w:t xml:space="preserve">problemas de salud dental son prevenibles y se pueden tratar en etapas iniciales, pero la falta de acceso a los servicios de salud y la falta de cobertura universal por parte del sistema general de salud, impiden que las personas fuera de alguno de las coberturas médicas eviten los tratamientos dentales por los costos inaccesibles para sus economías y que de forma contradictoria estas problemáticas afectan a los más pobres y desfavorecidos. A mayor pobreza, mayor incidencia. </w:t>
      </w:r>
      <w:r w:rsidRPr="009A21A1">
        <w:rPr>
          <w:rFonts w:ascii="Arial" w:hAnsi="Arial" w:cs="Arial"/>
          <w:sz w:val="24"/>
          <w:szCs w:val="24"/>
        </w:rPr>
        <w:t>La carga de morbilidad por enfermedades bucodentales y otras enfermedades no transmisibles puede reducirse mediante intervenciones de salud pública dirigidas a los factores de riesgo más comunes</w:t>
      </w:r>
      <w:r>
        <w:rPr>
          <w:rFonts w:ascii="Arial" w:hAnsi="Arial" w:cs="Arial"/>
          <w:sz w:val="24"/>
          <w:szCs w:val="24"/>
        </w:rPr>
        <w:t xml:space="preserve">, es por ello que consideramos importante que desde los centros escolares se </w:t>
      </w:r>
      <w:r>
        <w:rPr>
          <w:rFonts w:ascii="Arial" w:hAnsi="Arial" w:cs="Arial"/>
          <w:sz w:val="24"/>
          <w:szCs w:val="24"/>
        </w:rPr>
        <w:lastRenderedPageBreak/>
        <w:t xml:space="preserve">incluyan programas que se enfoquen en la implantación de hábitos saludables de higiene dental tomando en consideración que el sistema básico educativo nacional abarca desde los menores a partir de los tres años hasta llegar a los quince, por lo que hacer énfasis en adquirir estos hábitos en estas etapas resulta imperante. </w:t>
      </w:r>
      <w:r w:rsidRPr="003247E8">
        <w:rPr>
          <w:rFonts w:ascii="Arial" w:hAnsi="Arial" w:cs="Arial"/>
          <w:sz w:val="24"/>
          <w:szCs w:val="24"/>
        </w:rPr>
        <w:t xml:space="preserve">Entre </w:t>
      </w:r>
      <w:r>
        <w:rPr>
          <w:rFonts w:ascii="Arial" w:hAnsi="Arial" w:cs="Arial"/>
          <w:sz w:val="24"/>
          <w:szCs w:val="24"/>
        </w:rPr>
        <w:t xml:space="preserve">los hábitos que puede </w:t>
      </w:r>
      <w:r w:rsidRPr="003247E8">
        <w:rPr>
          <w:rFonts w:ascii="Arial" w:hAnsi="Arial" w:cs="Arial"/>
          <w:sz w:val="24"/>
          <w:szCs w:val="24"/>
        </w:rPr>
        <w:t xml:space="preserve">prevenir las enfermedades bucodentales </w:t>
      </w:r>
      <w:r>
        <w:rPr>
          <w:rFonts w:ascii="Arial" w:hAnsi="Arial" w:cs="Arial"/>
          <w:sz w:val="24"/>
          <w:szCs w:val="24"/>
        </w:rPr>
        <w:t xml:space="preserve">están los hábitos alimenticios bajos en azucares y altos en frutas y hortalizas. El consumo constante de agua y la exposición suficiente a alimentos con alto contenido de fluor es fundamental para prevenir las caries. </w:t>
      </w:r>
      <w:r w:rsidRPr="003247E8">
        <w:rPr>
          <w:rFonts w:ascii="Arial" w:hAnsi="Arial" w:cs="Arial"/>
          <w:sz w:val="24"/>
          <w:szCs w:val="24"/>
        </w:rPr>
        <w:t>Procurar técnicas de cepillado correcto con dentífrico fluorado (de 1000 a 1500 ppm) dos veces al día, es útil también en la prevención de enfermedades bucodentales</w:t>
      </w:r>
      <w:r>
        <w:rPr>
          <w:rFonts w:ascii="Arial" w:hAnsi="Arial" w:cs="Arial"/>
          <w:sz w:val="24"/>
          <w:szCs w:val="24"/>
        </w:rPr>
        <w:t>, así como visitas al dentista cuando menos una vez al año y preferentemente cada seis meses.</w:t>
      </w:r>
    </w:p>
    <w:p w14:paraId="6AE6093B" w14:textId="77777777" w:rsidR="0072537A" w:rsidRPr="008B3DD5" w:rsidRDefault="0072537A" w:rsidP="0072537A">
      <w:pPr>
        <w:pStyle w:val="Prrafodelista"/>
        <w:rPr>
          <w:rFonts w:ascii="Arial" w:hAnsi="Arial" w:cs="Arial"/>
          <w:sz w:val="24"/>
          <w:szCs w:val="24"/>
        </w:rPr>
      </w:pPr>
    </w:p>
    <w:p w14:paraId="15FCFA2C" w14:textId="40C4A6F8" w:rsidR="0072537A" w:rsidRPr="0085213B" w:rsidRDefault="0072537A" w:rsidP="0072537A">
      <w:pPr>
        <w:pStyle w:val="Prrafodelista"/>
        <w:numPr>
          <w:ilvl w:val="0"/>
          <w:numId w:val="6"/>
        </w:numPr>
        <w:spacing w:after="0" w:line="360" w:lineRule="auto"/>
        <w:jc w:val="both"/>
        <w:rPr>
          <w:rFonts w:ascii="Arial" w:hAnsi="Arial" w:cs="Arial"/>
          <w:sz w:val="24"/>
          <w:szCs w:val="24"/>
        </w:rPr>
      </w:pPr>
      <w:r w:rsidRPr="0085213B">
        <w:rPr>
          <w:rFonts w:ascii="Arial" w:hAnsi="Arial" w:cs="Arial"/>
          <w:sz w:val="24"/>
          <w:szCs w:val="24"/>
        </w:rPr>
        <w:t>En la gran mayoría de los países en desarrollo como lo es el caso de México, la atención dental no se encuentra configurada dentro de los servicios de cobertura universal otorgada por el estado, por lo que el gasto directo que se requiere de parte de quienes requieren la atención es considerable y en algunos casos catastrófico que incide en el empobrecimiento y dificultad económica entre las personas con más carencias. Es por ello que la presente iniciativa pretende dar un paso en la prevención de estas enfermedades, estableciendo dentro de la estructura formal del sistema educativo, la obligación de implementar hábitos de higiene de salud bucal.</w:t>
      </w:r>
      <w:r>
        <w:rPr>
          <w:rFonts w:ascii="Arial" w:hAnsi="Arial" w:cs="Arial"/>
          <w:sz w:val="24"/>
          <w:szCs w:val="24"/>
        </w:rPr>
        <w:t xml:space="preserve"> En el estado de Chihuahua, según datos de la Secretaría de Educación Pública en el ciclo escolar 2020-2021 se encontraban matriculados en la educación básica un total de 726,605 alumnos, de los cuales 9,657 corresponden a educación inicial, 114,632 en educación preescolar, 410,612 en educación primaria y 191,704 en educación secundaria. De igual forma, según datos del INEGI en su conteo 2020, en el estado, el 93% de los niños en edad escolar obligatoria se encuentran inscritos de forma regular, por lo que resulta relevante que dicha medida que pretende atender la problemática se promueva al interior de los centros escolares. </w:t>
      </w:r>
    </w:p>
    <w:p w14:paraId="25162674" w14:textId="77777777" w:rsidR="0072537A" w:rsidRPr="008B3DD5" w:rsidRDefault="0072537A" w:rsidP="0072537A">
      <w:pPr>
        <w:pStyle w:val="Prrafodelista"/>
        <w:rPr>
          <w:rFonts w:ascii="Arial" w:hAnsi="Arial" w:cs="Arial"/>
          <w:sz w:val="24"/>
          <w:szCs w:val="24"/>
        </w:rPr>
      </w:pPr>
    </w:p>
    <w:p w14:paraId="5DCDFA05" w14:textId="77777777" w:rsidR="0072537A" w:rsidRDefault="0072537A" w:rsidP="0072537A">
      <w:pPr>
        <w:pStyle w:val="Prrafodelista"/>
        <w:numPr>
          <w:ilvl w:val="0"/>
          <w:numId w:val="6"/>
        </w:numPr>
        <w:spacing w:after="0" w:line="360" w:lineRule="auto"/>
        <w:jc w:val="both"/>
        <w:rPr>
          <w:rFonts w:ascii="Arial" w:hAnsi="Arial" w:cs="Arial"/>
          <w:sz w:val="24"/>
          <w:szCs w:val="24"/>
        </w:rPr>
      </w:pPr>
      <w:r w:rsidRPr="008B3DD5">
        <w:rPr>
          <w:rFonts w:ascii="Arial" w:hAnsi="Arial" w:cs="Arial"/>
          <w:sz w:val="24"/>
          <w:szCs w:val="24"/>
        </w:rPr>
        <w:t>En 2021, la 74.ª Asamblea Mundial de la Salud aprobó una resolución sobre salud bucodental en la que se recomendó abandonar el enfoque curativo tradicional y adoptar un planteamiento que promueva la prevención, incluida la promoción de la salud bucodental en la familia, la escuela y el lugar de trabajo, y que incluya una atención oportuna, integral e inclusiva dentro del sistema de atención primaria. La resolución afirma que la salud bucodental se debe integrar en la lucha contra las enfermedades no transmisibles y que las intervenciones en esta esfera deben incluirse en los programas relacionados con la cobertura sanitaria universal</w:t>
      </w:r>
      <w:r>
        <w:rPr>
          <w:rStyle w:val="Refdenotaalpie"/>
          <w:rFonts w:ascii="Arial" w:hAnsi="Arial" w:cs="Arial"/>
          <w:sz w:val="24"/>
          <w:szCs w:val="24"/>
        </w:rPr>
        <w:footnoteReference w:id="2"/>
      </w:r>
      <w:r w:rsidRPr="008B3DD5">
        <w:rPr>
          <w:rFonts w:ascii="Arial" w:hAnsi="Arial" w:cs="Arial"/>
          <w:sz w:val="24"/>
          <w:szCs w:val="24"/>
        </w:rPr>
        <w:t>. </w:t>
      </w:r>
    </w:p>
    <w:p w14:paraId="41FD6F67" w14:textId="77777777" w:rsidR="0072537A" w:rsidRPr="0085213B" w:rsidRDefault="0072537A" w:rsidP="0072537A">
      <w:pPr>
        <w:pStyle w:val="Prrafodelista"/>
        <w:rPr>
          <w:rFonts w:ascii="Arial" w:hAnsi="Arial" w:cs="Arial"/>
          <w:sz w:val="24"/>
          <w:szCs w:val="24"/>
        </w:rPr>
      </w:pPr>
    </w:p>
    <w:p w14:paraId="32A7973D" w14:textId="77777777" w:rsidR="0072537A" w:rsidRPr="00073FAD" w:rsidRDefault="0072537A" w:rsidP="0072537A">
      <w:pPr>
        <w:pStyle w:val="Prrafodelista"/>
        <w:rPr>
          <w:rFonts w:ascii="Arial" w:hAnsi="Arial" w:cs="Arial"/>
          <w:sz w:val="24"/>
          <w:szCs w:val="24"/>
        </w:rPr>
      </w:pPr>
    </w:p>
    <w:p w14:paraId="6261CA50" w14:textId="77777777" w:rsidR="0072537A" w:rsidRPr="00C23D6E" w:rsidRDefault="0072537A" w:rsidP="0072537A">
      <w:pPr>
        <w:pStyle w:val="Prrafodelista"/>
        <w:numPr>
          <w:ilvl w:val="0"/>
          <w:numId w:val="6"/>
        </w:numPr>
        <w:suppressAutoHyphens/>
        <w:autoSpaceDN w:val="0"/>
        <w:spacing w:after="0" w:line="360" w:lineRule="auto"/>
        <w:contextualSpacing w:val="0"/>
        <w:jc w:val="both"/>
        <w:rPr>
          <w:rFonts w:ascii="Arial" w:hAnsi="Arial" w:cs="Arial"/>
          <w:color w:val="000000"/>
          <w:sz w:val="24"/>
          <w:szCs w:val="24"/>
        </w:rPr>
      </w:pPr>
      <w:r>
        <w:rPr>
          <w:rFonts w:ascii="Arial" w:hAnsi="Arial" w:cs="Arial"/>
          <w:color w:val="000000"/>
          <w:sz w:val="24"/>
          <w:szCs w:val="24"/>
        </w:rPr>
        <w:t xml:space="preserve">Por su parte, el Plan Estatal de Desarrollo 2021-2027, incorpora la promoción, prevención y control de enfermedades como un eje transversal en la implementación de las políticas públicas a desarrollar en el presente sexenio, se propone como un compromiso del gobierno </w:t>
      </w:r>
      <w:r w:rsidRPr="00B06C46">
        <w:rPr>
          <w:rFonts w:ascii="Arial" w:hAnsi="Arial" w:cs="Arial"/>
          <w:i/>
          <w:iCs/>
          <w:sz w:val="24"/>
          <w:szCs w:val="24"/>
        </w:rPr>
        <w:t xml:space="preserve">“Prevenir y atender los principales riesgos de salud de las mujeres, niñas, niños y adolescentes, desprendiendo como línea de acción la promoción de la salud en la infancia y adolescencia, así como realizar acciones de prevención y detección oportuna de enfermedades que pongan en riesgo la salud con el fin de dar tratamiento, controlar, retrasar o evitar complicaciones que afecten la calidad de vida de la población”. </w:t>
      </w:r>
      <w:r w:rsidRPr="00B06C46">
        <w:rPr>
          <w:rFonts w:ascii="Arial" w:hAnsi="Arial" w:cs="Arial"/>
          <w:color w:val="000000"/>
          <w:sz w:val="24"/>
          <w:szCs w:val="24"/>
        </w:rPr>
        <w:t>Esta afir</w:t>
      </w:r>
      <w:r w:rsidRPr="00C23D6E">
        <w:rPr>
          <w:rFonts w:ascii="Arial" w:hAnsi="Arial" w:cs="Arial"/>
          <w:color w:val="000000"/>
          <w:sz w:val="24"/>
          <w:szCs w:val="24"/>
        </w:rPr>
        <w:t>mación, refuerza la oportunidad de dar cauce</w:t>
      </w:r>
      <w:r>
        <w:rPr>
          <w:rFonts w:ascii="Arial" w:hAnsi="Arial" w:cs="Arial"/>
          <w:color w:val="000000"/>
          <w:sz w:val="24"/>
          <w:szCs w:val="24"/>
        </w:rPr>
        <w:t xml:space="preserve"> a la</w:t>
      </w:r>
      <w:r w:rsidRPr="00C23D6E">
        <w:rPr>
          <w:rFonts w:ascii="Arial" w:hAnsi="Arial" w:cs="Arial"/>
          <w:color w:val="000000"/>
          <w:sz w:val="24"/>
          <w:szCs w:val="24"/>
        </w:rPr>
        <w:t xml:space="preserve"> presente </w:t>
      </w:r>
      <w:r>
        <w:rPr>
          <w:rFonts w:ascii="Arial" w:hAnsi="Arial" w:cs="Arial"/>
          <w:color w:val="000000"/>
          <w:sz w:val="24"/>
          <w:szCs w:val="24"/>
        </w:rPr>
        <w:t>iniciativa</w:t>
      </w:r>
      <w:r w:rsidRPr="00C23D6E">
        <w:rPr>
          <w:rFonts w:ascii="Arial" w:hAnsi="Arial" w:cs="Arial"/>
          <w:color w:val="000000"/>
          <w:sz w:val="24"/>
          <w:szCs w:val="24"/>
        </w:rPr>
        <w:t>.</w:t>
      </w:r>
    </w:p>
    <w:p w14:paraId="5C9B4005" w14:textId="77777777" w:rsidR="0072537A" w:rsidRPr="008B3DD5" w:rsidRDefault="0072537A" w:rsidP="0072537A">
      <w:pPr>
        <w:pStyle w:val="Prrafodelista"/>
        <w:rPr>
          <w:rFonts w:ascii="Arial" w:hAnsi="Arial" w:cs="Arial"/>
          <w:sz w:val="24"/>
          <w:szCs w:val="24"/>
        </w:rPr>
      </w:pPr>
    </w:p>
    <w:p w14:paraId="4AF3DB4E" w14:textId="4770BCED" w:rsidR="0072537A" w:rsidRPr="008B3DD5" w:rsidRDefault="0072537A" w:rsidP="0072537A">
      <w:pPr>
        <w:pStyle w:val="Prrafodelista"/>
        <w:numPr>
          <w:ilvl w:val="0"/>
          <w:numId w:val="6"/>
        </w:numPr>
        <w:spacing w:after="0" w:line="360" w:lineRule="auto"/>
        <w:jc w:val="both"/>
        <w:rPr>
          <w:rFonts w:ascii="Arial" w:hAnsi="Arial" w:cs="Arial"/>
          <w:sz w:val="24"/>
          <w:szCs w:val="24"/>
        </w:rPr>
      </w:pPr>
      <w:r w:rsidRPr="008B3DD5">
        <w:rPr>
          <w:rFonts w:ascii="Arial" w:hAnsi="Arial" w:cs="Arial"/>
          <w:sz w:val="24"/>
          <w:szCs w:val="24"/>
        </w:rPr>
        <w:t xml:space="preserve">Es por ello por lo que se considera importante reforzar las políticas públicas </w:t>
      </w:r>
      <w:r w:rsidR="00CC4940" w:rsidRPr="008B3DD5">
        <w:rPr>
          <w:rFonts w:ascii="Arial" w:hAnsi="Arial" w:cs="Arial"/>
          <w:sz w:val="24"/>
          <w:szCs w:val="24"/>
        </w:rPr>
        <w:t>con relación a</w:t>
      </w:r>
      <w:r w:rsidRPr="008B3DD5">
        <w:rPr>
          <w:rFonts w:ascii="Arial" w:hAnsi="Arial" w:cs="Arial"/>
          <w:sz w:val="24"/>
          <w:szCs w:val="24"/>
        </w:rPr>
        <w:t xml:space="preserve"> la salud bucodental al interior de las escuelas, para prevenir los efectos adversos que la falta de higiene causa entre las poblaciones más marginadas que se encuentran en situación de pobreza. </w:t>
      </w:r>
    </w:p>
    <w:p w14:paraId="083110DD" w14:textId="77777777" w:rsidR="0072537A" w:rsidRPr="008B3DD5" w:rsidRDefault="0072537A" w:rsidP="0072537A">
      <w:pPr>
        <w:spacing w:after="0" w:line="360" w:lineRule="auto"/>
        <w:jc w:val="both"/>
        <w:rPr>
          <w:rFonts w:ascii="Arial" w:hAnsi="Arial" w:cs="Arial"/>
          <w:sz w:val="24"/>
          <w:szCs w:val="24"/>
        </w:rPr>
      </w:pPr>
    </w:p>
    <w:p w14:paraId="5D609360" w14:textId="12BDA33E" w:rsidR="0072537A" w:rsidRPr="00CA58A1" w:rsidRDefault="0072537A" w:rsidP="0072537A">
      <w:pPr>
        <w:spacing w:line="360" w:lineRule="auto"/>
        <w:ind w:firstLine="709"/>
        <w:jc w:val="both"/>
        <w:rPr>
          <w:rFonts w:ascii="Arial" w:hAnsi="Arial" w:cs="Arial"/>
          <w:sz w:val="24"/>
          <w:szCs w:val="24"/>
        </w:rPr>
      </w:pPr>
      <w:r w:rsidRPr="00CA58A1">
        <w:rPr>
          <w:rFonts w:ascii="Arial" w:hAnsi="Arial" w:cs="Arial"/>
          <w:sz w:val="24"/>
          <w:szCs w:val="24"/>
        </w:rPr>
        <w:lastRenderedPageBreak/>
        <w:t>Por lo anteriormente expuesto y fundado, pongo a consideración de esta Honorable Asamblea Legislativa el siguiente</w:t>
      </w:r>
      <w:r w:rsidR="00153F4E">
        <w:rPr>
          <w:rFonts w:ascii="Arial" w:hAnsi="Arial" w:cs="Arial"/>
          <w:sz w:val="24"/>
          <w:szCs w:val="24"/>
        </w:rPr>
        <w:t xml:space="preserve"> proyecto</w:t>
      </w:r>
      <w:r w:rsidRPr="00CA58A1">
        <w:rPr>
          <w:rFonts w:ascii="Arial" w:hAnsi="Arial" w:cs="Arial"/>
          <w:sz w:val="24"/>
          <w:szCs w:val="24"/>
        </w:rPr>
        <w:t xml:space="preserve"> con carácter de:</w:t>
      </w:r>
    </w:p>
    <w:p w14:paraId="45119140" w14:textId="77777777" w:rsidR="0090583D" w:rsidRPr="00CA58A1" w:rsidRDefault="0090583D" w:rsidP="00CA58A1">
      <w:pPr>
        <w:spacing w:line="360" w:lineRule="auto"/>
        <w:ind w:firstLine="709"/>
        <w:jc w:val="both"/>
        <w:rPr>
          <w:rFonts w:ascii="Arial" w:hAnsi="Arial" w:cs="Arial"/>
          <w:sz w:val="24"/>
          <w:szCs w:val="24"/>
        </w:rPr>
      </w:pPr>
    </w:p>
    <w:p w14:paraId="479A121C" w14:textId="653423B4" w:rsidR="00F20F5D" w:rsidRPr="00CA58A1" w:rsidRDefault="00CA58A1" w:rsidP="00156646">
      <w:pPr>
        <w:spacing w:line="360" w:lineRule="auto"/>
        <w:jc w:val="center"/>
        <w:rPr>
          <w:rFonts w:ascii="Arial" w:hAnsi="Arial" w:cs="Arial"/>
          <w:b/>
          <w:sz w:val="24"/>
          <w:szCs w:val="24"/>
        </w:rPr>
      </w:pPr>
      <w:r w:rsidRPr="00CA58A1">
        <w:rPr>
          <w:rFonts w:ascii="Arial" w:hAnsi="Arial" w:cs="Arial"/>
          <w:b/>
          <w:sz w:val="24"/>
          <w:szCs w:val="24"/>
        </w:rPr>
        <w:t>DECRETO</w:t>
      </w:r>
      <w:r w:rsidR="0090583D" w:rsidRPr="00CA58A1">
        <w:rPr>
          <w:rFonts w:ascii="Arial" w:hAnsi="Arial" w:cs="Arial"/>
          <w:b/>
          <w:sz w:val="24"/>
          <w:szCs w:val="24"/>
        </w:rPr>
        <w:t>:</w:t>
      </w:r>
    </w:p>
    <w:p w14:paraId="4DFE1F96" w14:textId="428AA58C" w:rsidR="0090583D" w:rsidRDefault="004804E6" w:rsidP="00CA58A1">
      <w:pPr>
        <w:spacing w:line="360" w:lineRule="auto"/>
        <w:jc w:val="both"/>
        <w:rPr>
          <w:rFonts w:ascii="Arial" w:hAnsi="Arial" w:cs="Arial"/>
          <w:bCs/>
          <w:sz w:val="24"/>
          <w:szCs w:val="24"/>
        </w:rPr>
      </w:pPr>
      <w:r w:rsidRPr="004804E6">
        <w:rPr>
          <w:rFonts w:ascii="Arial" w:hAnsi="Arial" w:cs="Arial"/>
          <w:b/>
          <w:sz w:val="24"/>
          <w:szCs w:val="24"/>
        </w:rPr>
        <w:t>ARTÍCULO PRIMERO. –</w:t>
      </w:r>
      <w:r>
        <w:rPr>
          <w:rFonts w:ascii="Arial" w:hAnsi="Arial" w:cs="Arial"/>
          <w:b/>
          <w:sz w:val="24"/>
          <w:szCs w:val="24"/>
        </w:rPr>
        <w:t xml:space="preserve"> </w:t>
      </w:r>
      <w:r w:rsidR="00DD25A3" w:rsidRPr="00867727">
        <w:rPr>
          <w:rFonts w:ascii="Arial" w:hAnsi="Arial" w:cs="Arial"/>
          <w:bCs/>
          <w:sz w:val="24"/>
          <w:szCs w:val="24"/>
        </w:rPr>
        <w:t>Se</w:t>
      </w:r>
      <w:r w:rsidR="00DD25A3">
        <w:rPr>
          <w:rFonts w:ascii="Arial" w:hAnsi="Arial" w:cs="Arial"/>
          <w:b/>
          <w:sz w:val="24"/>
          <w:szCs w:val="24"/>
        </w:rPr>
        <w:t xml:space="preserve"> </w:t>
      </w:r>
      <w:r w:rsidRPr="004804E6">
        <w:rPr>
          <w:rFonts w:ascii="Arial" w:hAnsi="Arial" w:cs="Arial"/>
          <w:b/>
          <w:sz w:val="24"/>
          <w:szCs w:val="24"/>
        </w:rPr>
        <w:t>ADICIONA</w:t>
      </w:r>
      <w:r>
        <w:rPr>
          <w:rFonts w:ascii="Arial" w:hAnsi="Arial" w:cs="Arial"/>
          <w:b/>
          <w:sz w:val="24"/>
          <w:szCs w:val="24"/>
        </w:rPr>
        <w:t xml:space="preserve"> </w:t>
      </w:r>
      <w:r w:rsidR="00DD25A3" w:rsidRPr="00867727">
        <w:rPr>
          <w:rFonts w:ascii="Arial" w:hAnsi="Arial" w:cs="Arial"/>
          <w:bCs/>
          <w:sz w:val="24"/>
          <w:szCs w:val="24"/>
        </w:rPr>
        <w:t>al</w:t>
      </w:r>
      <w:r w:rsidR="00DD25A3">
        <w:rPr>
          <w:rFonts w:ascii="Arial" w:hAnsi="Arial" w:cs="Arial"/>
          <w:bCs/>
          <w:sz w:val="24"/>
          <w:szCs w:val="24"/>
        </w:rPr>
        <w:t xml:space="preserve"> artículo 2 </w:t>
      </w:r>
      <w:r w:rsidR="00867727">
        <w:rPr>
          <w:rFonts w:ascii="Arial" w:hAnsi="Arial" w:cs="Arial"/>
          <w:bCs/>
          <w:sz w:val="24"/>
          <w:szCs w:val="24"/>
        </w:rPr>
        <w:t>una</w:t>
      </w:r>
      <w:r w:rsidR="00DD25A3">
        <w:rPr>
          <w:rFonts w:ascii="Arial" w:hAnsi="Arial" w:cs="Arial"/>
          <w:bCs/>
          <w:sz w:val="24"/>
          <w:szCs w:val="24"/>
        </w:rPr>
        <w:t xml:space="preserve"> fracción XVI</w:t>
      </w:r>
      <w:r w:rsidR="00867727">
        <w:rPr>
          <w:rFonts w:ascii="Arial" w:hAnsi="Arial" w:cs="Arial"/>
          <w:bCs/>
          <w:sz w:val="24"/>
          <w:szCs w:val="24"/>
        </w:rPr>
        <w:t xml:space="preserve">; </w:t>
      </w:r>
      <w:r w:rsidR="00DD25A3">
        <w:rPr>
          <w:rFonts w:ascii="Arial" w:hAnsi="Arial" w:cs="Arial"/>
          <w:bCs/>
          <w:sz w:val="24"/>
          <w:szCs w:val="24"/>
        </w:rPr>
        <w:t xml:space="preserve">y se </w:t>
      </w:r>
      <w:r w:rsidRPr="004804E6">
        <w:rPr>
          <w:rFonts w:ascii="Arial" w:hAnsi="Arial" w:cs="Arial"/>
          <w:b/>
          <w:sz w:val="24"/>
          <w:szCs w:val="24"/>
        </w:rPr>
        <w:t>ADICIONA</w:t>
      </w:r>
      <w:r>
        <w:rPr>
          <w:rFonts w:ascii="Arial" w:hAnsi="Arial" w:cs="Arial"/>
          <w:bCs/>
          <w:sz w:val="24"/>
          <w:szCs w:val="24"/>
        </w:rPr>
        <w:t xml:space="preserve"> </w:t>
      </w:r>
      <w:r w:rsidR="00DD25A3">
        <w:rPr>
          <w:rFonts w:ascii="Arial" w:hAnsi="Arial" w:cs="Arial"/>
          <w:bCs/>
          <w:sz w:val="24"/>
          <w:szCs w:val="24"/>
        </w:rPr>
        <w:t xml:space="preserve">al artículo 8 </w:t>
      </w:r>
      <w:r w:rsidR="00867727">
        <w:rPr>
          <w:rFonts w:ascii="Arial" w:hAnsi="Arial" w:cs="Arial"/>
          <w:bCs/>
          <w:sz w:val="24"/>
          <w:szCs w:val="24"/>
        </w:rPr>
        <w:t>una</w:t>
      </w:r>
      <w:r w:rsidR="00DD25A3">
        <w:rPr>
          <w:rFonts w:ascii="Arial" w:hAnsi="Arial" w:cs="Arial"/>
          <w:bCs/>
          <w:sz w:val="24"/>
          <w:szCs w:val="24"/>
        </w:rPr>
        <w:t xml:space="preserve"> fracción </w:t>
      </w:r>
      <w:r w:rsidR="00867727">
        <w:rPr>
          <w:rFonts w:ascii="Arial" w:hAnsi="Arial" w:cs="Arial"/>
          <w:bCs/>
          <w:sz w:val="24"/>
          <w:szCs w:val="24"/>
        </w:rPr>
        <w:t>X</w:t>
      </w:r>
      <w:r w:rsidR="00DD25A3">
        <w:rPr>
          <w:rFonts w:ascii="Arial" w:hAnsi="Arial" w:cs="Arial"/>
          <w:bCs/>
          <w:sz w:val="24"/>
          <w:szCs w:val="24"/>
        </w:rPr>
        <w:t>X</w:t>
      </w:r>
      <w:r w:rsidR="00867727">
        <w:rPr>
          <w:rFonts w:ascii="Arial" w:hAnsi="Arial" w:cs="Arial"/>
          <w:bCs/>
          <w:sz w:val="24"/>
          <w:szCs w:val="24"/>
        </w:rPr>
        <w:t>IV</w:t>
      </w:r>
      <w:r w:rsidR="00DD25A3">
        <w:rPr>
          <w:rFonts w:ascii="Arial" w:hAnsi="Arial" w:cs="Arial"/>
          <w:bCs/>
          <w:sz w:val="24"/>
          <w:szCs w:val="24"/>
        </w:rPr>
        <w:t xml:space="preserve"> de la Ley Estatal de Educación para quedar en los siguientes términos:</w:t>
      </w:r>
    </w:p>
    <w:p w14:paraId="6874BEB8" w14:textId="2E0E1F2B" w:rsidR="00F7484B" w:rsidRPr="0072537A" w:rsidRDefault="001D220B" w:rsidP="0072537A">
      <w:pPr>
        <w:spacing w:line="240" w:lineRule="auto"/>
        <w:ind w:left="708"/>
        <w:jc w:val="both"/>
        <w:rPr>
          <w:rFonts w:ascii="Arial" w:hAnsi="Arial" w:cs="Arial"/>
          <w:bCs/>
          <w:i/>
          <w:iCs/>
        </w:rPr>
      </w:pPr>
      <w:r w:rsidRPr="0072537A">
        <w:rPr>
          <w:rFonts w:ascii="Arial" w:hAnsi="Arial" w:cs="Arial"/>
          <w:bCs/>
          <w:i/>
          <w:iCs/>
        </w:rPr>
        <w:t>“</w:t>
      </w:r>
      <w:r w:rsidR="00F7484B" w:rsidRPr="0072537A">
        <w:rPr>
          <w:rFonts w:ascii="Arial" w:hAnsi="Arial" w:cs="Arial"/>
          <w:bCs/>
          <w:i/>
          <w:iCs/>
        </w:rPr>
        <w:t>ARTÍCULO 2. Para los efectos de esta ley, se entenderá por:</w:t>
      </w:r>
    </w:p>
    <w:p w14:paraId="15266668" w14:textId="15E69E54" w:rsidR="00F7484B" w:rsidRPr="0072537A" w:rsidRDefault="00F7484B" w:rsidP="0072537A">
      <w:pPr>
        <w:spacing w:line="240" w:lineRule="auto"/>
        <w:ind w:left="708"/>
        <w:jc w:val="both"/>
        <w:rPr>
          <w:rFonts w:ascii="Arial" w:hAnsi="Arial" w:cs="Arial"/>
          <w:bCs/>
          <w:i/>
          <w:iCs/>
        </w:rPr>
      </w:pPr>
      <w:r w:rsidRPr="0072537A">
        <w:rPr>
          <w:rFonts w:ascii="Arial" w:hAnsi="Arial" w:cs="Arial"/>
          <w:bCs/>
          <w:i/>
          <w:iCs/>
        </w:rPr>
        <w:t>[…]</w:t>
      </w:r>
      <w:r w:rsidR="004804E6" w:rsidRPr="0072537A">
        <w:rPr>
          <w:rFonts w:ascii="Arial" w:hAnsi="Arial" w:cs="Arial"/>
          <w:bCs/>
          <w:i/>
          <w:iCs/>
        </w:rPr>
        <w:t>.</w:t>
      </w:r>
    </w:p>
    <w:p w14:paraId="04D4610F" w14:textId="6E7EC84D" w:rsidR="002D2436" w:rsidRPr="0072537A" w:rsidRDefault="002D2436" w:rsidP="0072537A">
      <w:pPr>
        <w:spacing w:line="240" w:lineRule="auto"/>
        <w:ind w:left="708"/>
        <w:jc w:val="both"/>
        <w:rPr>
          <w:rFonts w:ascii="Arial" w:hAnsi="Arial" w:cs="Arial"/>
          <w:b/>
          <w:i/>
          <w:iCs/>
        </w:rPr>
      </w:pPr>
      <w:r w:rsidRPr="0072537A">
        <w:rPr>
          <w:rFonts w:ascii="Arial" w:hAnsi="Arial" w:cs="Arial"/>
          <w:b/>
          <w:i/>
          <w:iCs/>
        </w:rPr>
        <w:t>XVI. Higiene Bucodental: Conjunto de conocimientos, prácticas y hábitos tendientes al cuidado, limpieza, conservación de la salud y prevención de enfermedades, pertenecientes o relativas a la boca y los dientes.</w:t>
      </w:r>
      <w:r w:rsidR="001D220B" w:rsidRPr="0072537A">
        <w:rPr>
          <w:rFonts w:ascii="Arial" w:hAnsi="Arial" w:cs="Arial"/>
          <w:b/>
          <w:i/>
          <w:iCs/>
        </w:rPr>
        <w:t>”</w:t>
      </w:r>
    </w:p>
    <w:p w14:paraId="3B039FEA" w14:textId="77777777" w:rsidR="002D2436" w:rsidRPr="0072537A" w:rsidRDefault="002D2436" w:rsidP="0072537A">
      <w:pPr>
        <w:spacing w:line="240" w:lineRule="auto"/>
        <w:ind w:left="708"/>
        <w:jc w:val="both"/>
        <w:rPr>
          <w:rFonts w:ascii="Arial" w:hAnsi="Arial" w:cs="Arial"/>
          <w:bCs/>
          <w:i/>
          <w:iCs/>
        </w:rPr>
      </w:pPr>
    </w:p>
    <w:p w14:paraId="2A93B5C5" w14:textId="09FDC824" w:rsidR="00867727" w:rsidRPr="0072537A" w:rsidRDefault="001D220B" w:rsidP="0072537A">
      <w:pPr>
        <w:spacing w:line="240" w:lineRule="auto"/>
        <w:ind w:left="708"/>
        <w:jc w:val="both"/>
        <w:rPr>
          <w:rFonts w:ascii="Arial" w:hAnsi="Arial" w:cs="Arial"/>
          <w:bCs/>
          <w:i/>
          <w:iCs/>
        </w:rPr>
      </w:pPr>
      <w:r w:rsidRPr="0072537A">
        <w:rPr>
          <w:rFonts w:ascii="Arial" w:hAnsi="Arial" w:cs="Arial"/>
          <w:bCs/>
          <w:i/>
          <w:iCs/>
        </w:rPr>
        <w:t>“</w:t>
      </w:r>
      <w:r w:rsidR="004A6624" w:rsidRPr="0072537A">
        <w:rPr>
          <w:rFonts w:ascii="Arial" w:hAnsi="Arial" w:cs="Arial"/>
          <w:bCs/>
          <w:i/>
          <w:iCs/>
        </w:rPr>
        <w:t>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r w:rsidR="00691876" w:rsidRPr="0072537A">
        <w:rPr>
          <w:rFonts w:ascii="Arial Unicode MS" w:hAnsi="Arial Unicode MS"/>
          <w:i/>
          <w:iCs/>
          <w:color w:val="000000"/>
          <w:spacing w:val="4"/>
          <w:shd w:val="clear" w:color="auto" w:fill="FFFFFF"/>
        </w:rPr>
        <w:t xml:space="preserve"> </w:t>
      </w:r>
      <w:r w:rsidR="00691876" w:rsidRPr="0072537A">
        <w:rPr>
          <w:rFonts w:ascii="Arial" w:hAnsi="Arial" w:cs="Arial"/>
          <w:bCs/>
          <w:i/>
          <w:iCs/>
        </w:rPr>
        <w:t> </w:t>
      </w:r>
    </w:p>
    <w:p w14:paraId="4DCD79B3" w14:textId="1C9EC678" w:rsidR="004A6624" w:rsidRPr="0072537A" w:rsidRDefault="004A6624" w:rsidP="0072537A">
      <w:pPr>
        <w:spacing w:line="240" w:lineRule="auto"/>
        <w:ind w:left="708"/>
        <w:jc w:val="both"/>
        <w:rPr>
          <w:rFonts w:ascii="Arial" w:hAnsi="Arial" w:cs="Arial"/>
          <w:bCs/>
          <w:i/>
          <w:iCs/>
        </w:rPr>
      </w:pPr>
      <w:r w:rsidRPr="0072537A">
        <w:rPr>
          <w:rFonts w:ascii="Arial" w:hAnsi="Arial" w:cs="Arial"/>
          <w:bCs/>
          <w:i/>
          <w:iCs/>
        </w:rPr>
        <w:t>[…]</w:t>
      </w:r>
      <w:r w:rsidR="004804E6" w:rsidRPr="0072537A">
        <w:rPr>
          <w:rFonts w:ascii="Arial" w:hAnsi="Arial" w:cs="Arial"/>
          <w:bCs/>
          <w:i/>
          <w:iCs/>
        </w:rPr>
        <w:t>.</w:t>
      </w:r>
    </w:p>
    <w:p w14:paraId="2DF74C72" w14:textId="4147BE88" w:rsidR="004A6624" w:rsidRPr="0072537A" w:rsidRDefault="004A6624" w:rsidP="0072537A">
      <w:pPr>
        <w:spacing w:line="240" w:lineRule="auto"/>
        <w:ind w:left="708"/>
        <w:jc w:val="both"/>
        <w:rPr>
          <w:rFonts w:ascii="Arial" w:hAnsi="Arial" w:cs="Arial"/>
          <w:i/>
          <w:iCs/>
        </w:rPr>
      </w:pPr>
      <w:r w:rsidRPr="0072537A">
        <w:rPr>
          <w:rFonts w:ascii="Arial" w:hAnsi="Arial" w:cs="Arial"/>
          <w:b/>
          <w:i/>
          <w:iCs/>
        </w:rPr>
        <w:t xml:space="preserve">XXIV. </w:t>
      </w:r>
      <w:r w:rsidR="00383E94" w:rsidRPr="0072537A">
        <w:rPr>
          <w:rFonts w:ascii="Arial" w:hAnsi="Arial" w:cs="Arial"/>
          <w:b/>
          <w:i/>
          <w:iCs/>
        </w:rPr>
        <w:t>Promover el conocimiento y la práctica, mediante la implementación de talleres</w:t>
      </w:r>
      <w:r w:rsidRPr="0072537A">
        <w:rPr>
          <w:rFonts w:ascii="Arial" w:hAnsi="Arial" w:cs="Arial"/>
          <w:b/>
          <w:i/>
          <w:iCs/>
        </w:rPr>
        <w:t xml:space="preserve">, </w:t>
      </w:r>
      <w:r w:rsidR="00383E94" w:rsidRPr="0072537A">
        <w:rPr>
          <w:rFonts w:ascii="Arial" w:hAnsi="Arial" w:cs="Arial"/>
          <w:b/>
          <w:i/>
          <w:iCs/>
        </w:rPr>
        <w:t xml:space="preserve">para la sensibilización </w:t>
      </w:r>
      <w:r w:rsidRPr="0072537A">
        <w:rPr>
          <w:rFonts w:ascii="Arial" w:hAnsi="Arial" w:cs="Arial"/>
          <w:b/>
          <w:i/>
          <w:iCs/>
        </w:rPr>
        <w:t>hábitos de autocuidado y de correcta higiene bucodental.</w:t>
      </w:r>
      <w:r w:rsidR="001D220B" w:rsidRPr="0072537A">
        <w:rPr>
          <w:rFonts w:ascii="Arial" w:hAnsi="Arial" w:cs="Arial"/>
          <w:i/>
          <w:iCs/>
        </w:rPr>
        <w:t>”</w:t>
      </w:r>
    </w:p>
    <w:p w14:paraId="7D49E15D" w14:textId="033C789A" w:rsidR="004A6624" w:rsidRPr="00DD25A3" w:rsidRDefault="004A6624" w:rsidP="00CA58A1">
      <w:pPr>
        <w:spacing w:line="360" w:lineRule="auto"/>
        <w:jc w:val="both"/>
        <w:rPr>
          <w:rFonts w:ascii="Arial" w:hAnsi="Arial" w:cs="Arial"/>
          <w:bCs/>
          <w:sz w:val="24"/>
          <w:szCs w:val="24"/>
        </w:rPr>
      </w:pPr>
    </w:p>
    <w:p w14:paraId="5FFD2891" w14:textId="40F6777F" w:rsidR="002D2436" w:rsidRDefault="004804E6" w:rsidP="00E958A0">
      <w:pPr>
        <w:spacing w:line="360" w:lineRule="auto"/>
        <w:jc w:val="both"/>
        <w:rPr>
          <w:rFonts w:ascii="Arial" w:hAnsi="Arial" w:cs="Arial"/>
          <w:bCs/>
          <w:sz w:val="24"/>
          <w:szCs w:val="24"/>
        </w:rPr>
      </w:pPr>
      <w:r w:rsidRPr="004804E6">
        <w:rPr>
          <w:rFonts w:ascii="Arial" w:hAnsi="Arial" w:cs="Arial"/>
          <w:b/>
          <w:sz w:val="24"/>
          <w:szCs w:val="24"/>
        </w:rPr>
        <w:t>ARTÍCULO SEGUNDO. –</w:t>
      </w:r>
      <w:r>
        <w:rPr>
          <w:rFonts w:ascii="Arial" w:hAnsi="Arial" w:cs="Arial"/>
          <w:b/>
          <w:sz w:val="24"/>
          <w:szCs w:val="24"/>
        </w:rPr>
        <w:t xml:space="preserve"> </w:t>
      </w:r>
      <w:r w:rsidR="002D2436" w:rsidRPr="00867727">
        <w:rPr>
          <w:rFonts w:ascii="Arial" w:hAnsi="Arial" w:cs="Arial"/>
          <w:bCs/>
          <w:sz w:val="24"/>
          <w:szCs w:val="24"/>
        </w:rPr>
        <w:t>Se</w:t>
      </w:r>
      <w:r w:rsidR="002D2436">
        <w:rPr>
          <w:rFonts w:ascii="Arial" w:hAnsi="Arial" w:cs="Arial"/>
          <w:b/>
          <w:sz w:val="24"/>
          <w:szCs w:val="24"/>
        </w:rPr>
        <w:t xml:space="preserve"> </w:t>
      </w:r>
      <w:r w:rsidRPr="004804E6">
        <w:rPr>
          <w:rFonts w:ascii="Arial" w:hAnsi="Arial" w:cs="Arial"/>
          <w:b/>
          <w:sz w:val="24"/>
          <w:szCs w:val="24"/>
        </w:rPr>
        <w:t>ADICIONA</w:t>
      </w:r>
      <w:r>
        <w:rPr>
          <w:rFonts w:ascii="Arial" w:hAnsi="Arial" w:cs="Arial"/>
          <w:b/>
          <w:sz w:val="24"/>
          <w:szCs w:val="24"/>
        </w:rPr>
        <w:t xml:space="preserve"> </w:t>
      </w:r>
      <w:r w:rsidR="002D2436" w:rsidRPr="00867727">
        <w:rPr>
          <w:rFonts w:ascii="Arial" w:hAnsi="Arial" w:cs="Arial"/>
          <w:bCs/>
          <w:sz w:val="24"/>
          <w:szCs w:val="24"/>
        </w:rPr>
        <w:t>al</w:t>
      </w:r>
      <w:r w:rsidR="002D2436">
        <w:rPr>
          <w:rFonts w:ascii="Arial" w:hAnsi="Arial" w:cs="Arial"/>
          <w:bCs/>
          <w:sz w:val="24"/>
          <w:szCs w:val="24"/>
        </w:rPr>
        <w:t xml:space="preserve"> artículo </w:t>
      </w:r>
      <w:r w:rsidR="00671E8A">
        <w:rPr>
          <w:rFonts w:ascii="Arial" w:hAnsi="Arial" w:cs="Arial"/>
          <w:bCs/>
          <w:sz w:val="24"/>
          <w:szCs w:val="24"/>
        </w:rPr>
        <w:t>67</w:t>
      </w:r>
      <w:r w:rsidR="002D2436">
        <w:rPr>
          <w:rFonts w:ascii="Arial" w:hAnsi="Arial" w:cs="Arial"/>
          <w:bCs/>
          <w:sz w:val="24"/>
          <w:szCs w:val="24"/>
        </w:rPr>
        <w:t xml:space="preserve"> una fracción </w:t>
      </w:r>
      <w:r w:rsidR="00671E8A">
        <w:rPr>
          <w:rFonts w:ascii="Arial" w:hAnsi="Arial" w:cs="Arial"/>
          <w:bCs/>
          <w:sz w:val="24"/>
          <w:szCs w:val="24"/>
        </w:rPr>
        <w:t xml:space="preserve">XI de </w:t>
      </w:r>
      <w:r w:rsidR="002D2436">
        <w:rPr>
          <w:rFonts w:ascii="Arial" w:hAnsi="Arial" w:cs="Arial"/>
          <w:bCs/>
          <w:sz w:val="24"/>
          <w:szCs w:val="24"/>
        </w:rPr>
        <w:t xml:space="preserve">la Ley </w:t>
      </w:r>
      <w:r w:rsidR="00C24F6A" w:rsidRPr="00C24F6A">
        <w:rPr>
          <w:rFonts w:ascii="Arial" w:hAnsi="Arial" w:cs="Arial"/>
          <w:bCs/>
          <w:sz w:val="24"/>
          <w:szCs w:val="24"/>
        </w:rPr>
        <w:t>de los Derechos de Niñas, Niños y Adolescentes del Estado de Chihuahua</w:t>
      </w:r>
      <w:r w:rsidR="002D2436">
        <w:rPr>
          <w:rFonts w:ascii="Arial" w:hAnsi="Arial" w:cs="Arial"/>
          <w:bCs/>
          <w:sz w:val="24"/>
          <w:szCs w:val="24"/>
        </w:rPr>
        <w:t xml:space="preserve"> para quedar en los siguientes términos:</w:t>
      </w:r>
    </w:p>
    <w:p w14:paraId="18B8FFFB" w14:textId="61E4AA73" w:rsidR="00C24F6A" w:rsidRPr="0072537A" w:rsidRDefault="001D220B" w:rsidP="0072537A">
      <w:pPr>
        <w:spacing w:line="240" w:lineRule="auto"/>
        <w:ind w:left="708"/>
        <w:jc w:val="both"/>
        <w:rPr>
          <w:rFonts w:ascii="Arial" w:hAnsi="Arial" w:cs="Arial"/>
          <w:bCs/>
          <w:i/>
          <w:iCs/>
        </w:rPr>
      </w:pPr>
      <w:r w:rsidRPr="0072537A">
        <w:rPr>
          <w:rFonts w:ascii="Arial" w:hAnsi="Arial" w:cs="Arial"/>
          <w:bCs/>
          <w:i/>
          <w:iCs/>
        </w:rPr>
        <w:t>“</w:t>
      </w:r>
      <w:r w:rsidR="00C24F6A" w:rsidRPr="0072537A">
        <w:rPr>
          <w:rFonts w:ascii="Arial" w:hAnsi="Arial" w:cs="Arial"/>
          <w:bCs/>
          <w:i/>
          <w:iCs/>
        </w:rPr>
        <w:t>Artículo 67. La educación, además de lo dispuesto en las disposiciones aplicables, tendrá los siguientes fines:</w:t>
      </w:r>
    </w:p>
    <w:p w14:paraId="1C6BD599" w14:textId="69519877" w:rsidR="0072537A" w:rsidRPr="0072537A" w:rsidRDefault="0072537A" w:rsidP="0072537A">
      <w:pPr>
        <w:spacing w:line="240" w:lineRule="auto"/>
        <w:ind w:left="708"/>
        <w:jc w:val="both"/>
        <w:rPr>
          <w:rFonts w:ascii="Arial" w:hAnsi="Arial" w:cs="Arial"/>
          <w:bCs/>
          <w:i/>
          <w:iCs/>
        </w:rPr>
      </w:pPr>
      <w:r w:rsidRPr="0072537A">
        <w:rPr>
          <w:rFonts w:ascii="Arial" w:hAnsi="Arial" w:cs="Arial"/>
          <w:bCs/>
          <w:i/>
          <w:iCs/>
        </w:rPr>
        <w:t>[…].</w:t>
      </w:r>
    </w:p>
    <w:p w14:paraId="01A47D83" w14:textId="515425AD" w:rsidR="00C24F6A" w:rsidRPr="0072537A" w:rsidRDefault="00C24F6A" w:rsidP="0072537A">
      <w:pPr>
        <w:spacing w:line="240" w:lineRule="auto"/>
        <w:ind w:left="708"/>
        <w:jc w:val="both"/>
        <w:rPr>
          <w:rFonts w:ascii="Arial" w:hAnsi="Arial" w:cs="Arial"/>
          <w:bCs/>
        </w:rPr>
      </w:pPr>
      <w:r w:rsidRPr="0072537A">
        <w:rPr>
          <w:rFonts w:ascii="Arial" w:hAnsi="Arial" w:cs="Arial"/>
          <w:b/>
          <w:i/>
          <w:iCs/>
        </w:rPr>
        <w:t xml:space="preserve">XI. </w:t>
      </w:r>
      <w:r w:rsidR="00E958A0" w:rsidRPr="0072537A">
        <w:rPr>
          <w:rFonts w:ascii="Arial" w:hAnsi="Arial" w:cs="Arial"/>
          <w:b/>
          <w:i/>
          <w:iCs/>
        </w:rPr>
        <w:t>Impartir</w:t>
      </w:r>
      <w:r w:rsidRPr="0072537A">
        <w:rPr>
          <w:rFonts w:ascii="Arial" w:hAnsi="Arial" w:cs="Arial"/>
          <w:b/>
          <w:i/>
          <w:iCs/>
        </w:rPr>
        <w:t xml:space="preserve"> la educación</w:t>
      </w:r>
      <w:r w:rsidR="00E958A0" w:rsidRPr="0072537A">
        <w:rPr>
          <w:rFonts w:ascii="Arial" w:hAnsi="Arial" w:cs="Arial"/>
          <w:b/>
          <w:i/>
          <w:iCs/>
        </w:rPr>
        <w:t xml:space="preserve"> de higiene bucodental, mediante la implementación de </w:t>
      </w:r>
      <w:r w:rsidRPr="0072537A">
        <w:rPr>
          <w:rFonts w:ascii="Arial" w:hAnsi="Arial" w:cs="Arial"/>
          <w:b/>
          <w:i/>
          <w:iCs/>
        </w:rPr>
        <w:t>talleres al interior de las instituciones educativas,</w:t>
      </w:r>
      <w:r w:rsidR="00E958A0" w:rsidRPr="0072537A">
        <w:rPr>
          <w:rFonts w:ascii="Arial" w:hAnsi="Arial" w:cs="Arial"/>
          <w:b/>
          <w:i/>
          <w:iCs/>
        </w:rPr>
        <w:t xml:space="preserve"> promoviendo hábitos</w:t>
      </w:r>
      <w:r w:rsidRPr="0072537A">
        <w:rPr>
          <w:rFonts w:ascii="Arial" w:hAnsi="Arial" w:cs="Arial"/>
          <w:b/>
          <w:i/>
          <w:iCs/>
        </w:rPr>
        <w:t xml:space="preserve"> de autocuidado y de correct</w:t>
      </w:r>
      <w:r w:rsidR="00E958A0" w:rsidRPr="0072537A">
        <w:rPr>
          <w:rFonts w:ascii="Arial" w:hAnsi="Arial" w:cs="Arial"/>
          <w:b/>
          <w:i/>
          <w:iCs/>
        </w:rPr>
        <w:t xml:space="preserve">o cuidado de la salud </w:t>
      </w:r>
      <w:r w:rsidRPr="0072537A">
        <w:rPr>
          <w:rFonts w:ascii="Arial" w:hAnsi="Arial" w:cs="Arial"/>
          <w:b/>
          <w:i/>
          <w:iCs/>
        </w:rPr>
        <w:t>bucodental</w:t>
      </w:r>
      <w:r w:rsidR="00E958A0" w:rsidRPr="0072537A">
        <w:rPr>
          <w:rFonts w:ascii="Arial" w:hAnsi="Arial" w:cs="Arial"/>
          <w:b/>
          <w:i/>
          <w:iCs/>
        </w:rPr>
        <w:t>.</w:t>
      </w:r>
      <w:r w:rsidR="001D220B" w:rsidRPr="0072537A">
        <w:rPr>
          <w:rFonts w:ascii="Arial" w:hAnsi="Arial" w:cs="Arial"/>
          <w:bCs/>
          <w:i/>
          <w:iCs/>
        </w:rPr>
        <w:t>”</w:t>
      </w:r>
    </w:p>
    <w:p w14:paraId="0BB378B7" w14:textId="77777777" w:rsidR="00A62027" w:rsidRPr="00CA58A1" w:rsidRDefault="00A62027" w:rsidP="00CA58A1">
      <w:pPr>
        <w:spacing w:after="0" w:line="360" w:lineRule="auto"/>
        <w:jc w:val="both"/>
        <w:rPr>
          <w:rFonts w:ascii="Arial" w:hAnsi="Arial" w:cs="Arial"/>
          <w:b/>
          <w:sz w:val="24"/>
          <w:szCs w:val="24"/>
        </w:rPr>
      </w:pPr>
    </w:p>
    <w:p w14:paraId="17A19E5A" w14:textId="119E3C64" w:rsidR="00CA58A1" w:rsidRDefault="001E4F3E" w:rsidP="001E4F3E">
      <w:pPr>
        <w:tabs>
          <w:tab w:val="center" w:pos="4703"/>
          <w:tab w:val="left" w:pos="6735"/>
        </w:tabs>
        <w:spacing w:after="0" w:line="360" w:lineRule="auto"/>
        <w:rPr>
          <w:rFonts w:ascii="Arial" w:hAnsi="Arial" w:cs="Arial"/>
          <w:b/>
          <w:sz w:val="24"/>
          <w:szCs w:val="24"/>
        </w:rPr>
      </w:pPr>
      <w:r>
        <w:rPr>
          <w:rFonts w:ascii="Arial" w:hAnsi="Arial" w:cs="Arial"/>
          <w:b/>
          <w:sz w:val="24"/>
          <w:szCs w:val="24"/>
        </w:rPr>
        <w:tab/>
      </w:r>
      <w:r w:rsidR="00CA58A1" w:rsidRPr="00CA58A1">
        <w:rPr>
          <w:rFonts w:ascii="Arial" w:hAnsi="Arial" w:cs="Arial"/>
          <w:b/>
          <w:sz w:val="24"/>
          <w:szCs w:val="24"/>
        </w:rPr>
        <w:t>TRANSITORIOS</w:t>
      </w:r>
      <w:r>
        <w:rPr>
          <w:rFonts w:ascii="Arial" w:hAnsi="Arial" w:cs="Arial"/>
          <w:b/>
          <w:sz w:val="24"/>
          <w:szCs w:val="24"/>
        </w:rPr>
        <w:tab/>
      </w:r>
    </w:p>
    <w:p w14:paraId="7E7F89D0" w14:textId="77777777" w:rsidR="001E4F3E" w:rsidRPr="00CA58A1" w:rsidRDefault="001E4F3E" w:rsidP="001E4F3E">
      <w:pPr>
        <w:tabs>
          <w:tab w:val="center" w:pos="4703"/>
          <w:tab w:val="left" w:pos="6735"/>
        </w:tabs>
        <w:spacing w:after="0" w:line="360" w:lineRule="auto"/>
        <w:rPr>
          <w:rFonts w:ascii="Arial" w:hAnsi="Arial" w:cs="Arial"/>
          <w:b/>
          <w:sz w:val="24"/>
          <w:szCs w:val="24"/>
        </w:rPr>
      </w:pPr>
    </w:p>
    <w:p w14:paraId="2E448E61" w14:textId="195A31BE" w:rsidR="00CA58A1" w:rsidRPr="0014127B" w:rsidRDefault="00CA58A1" w:rsidP="00CA58A1">
      <w:pPr>
        <w:spacing w:after="0" w:line="360" w:lineRule="auto"/>
        <w:jc w:val="both"/>
        <w:rPr>
          <w:rFonts w:ascii="Arial" w:hAnsi="Arial" w:cs="Arial"/>
          <w:b/>
          <w:sz w:val="24"/>
          <w:szCs w:val="24"/>
        </w:rPr>
      </w:pPr>
      <w:r w:rsidRPr="00CA58A1">
        <w:rPr>
          <w:rFonts w:ascii="Arial" w:hAnsi="Arial" w:cs="Arial"/>
          <w:b/>
          <w:sz w:val="24"/>
          <w:szCs w:val="24"/>
        </w:rPr>
        <w:t xml:space="preserve">ARTÍCULO </w:t>
      </w:r>
      <w:r w:rsidR="00A62027">
        <w:rPr>
          <w:rFonts w:ascii="Arial" w:hAnsi="Arial" w:cs="Arial"/>
          <w:b/>
          <w:sz w:val="24"/>
          <w:szCs w:val="24"/>
        </w:rPr>
        <w:t>ÚNICO</w:t>
      </w:r>
      <w:r w:rsidR="001E4F3E" w:rsidRPr="00CA58A1">
        <w:rPr>
          <w:rFonts w:ascii="Arial" w:hAnsi="Arial" w:cs="Arial"/>
          <w:b/>
          <w:sz w:val="24"/>
          <w:szCs w:val="24"/>
        </w:rPr>
        <w:t xml:space="preserve">. </w:t>
      </w:r>
      <w:r w:rsidR="0014127B">
        <w:rPr>
          <w:rFonts w:ascii="Arial" w:hAnsi="Arial" w:cs="Arial"/>
          <w:b/>
          <w:sz w:val="24"/>
          <w:szCs w:val="24"/>
        </w:rPr>
        <w:t>–</w:t>
      </w:r>
      <w:r w:rsidRPr="00CA58A1">
        <w:rPr>
          <w:rFonts w:ascii="Arial" w:hAnsi="Arial" w:cs="Arial"/>
          <w:b/>
          <w:sz w:val="24"/>
          <w:szCs w:val="24"/>
        </w:rPr>
        <w:t xml:space="preserve"> </w:t>
      </w:r>
      <w:r w:rsidRPr="00CA58A1">
        <w:rPr>
          <w:rFonts w:ascii="Arial" w:hAnsi="Arial" w:cs="Arial"/>
          <w:sz w:val="24"/>
          <w:szCs w:val="24"/>
        </w:rPr>
        <w:t>El presente decreto entrará en vigor al día siguiente de su publicación en el Periódico Oficial del Estado.</w:t>
      </w:r>
    </w:p>
    <w:p w14:paraId="505599D6" w14:textId="77777777" w:rsidR="000C2E09" w:rsidRDefault="000C2E09" w:rsidP="00CA58A1">
      <w:pPr>
        <w:spacing w:after="0" w:line="360" w:lineRule="auto"/>
        <w:jc w:val="both"/>
        <w:rPr>
          <w:rFonts w:ascii="Arial" w:hAnsi="Arial" w:cs="Arial"/>
          <w:b/>
          <w:bCs/>
          <w:sz w:val="24"/>
          <w:szCs w:val="24"/>
        </w:rPr>
      </w:pPr>
    </w:p>
    <w:p w14:paraId="19168E06" w14:textId="4EE8B431" w:rsidR="00156646" w:rsidRPr="00156646" w:rsidRDefault="00156646" w:rsidP="00CA58A1">
      <w:pPr>
        <w:spacing w:after="0" w:line="360" w:lineRule="auto"/>
        <w:jc w:val="both"/>
        <w:rPr>
          <w:rFonts w:ascii="Arial" w:hAnsi="Arial" w:cs="Arial"/>
          <w:sz w:val="24"/>
          <w:szCs w:val="24"/>
        </w:rPr>
      </w:pPr>
      <w:r>
        <w:rPr>
          <w:rFonts w:ascii="Arial" w:hAnsi="Arial" w:cs="Arial"/>
          <w:b/>
          <w:bCs/>
          <w:sz w:val="24"/>
          <w:szCs w:val="24"/>
        </w:rPr>
        <w:t xml:space="preserve">ECONÓMICO. – </w:t>
      </w:r>
      <w:r>
        <w:rPr>
          <w:rFonts w:ascii="Arial" w:hAnsi="Arial" w:cs="Arial"/>
          <w:sz w:val="24"/>
          <w:szCs w:val="24"/>
        </w:rPr>
        <w:t>Aprobado que sea túrnese a la Secretaría para que elabore la minuta de decreto.</w:t>
      </w:r>
    </w:p>
    <w:p w14:paraId="66C5ECCA" w14:textId="77777777" w:rsidR="00CA58A1" w:rsidRPr="00CA58A1" w:rsidRDefault="00CA58A1" w:rsidP="00CA58A1">
      <w:pPr>
        <w:spacing w:line="360" w:lineRule="auto"/>
        <w:jc w:val="both"/>
        <w:rPr>
          <w:rFonts w:ascii="Arial" w:hAnsi="Arial" w:cs="Arial"/>
          <w:b/>
          <w:sz w:val="24"/>
          <w:szCs w:val="24"/>
        </w:rPr>
      </w:pPr>
    </w:p>
    <w:p w14:paraId="34C1B690" w14:textId="177506AD" w:rsidR="00F20F5D" w:rsidRPr="00CA58A1" w:rsidRDefault="00015D9E" w:rsidP="00CA58A1">
      <w:pPr>
        <w:spacing w:line="360" w:lineRule="auto"/>
        <w:jc w:val="both"/>
        <w:rPr>
          <w:rFonts w:ascii="Arial" w:hAnsi="Arial" w:cs="Arial"/>
          <w:sz w:val="24"/>
          <w:szCs w:val="24"/>
        </w:rPr>
      </w:pPr>
      <w:r w:rsidRPr="00CA58A1">
        <w:rPr>
          <w:rFonts w:ascii="Arial" w:hAnsi="Arial" w:cs="Arial"/>
          <w:b/>
          <w:sz w:val="24"/>
          <w:szCs w:val="24"/>
        </w:rPr>
        <w:t>D</w:t>
      </w:r>
      <w:r w:rsidR="00F20F5D" w:rsidRPr="00CA58A1">
        <w:rPr>
          <w:rFonts w:ascii="Arial" w:hAnsi="Arial" w:cs="Arial"/>
          <w:b/>
          <w:sz w:val="24"/>
          <w:szCs w:val="24"/>
        </w:rPr>
        <w:t>ADO</w:t>
      </w:r>
      <w:r w:rsidR="00F20F5D" w:rsidRPr="00CA58A1">
        <w:rPr>
          <w:rFonts w:ascii="Arial" w:hAnsi="Arial" w:cs="Arial"/>
          <w:sz w:val="24"/>
          <w:szCs w:val="24"/>
        </w:rPr>
        <w:t xml:space="preserve"> en el Salón de Sesiones del Poder Legislativo, en </w:t>
      </w:r>
      <w:r w:rsidR="00002D8A" w:rsidRPr="00CA58A1">
        <w:rPr>
          <w:rFonts w:ascii="Arial" w:hAnsi="Arial" w:cs="Arial"/>
          <w:sz w:val="24"/>
          <w:szCs w:val="24"/>
        </w:rPr>
        <w:t xml:space="preserve">la ciudad de Chihuahua, a los </w:t>
      </w:r>
      <w:r w:rsidR="00EC1496">
        <w:rPr>
          <w:rFonts w:ascii="Arial" w:hAnsi="Arial" w:cs="Arial"/>
          <w:sz w:val="24"/>
          <w:szCs w:val="24"/>
        </w:rPr>
        <w:t>2</w:t>
      </w:r>
      <w:r w:rsidR="00FB2158">
        <w:rPr>
          <w:rFonts w:ascii="Arial" w:hAnsi="Arial" w:cs="Arial"/>
          <w:sz w:val="24"/>
          <w:szCs w:val="24"/>
        </w:rPr>
        <w:t>8</w:t>
      </w:r>
      <w:r w:rsidR="00F20F5D" w:rsidRPr="00CA58A1">
        <w:rPr>
          <w:rFonts w:ascii="Arial" w:hAnsi="Arial" w:cs="Arial"/>
          <w:sz w:val="24"/>
          <w:szCs w:val="24"/>
        </w:rPr>
        <w:t xml:space="preserve"> días del mes de</w:t>
      </w:r>
      <w:r w:rsidR="001D220B">
        <w:rPr>
          <w:rFonts w:ascii="Arial" w:hAnsi="Arial" w:cs="Arial"/>
          <w:sz w:val="24"/>
          <w:szCs w:val="24"/>
        </w:rPr>
        <w:t xml:space="preserve"> </w:t>
      </w:r>
      <w:r w:rsidR="00EC1496">
        <w:rPr>
          <w:rFonts w:ascii="Arial" w:hAnsi="Arial" w:cs="Arial"/>
          <w:sz w:val="24"/>
          <w:szCs w:val="24"/>
        </w:rPr>
        <w:t>abril</w:t>
      </w:r>
      <w:r w:rsidR="00002D8A" w:rsidRPr="00CA58A1">
        <w:rPr>
          <w:rFonts w:ascii="Arial" w:hAnsi="Arial" w:cs="Arial"/>
          <w:sz w:val="24"/>
          <w:szCs w:val="24"/>
        </w:rPr>
        <w:t xml:space="preserve"> de 2022</w:t>
      </w:r>
      <w:r w:rsidR="00F20F5D" w:rsidRPr="00CA58A1">
        <w:rPr>
          <w:rFonts w:ascii="Arial" w:hAnsi="Arial" w:cs="Arial"/>
          <w:sz w:val="24"/>
          <w:szCs w:val="24"/>
        </w:rPr>
        <w:t>.</w:t>
      </w:r>
    </w:p>
    <w:p w14:paraId="4FC3AFBE" w14:textId="77777777" w:rsidR="00BE5577" w:rsidRPr="00CA58A1" w:rsidRDefault="00BE5577" w:rsidP="00CA58A1">
      <w:pPr>
        <w:spacing w:line="360" w:lineRule="auto"/>
        <w:ind w:firstLine="709"/>
        <w:jc w:val="both"/>
        <w:rPr>
          <w:rFonts w:ascii="Arial" w:hAnsi="Arial" w:cs="Arial"/>
          <w:b/>
          <w:sz w:val="24"/>
          <w:szCs w:val="24"/>
        </w:rPr>
      </w:pPr>
    </w:p>
    <w:tbl>
      <w:tblPr>
        <w:tblStyle w:val="Tablaconcuadrcula"/>
        <w:tblW w:w="96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505"/>
      </w:tblGrid>
      <w:tr w:rsidR="00761550" w:rsidRPr="00CA58A1" w14:paraId="30303A21" w14:textId="77777777" w:rsidTr="00245BC2">
        <w:trPr>
          <w:trHeight w:val="1364"/>
          <w:jc w:val="center"/>
        </w:trPr>
        <w:tc>
          <w:tcPr>
            <w:tcW w:w="9605" w:type="dxa"/>
            <w:gridSpan w:val="2"/>
            <w:vAlign w:val="center"/>
          </w:tcPr>
          <w:p w14:paraId="7A980CD3" w14:textId="77777777" w:rsidR="00761550" w:rsidRPr="00CA58A1" w:rsidRDefault="00761550" w:rsidP="001E4F3E">
            <w:pPr>
              <w:spacing w:line="360" w:lineRule="auto"/>
              <w:jc w:val="center"/>
              <w:rPr>
                <w:rFonts w:ascii="Arial" w:hAnsi="Arial" w:cs="Arial"/>
                <w:b/>
              </w:rPr>
            </w:pPr>
            <w:r w:rsidRPr="00CA58A1">
              <w:rPr>
                <w:rFonts w:ascii="Arial" w:hAnsi="Arial" w:cs="Arial"/>
                <w:b/>
              </w:rPr>
              <w:t>ATENTAMENTE</w:t>
            </w:r>
          </w:p>
          <w:p w14:paraId="3630FD41" w14:textId="77777777" w:rsidR="00761550" w:rsidRPr="00CA58A1" w:rsidRDefault="00761550" w:rsidP="001E4F3E">
            <w:pPr>
              <w:spacing w:line="360" w:lineRule="auto"/>
              <w:jc w:val="center"/>
              <w:rPr>
                <w:rFonts w:ascii="Arial" w:hAnsi="Arial" w:cs="Arial"/>
                <w:b/>
              </w:rPr>
            </w:pPr>
          </w:p>
          <w:p w14:paraId="1070712C" w14:textId="77777777" w:rsidR="00761550" w:rsidRPr="00CA58A1" w:rsidRDefault="00761550" w:rsidP="001E4F3E">
            <w:pPr>
              <w:spacing w:line="360" w:lineRule="auto"/>
              <w:jc w:val="center"/>
              <w:rPr>
                <w:rFonts w:ascii="Arial" w:hAnsi="Arial" w:cs="Arial"/>
                <w:b/>
              </w:rPr>
            </w:pPr>
          </w:p>
          <w:p w14:paraId="076EAA43" w14:textId="77777777" w:rsidR="00761550" w:rsidRPr="00CA58A1" w:rsidRDefault="00761550" w:rsidP="00245BC2">
            <w:pPr>
              <w:spacing w:line="360" w:lineRule="auto"/>
              <w:rPr>
                <w:rFonts w:ascii="Arial" w:hAnsi="Arial" w:cs="Arial"/>
                <w:b/>
              </w:rPr>
            </w:pPr>
          </w:p>
          <w:p w14:paraId="3B867481" w14:textId="77777777" w:rsidR="00761550" w:rsidRPr="00CA58A1" w:rsidRDefault="00761550" w:rsidP="001E4F3E">
            <w:pPr>
              <w:spacing w:line="360" w:lineRule="auto"/>
              <w:jc w:val="center"/>
              <w:rPr>
                <w:rFonts w:ascii="Arial" w:hAnsi="Arial" w:cs="Arial"/>
                <w:b/>
                <w:lang w:val="es-ES"/>
              </w:rPr>
            </w:pPr>
            <w:r w:rsidRPr="00CA58A1">
              <w:rPr>
                <w:rFonts w:ascii="Arial" w:hAnsi="Arial" w:cs="Arial"/>
                <w:b/>
              </w:rPr>
              <w:t>Dip. Diana Ivette Pereda Gutiérrez</w:t>
            </w:r>
          </w:p>
        </w:tc>
      </w:tr>
      <w:tr w:rsidR="00761550" w:rsidRPr="00CA58A1" w14:paraId="5978F9CE" w14:textId="77777777" w:rsidTr="00245BC2">
        <w:trPr>
          <w:trHeight w:val="1377"/>
          <w:jc w:val="center"/>
        </w:trPr>
        <w:tc>
          <w:tcPr>
            <w:tcW w:w="5100" w:type="dxa"/>
            <w:vAlign w:val="bottom"/>
          </w:tcPr>
          <w:p w14:paraId="6850B69B" w14:textId="77777777" w:rsidR="00761550" w:rsidRPr="00CA58A1" w:rsidRDefault="00761550" w:rsidP="001E4F3E">
            <w:pPr>
              <w:spacing w:line="360" w:lineRule="auto"/>
              <w:jc w:val="center"/>
              <w:rPr>
                <w:rFonts w:ascii="Arial" w:hAnsi="Arial" w:cs="Arial"/>
                <w:b/>
              </w:rPr>
            </w:pPr>
          </w:p>
          <w:p w14:paraId="7B7A4E9E" w14:textId="77777777" w:rsidR="00761550" w:rsidRPr="00CA58A1" w:rsidRDefault="00761550" w:rsidP="001E4F3E">
            <w:pPr>
              <w:spacing w:line="360" w:lineRule="auto"/>
              <w:jc w:val="center"/>
              <w:rPr>
                <w:rFonts w:ascii="Arial" w:hAnsi="Arial" w:cs="Arial"/>
                <w:b/>
              </w:rPr>
            </w:pPr>
          </w:p>
          <w:p w14:paraId="1E26FC56" w14:textId="77777777" w:rsidR="00761550" w:rsidRPr="00CA58A1" w:rsidRDefault="00761550" w:rsidP="001E4F3E">
            <w:pPr>
              <w:spacing w:line="360" w:lineRule="auto"/>
              <w:jc w:val="center"/>
              <w:rPr>
                <w:rFonts w:ascii="Arial" w:hAnsi="Arial" w:cs="Arial"/>
                <w:b/>
              </w:rPr>
            </w:pPr>
            <w:r w:rsidRPr="00CA58A1">
              <w:rPr>
                <w:rFonts w:ascii="Arial" w:hAnsi="Arial" w:cs="Arial"/>
                <w:b/>
              </w:rPr>
              <w:t>Dip. Marisela Terrazas Muñoz</w:t>
            </w:r>
          </w:p>
        </w:tc>
        <w:tc>
          <w:tcPr>
            <w:tcW w:w="4505" w:type="dxa"/>
            <w:vAlign w:val="bottom"/>
          </w:tcPr>
          <w:p w14:paraId="58AB294F" w14:textId="77777777" w:rsidR="00761550" w:rsidRPr="00CA58A1" w:rsidRDefault="00761550" w:rsidP="001E4F3E">
            <w:pPr>
              <w:spacing w:line="360" w:lineRule="auto"/>
              <w:jc w:val="center"/>
              <w:rPr>
                <w:rFonts w:ascii="Arial" w:hAnsi="Arial" w:cs="Arial"/>
                <w:b/>
              </w:rPr>
            </w:pPr>
          </w:p>
          <w:p w14:paraId="24883B0A" w14:textId="77777777" w:rsidR="00761550" w:rsidRPr="00CA58A1" w:rsidRDefault="00761550" w:rsidP="001E4F3E">
            <w:pPr>
              <w:spacing w:line="360" w:lineRule="auto"/>
              <w:jc w:val="center"/>
              <w:rPr>
                <w:rFonts w:ascii="Arial" w:hAnsi="Arial" w:cs="Arial"/>
                <w:b/>
              </w:rPr>
            </w:pPr>
          </w:p>
          <w:p w14:paraId="194DB764" w14:textId="004EDF3B" w:rsidR="00761550" w:rsidRDefault="00761550" w:rsidP="001E4F3E">
            <w:pPr>
              <w:spacing w:line="360" w:lineRule="auto"/>
              <w:jc w:val="center"/>
              <w:rPr>
                <w:rFonts w:ascii="Arial" w:hAnsi="Arial" w:cs="Arial"/>
                <w:b/>
              </w:rPr>
            </w:pPr>
          </w:p>
          <w:p w14:paraId="6CD68FA1" w14:textId="77777777" w:rsidR="00245BC2" w:rsidRPr="00CA58A1" w:rsidRDefault="00245BC2" w:rsidP="001E4F3E">
            <w:pPr>
              <w:spacing w:line="360" w:lineRule="auto"/>
              <w:jc w:val="center"/>
              <w:rPr>
                <w:rFonts w:ascii="Arial" w:hAnsi="Arial" w:cs="Arial"/>
                <w:b/>
              </w:rPr>
            </w:pPr>
          </w:p>
          <w:p w14:paraId="5581391D" w14:textId="77777777" w:rsidR="00761550" w:rsidRPr="00CA58A1" w:rsidRDefault="00761550" w:rsidP="001E4F3E">
            <w:pPr>
              <w:spacing w:line="360" w:lineRule="auto"/>
              <w:jc w:val="center"/>
              <w:rPr>
                <w:rFonts w:ascii="Arial" w:hAnsi="Arial" w:cs="Arial"/>
                <w:b/>
                <w:lang w:val="es-ES"/>
              </w:rPr>
            </w:pPr>
            <w:r w:rsidRPr="00CA58A1">
              <w:rPr>
                <w:rFonts w:ascii="Arial" w:hAnsi="Arial" w:cs="Arial"/>
                <w:b/>
              </w:rPr>
              <w:t>Dip. Ismael Pérez Pavía</w:t>
            </w:r>
          </w:p>
        </w:tc>
      </w:tr>
      <w:tr w:rsidR="00761550" w:rsidRPr="00CA58A1" w14:paraId="36540859" w14:textId="77777777" w:rsidTr="00245BC2">
        <w:trPr>
          <w:trHeight w:val="1141"/>
          <w:jc w:val="center"/>
        </w:trPr>
        <w:tc>
          <w:tcPr>
            <w:tcW w:w="5100" w:type="dxa"/>
            <w:vAlign w:val="bottom"/>
          </w:tcPr>
          <w:p w14:paraId="11143FBC" w14:textId="77777777" w:rsidR="00761550" w:rsidRPr="00CA58A1" w:rsidRDefault="00761550" w:rsidP="001E4F3E">
            <w:pPr>
              <w:spacing w:line="360" w:lineRule="auto"/>
              <w:jc w:val="center"/>
              <w:rPr>
                <w:rFonts w:ascii="Arial" w:hAnsi="Arial" w:cs="Arial"/>
                <w:b/>
              </w:rPr>
            </w:pPr>
          </w:p>
          <w:p w14:paraId="50DDD85A" w14:textId="77777777" w:rsidR="00761550" w:rsidRPr="00CA58A1" w:rsidRDefault="00761550" w:rsidP="001E4F3E">
            <w:pPr>
              <w:spacing w:line="360" w:lineRule="auto"/>
              <w:jc w:val="center"/>
              <w:rPr>
                <w:rFonts w:ascii="Arial" w:hAnsi="Arial" w:cs="Arial"/>
                <w:b/>
              </w:rPr>
            </w:pPr>
          </w:p>
          <w:p w14:paraId="69C1D25A" w14:textId="77777777" w:rsidR="00761550" w:rsidRPr="00CA58A1" w:rsidRDefault="00761550" w:rsidP="001E4F3E">
            <w:pPr>
              <w:spacing w:line="360" w:lineRule="auto"/>
              <w:jc w:val="center"/>
              <w:rPr>
                <w:rFonts w:ascii="Arial" w:hAnsi="Arial" w:cs="Arial"/>
                <w:b/>
              </w:rPr>
            </w:pPr>
          </w:p>
          <w:p w14:paraId="31B8F3DE" w14:textId="77777777" w:rsidR="00761550" w:rsidRPr="00CA58A1" w:rsidRDefault="00761550" w:rsidP="001E4F3E">
            <w:pPr>
              <w:spacing w:line="360" w:lineRule="auto"/>
              <w:jc w:val="center"/>
              <w:rPr>
                <w:rFonts w:ascii="Arial" w:hAnsi="Arial" w:cs="Arial"/>
                <w:b/>
              </w:rPr>
            </w:pPr>
            <w:r w:rsidRPr="00CA58A1">
              <w:rPr>
                <w:rFonts w:ascii="Arial" w:hAnsi="Arial" w:cs="Arial"/>
                <w:b/>
              </w:rPr>
              <w:t>Dip. Rocio Guadalupe Sarmiento Rufino</w:t>
            </w:r>
          </w:p>
        </w:tc>
        <w:tc>
          <w:tcPr>
            <w:tcW w:w="4505" w:type="dxa"/>
            <w:vAlign w:val="bottom"/>
          </w:tcPr>
          <w:p w14:paraId="1F70469F" w14:textId="77777777" w:rsidR="00761550" w:rsidRPr="00CA58A1" w:rsidRDefault="00761550" w:rsidP="001E4F3E">
            <w:pPr>
              <w:spacing w:line="360" w:lineRule="auto"/>
              <w:jc w:val="center"/>
              <w:rPr>
                <w:rFonts w:ascii="Arial" w:hAnsi="Arial" w:cs="Arial"/>
                <w:b/>
              </w:rPr>
            </w:pPr>
          </w:p>
          <w:p w14:paraId="3151F35E" w14:textId="77777777" w:rsidR="00761550" w:rsidRPr="00CA58A1" w:rsidRDefault="00761550" w:rsidP="001E4F3E">
            <w:pPr>
              <w:spacing w:line="360" w:lineRule="auto"/>
              <w:jc w:val="center"/>
              <w:rPr>
                <w:rFonts w:ascii="Arial" w:hAnsi="Arial" w:cs="Arial"/>
                <w:b/>
              </w:rPr>
            </w:pPr>
          </w:p>
          <w:p w14:paraId="75DECB80" w14:textId="77777777" w:rsidR="00761550" w:rsidRPr="00CA58A1" w:rsidRDefault="00761550" w:rsidP="001E4F3E">
            <w:pPr>
              <w:spacing w:line="360" w:lineRule="auto"/>
              <w:jc w:val="center"/>
              <w:rPr>
                <w:rFonts w:ascii="Arial" w:hAnsi="Arial" w:cs="Arial"/>
                <w:b/>
              </w:rPr>
            </w:pPr>
          </w:p>
          <w:p w14:paraId="7F31D8B8" w14:textId="77777777" w:rsidR="00761550" w:rsidRPr="00CA58A1" w:rsidRDefault="00761550" w:rsidP="001E4F3E">
            <w:pPr>
              <w:spacing w:line="360" w:lineRule="auto"/>
              <w:jc w:val="center"/>
              <w:rPr>
                <w:rFonts w:ascii="Arial" w:hAnsi="Arial" w:cs="Arial"/>
                <w:b/>
              </w:rPr>
            </w:pPr>
            <w:r w:rsidRPr="00CA58A1">
              <w:rPr>
                <w:rFonts w:ascii="Arial" w:hAnsi="Arial" w:cs="Arial"/>
                <w:b/>
              </w:rPr>
              <w:t>Dip. Saúl Mireles Corral</w:t>
            </w:r>
          </w:p>
        </w:tc>
      </w:tr>
      <w:tr w:rsidR="00761550" w:rsidRPr="00CA58A1" w14:paraId="6E8E894A" w14:textId="77777777" w:rsidTr="00245BC2">
        <w:trPr>
          <w:trHeight w:val="1600"/>
          <w:jc w:val="center"/>
        </w:trPr>
        <w:tc>
          <w:tcPr>
            <w:tcW w:w="5100" w:type="dxa"/>
            <w:vAlign w:val="bottom"/>
          </w:tcPr>
          <w:p w14:paraId="0D2B9210" w14:textId="77777777" w:rsidR="00761550" w:rsidRPr="00CA58A1" w:rsidRDefault="00761550" w:rsidP="001E4F3E">
            <w:pPr>
              <w:spacing w:line="360" w:lineRule="auto"/>
              <w:jc w:val="center"/>
              <w:rPr>
                <w:rFonts w:ascii="Arial" w:hAnsi="Arial" w:cs="Arial"/>
                <w:b/>
              </w:rPr>
            </w:pPr>
          </w:p>
          <w:p w14:paraId="5B8F34BF" w14:textId="77777777" w:rsidR="00761550" w:rsidRPr="00CA58A1" w:rsidRDefault="00761550" w:rsidP="001E4F3E">
            <w:pPr>
              <w:spacing w:line="360" w:lineRule="auto"/>
              <w:jc w:val="center"/>
              <w:rPr>
                <w:rFonts w:ascii="Arial" w:hAnsi="Arial" w:cs="Arial"/>
                <w:b/>
              </w:rPr>
            </w:pPr>
            <w:r w:rsidRPr="00CA58A1">
              <w:rPr>
                <w:rFonts w:ascii="Arial" w:hAnsi="Arial" w:cs="Arial"/>
                <w:b/>
              </w:rPr>
              <w:t>Dip. Georgina Alejandra Bujanda Ríos</w:t>
            </w:r>
          </w:p>
        </w:tc>
        <w:tc>
          <w:tcPr>
            <w:tcW w:w="4505" w:type="dxa"/>
            <w:vAlign w:val="bottom"/>
          </w:tcPr>
          <w:p w14:paraId="01FDBB4B" w14:textId="77777777" w:rsidR="00761550" w:rsidRPr="00CA58A1" w:rsidRDefault="00761550" w:rsidP="001E4F3E">
            <w:pPr>
              <w:spacing w:line="360" w:lineRule="auto"/>
              <w:jc w:val="center"/>
              <w:rPr>
                <w:rFonts w:ascii="Arial" w:hAnsi="Arial" w:cs="Arial"/>
                <w:b/>
              </w:rPr>
            </w:pPr>
          </w:p>
          <w:p w14:paraId="5C48C3DB" w14:textId="77777777" w:rsidR="00761550" w:rsidRPr="00CA58A1" w:rsidRDefault="00761550" w:rsidP="001E4F3E">
            <w:pPr>
              <w:spacing w:line="360" w:lineRule="auto"/>
              <w:jc w:val="center"/>
              <w:rPr>
                <w:rFonts w:ascii="Arial" w:hAnsi="Arial" w:cs="Arial"/>
                <w:b/>
                <w:lang w:val="es-ES"/>
              </w:rPr>
            </w:pPr>
            <w:r w:rsidRPr="00CA58A1">
              <w:rPr>
                <w:rFonts w:ascii="Arial" w:hAnsi="Arial" w:cs="Arial"/>
                <w:b/>
              </w:rPr>
              <w:t>Dip. José Alfredo Chávez Madrid</w:t>
            </w:r>
          </w:p>
        </w:tc>
      </w:tr>
      <w:tr w:rsidR="00761550" w:rsidRPr="00CA58A1" w14:paraId="63B0CD7F" w14:textId="77777777" w:rsidTr="00245BC2">
        <w:trPr>
          <w:trHeight w:val="905"/>
          <w:jc w:val="center"/>
        </w:trPr>
        <w:tc>
          <w:tcPr>
            <w:tcW w:w="5100" w:type="dxa"/>
            <w:vAlign w:val="bottom"/>
          </w:tcPr>
          <w:p w14:paraId="6D35C8D3" w14:textId="77777777" w:rsidR="00761550" w:rsidRPr="00CA58A1" w:rsidRDefault="00761550" w:rsidP="001E4F3E">
            <w:pPr>
              <w:spacing w:line="360" w:lineRule="auto"/>
              <w:jc w:val="center"/>
              <w:rPr>
                <w:rFonts w:ascii="Arial" w:hAnsi="Arial" w:cs="Arial"/>
                <w:b/>
              </w:rPr>
            </w:pPr>
          </w:p>
          <w:p w14:paraId="43664B0D" w14:textId="77777777" w:rsidR="00761550" w:rsidRPr="00CA58A1" w:rsidRDefault="00761550" w:rsidP="001E4F3E">
            <w:pPr>
              <w:spacing w:line="360" w:lineRule="auto"/>
              <w:jc w:val="center"/>
              <w:rPr>
                <w:rFonts w:ascii="Arial" w:hAnsi="Arial" w:cs="Arial"/>
                <w:b/>
              </w:rPr>
            </w:pPr>
          </w:p>
          <w:p w14:paraId="465A0A10" w14:textId="77777777" w:rsidR="00761550" w:rsidRPr="00CA58A1" w:rsidRDefault="00761550" w:rsidP="001E4F3E">
            <w:pPr>
              <w:spacing w:line="360" w:lineRule="auto"/>
              <w:jc w:val="center"/>
              <w:rPr>
                <w:rFonts w:ascii="Arial" w:hAnsi="Arial" w:cs="Arial"/>
                <w:b/>
              </w:rPr>
            </w:pPr>
          </w:p>
          <w:p w14:paraId="0740E793" w14:textId="77777777" w:rsidR="00761550" w:rsidRPr="00CA58A1" w:rsidRDefault="00761550" w:rsidP="001E4F3E">
            <w:pPr>
              <w:spacing w:line="360" w:lineRule="auto"/>
              <w:jc w:val="center"/>
              <w:rPr>
                <w:rFonts w:ascii="Arial" w:hAnsi="Arial" w:cs="Arial"/>
                <w:b/>
              </w:rPr>
            </w:pPr>
          </w:p>
          <w:p w14:paraId="6000AB1F" w14:textId="77777777" w:rsidR="00761550" w:rsidRPr="00CA58A1" w:rsidRDefault="00761550" w:rsidP="001E4F3E">
            <w:pPr>
              <w:spacing w:line="360" w:lineRule="auto"/>
              <w:jc w:val="center"/>
              <w:rPr>
                <w:rFonts w:ascii="Arial" w:hAnsi="Arial" w:cs="Arial"/>
                <w:b/>
              </w:rPr>
            </w:pPr>
            <w:r w:rsidRPr="00CA58A1">
              <w:rPr>
                <w:rFonts w:ascii="Arial" w:hAnsi="Arial" w:cs="Arial"/>
                <w:b/>
              </w:rPr>
              <w:t>Dip. Carlos Alfredo Olson San Vicente</w:t>
            </w:r>
          </w:p>
        </w:tc>
        <w:tc>
          <w:tcPr>
            <w:tcW w:w="4505" w:type="dxa"/>
            <w:vAlign w:val="bottom"/>
          </w:tcPr>
          <w:p w14:paraId="14B1B15C" w14:textId="77777777" w:rsidR="00761550" w:rsidRPr="00CA58A1" w:rsidRDefault="00761550" w:rsidP="001E4F3E">
            <w:pPr>
              <w:spacing w:line="360" w:lineRule="auto"/>
              <w:jc w:val="center"/>
              <w:rPr>
                <w:rFonts w:ascii="Arial" w:hAnsi="Arial" w:cs="Arial"/>
                <w:b/>
              </w:rPr>
            </w:pPr>
          </w:p>
          <w:p w14:paraId="7FEDDBE0" w14:textId="77777777" w:rsidR="00761550" w:rsidRPr="00CA58A1" w:rsidRDefault="00761550" w:rsidP="001E4F3E">
            <w:pPr>
              <w:spacing w:line="360" w:lineRule="auto"/>
              <w:jc w:val="center"/>
              <w:rPr>
                <w:rFonts w:ascii="Arial" w:hAnsi="Arial" w:cs="Arial"/>
                <w:b/>
              </w:rPr>
            </w:pPr>
          </w:p>
          <w:p w14:paraId="5DAD2315" w14:textId="77777777" w:rsidR="00002D8A" w:rsidRPr="00CA58A1" w:rsidRDefault="00002D8A" w:rsidP="001E4F3E">
            <w:pPr>
              <w:spacing w:line="360" w:lineRule="auto"/>
              <w:jc w:val="center"/>
              <w:rPr>
                <w:rFonts w:ascii="Arial" w:hAnsi="Arial" w:cs="Arial"/>
                <w:b/>
              </w:rPr>
            </w:pPr>
          </w:p>
          <w:p w14:paraId="63192F30" w14:textId="77777777" w:rsidR="00761550" w:rsidRPr="00CA58A1" w:rsidRDefault="00761550" w:rsidP="001E4F3E">
            <w:pPr>
              <w:spacing w:line="360" w:lineRule="auto"/>
              <w:jc w:val="center"/>
              <w:rPr>
                <w:rFonts w:ascii="Arial" w:hAnsi="Arial" w:cs="Arial"/>
                <w:b/>
              </w:rPr>
            </w:pPr>
          </w:p>
          <w:p w14:paraId="5834265E" w14:textId="77777777" w:rsidR="00761550" w:rsidRPr="00CA58A1" w:rsidRDefault="00761550" w:rsidP="001E4F3E">
            <w:pPr>
              <w:spacing w:line="360" w:lineRule="auto"/>
              <w:jc w:val="center"/>
              <w:rPr>
                <w:rFonts w:ascii="Arial" w:hAnsi="Arial" w:cs="Arial"/>
              </w:rPr>
            </w:pPr>
            <w:r w:rsidRPr="00CA58A1">
              <w:rPr>
                <w:rFonts w:ascii="Arial" w:hAnsi="Arial" w:cs="Arial"/>
                <w:b/>
              </w:rPr>
              <w:t>Dip. Carla Yamileth Rivas Martínez</w:t>
            </w:r>
          </w:p>
        </w:tc>
      </w:tr>
      <w:tr w:rsidR="00761550" w:rsidRPr="00CA58A1" w14:paraId="07DD7094" w14:textId="77777777" w:rsidTr="00245BC2">
        <w:trPr>
          <w:trHeight w:val="1141"/>
          <w:jc w:val="center"/>
        </w:trPr>
        <w:tc>
          <w:tcPr>
            <w:tcW w:w="5100" w:type="dxa"/>
            <w:vAlign w:val="bottom"/>
          </w:tcPr>
          <w:p w14:paraId="10C869D1" w14:textId="77777777" w:rsidR="00761550" w:rsidRPr="00CA58A1" w:rsidRDefault="00761550" w:rsidP="001E4F3E">
            <w:pPr>
              <w:spacing w:line="360" w:lineRule="auto"/>
              <w:jc w:val="center"/>
              <w:rPr>
                <w:rFonts w:ascii="Arial" w:hAnsi="Arial" w:cs="Arial"/>
                <w:b/>
              </w:rPr>
            </w:pPr>
          </w:p>
          <w:p w14:paraId="739020E2" w14:textId="77777777" w:rsidR="00761550" w:rsidRPr="00CA58A1" w:rsidRDefault="00761550" w:rsidP="001E4F3E">
            <w:pPr>
              <w:spacing w:line="360" w:lineRule="auto"/>
              <w:jc w:val="center"/>
              <w:rPr>
                <w:rFonts w:ascii="Arial" w:hAnsi="Arial" w:cs="Arial"/>
                <w:b/>
              </w:rPr>
            </w:pPr>
          </w:p>
          <w:p w14:paraId="7B4A7383" w14:textId="77777777" w:rsidR="00761550" w:rsidRPr="00CA58A1" w:rsidRDefault="00761550" w:rsidP="001E4F3E">
            <w:pPr>
              <w:spacing w:line="360" w:lineRule="auto"/>
              <w:jc w:val="center"/>
              <w:rPr>
                <w:rFonts w:ascii="Arial" w:hAnsi="Arial" w:cs="Arial"/>
                <w:b/>
              </w:rPr>
            </w:pPr>
          </w:p>
          <w:p w14:paraId="723E5AB4" w14:textId="77777777" w:rsidR="00761550" w:rsidRPr="00CA58A1" w:rsidRDefault="00761550" w:rsidP="001E4F3E">
            <w:pPr>
              <w:spacing w:line="360" w:lineRule="auto"/>
              <w:jc w:val="center"/>
              <w:rPr>
                <w:rFonts w:ascii="Arial" w:hAnsi="Arial" w:cs="Arial"/>
                <w:b/>
              </w:rPr>
            </w:pPr>
          </w:p>
          <w:p w14:paraId="5D2A9DCE" w14:textId="1A9F5F4C" w:rsidR="00761550" w:rsidRPr="00CA58A1" w:rsidRDefault="00761550" w:rsidP="001E4F3E">
            <w:pPr>
              <w:spacing w:line="360" w:lineRule="auto"/>
              <w:jc w:val="center"/>
              <w:rPr>
                <w:rFonts w:ascii="Arial" w:hAnsi="Arial" w:cs="Arial"/>
              </w:rPr>
            </w:pPr>
            <w:r w:rsidRPr="00CA58A1">
              <w:rPr>
                <w:rFonts w:ascii="Arial" w:hAnsi="Arial" w:cs="Arial"/>
                <w:b/>
              </w:rPr>
              <w:t xml:space="preserve">Dip. Roberto Marcelino </w:t>
            </w:r>
            <w:r w:rsidR="00B5168E" w:rsidRPr="00CA58A1">
              <w:rPr>
                <w:rFonts w:ascii="Arial" w:hAnsi="Arial" w:cs="Arial"/>
                <w:b/>
              </w:rPr>
              <w:t>Carreón Huitró</w:t>
            </w:r>
            <w:r w:rsidRPr="00CA58A1">
              <w:rPr>
                <w:rFonts w:ascii="Arial" w:hAnsi="Arial" w:cs="Arial"/>
                <w:b/>
              </w:rPr>
              <w:t>n</w:t>
            </w:r>
          </w:p>
        </w:tc>
        <w:tc>
          <w:tcPr>
            <w:tcW w:w="4505" w:type="dxa"/>
            <w:vAlign w:val="bottom"/>
          </w:tcPr>
          <w:p w14:paraId="46F4CFC3" w14:textId="77777777" w:rsidR="00761550" w:rsidRPr="00CA58A1" w:rsidRDefault="00761550" w:rsidP="001E4F3E">
            <w:pPr>
              <w:spacing w:line="360" w:lineRule="auto"/>
              <w:jc w:val="center"/>
              <w:rPr>
                <w:rFonts w:ascii="Arial" w:hAnsi="Arial" w:cs="Arial"/>
                <w:b/>
              </w:rPr>
            </w:pPr>
          </w:p>
          <w:p w14:paraId="38D34335" w14:textId="77777777" w:rsidR="00761550" w:rsidRPr="00CA58A1" w:rsidRDefault="00761550" w:rsidP="001E4F3E">
            <w:pPr>
              <w:spacing w:line="360" w:lineRule="auto"/>
              <w:jc w:val="center"/>
              <w:rPr>
                <w:rFonts w:ascii="Arial" w:hAnsi="Arial" w:cs="Arial"/>
                <w:b/>
              </w:rPr>
            </w:pPr>
          </w:p>
          <w:p w14:paraId="1BC61A27" w14:textId="77777777" w:rsidR="00761550" w:rsidRPr="00CA58A1" w:rsidRDefault="00761550" w:rsidP="001E4F3E">
            <w:pPr>
              <w:spacing w:line="360" w:lineRule="auto"/>
              <w:jc w:val="center"/>
              <w:rPr>
                <w:rFonts w:ascii="Arial" w:hAnsi="Arial" w:cs="Arial"/>
                <w:b/>
              </w:rPr>
            </w:pPr>
          </w:p>
          <w:p w14:paraId="19E6121A" w14:textId="77777777" w:rsidR="00761550" w:rsidRPr="00CA58A1" w:rsidRDefault="00761550" w:rsidP="001E4F3E">
            <w:pPr>
              <w:spacing w:line="360" w:lineRule="auto"/>
              <w:jc w:val="center"/>
              <w:rPr>
                <w:rFonts w:ascii="Arial" w:hAnsi="Arial" w:cs="Arial"/>
                <w:b/>
              </w:rPr>
            </w:pPr>
          </w:p>
          <w:p w14:paraId="2A51314F" w14:textId="77777777" w:rsidR="00761550" w:rsidRPr="00CA58A1" w:rsidRDefault="00761550" w:rsidP="001E4F3E">
            <w:pPr>
              <w:spacing w:line="360" w:lineRule="auto"/>
              <w:jc w:val="center"/>
              <w:rPr>
                <w:rFonts w:ascii="Arial" w:hAnsi="Arial" w:cs="Arial"/>
                <w:b/>
              </w:rPr>
            </w:pPr>
            <w:r w:rsidRPr="00CA58A1">
              <w:rPr>
                <w:rFonts w:ascii="Arial" w:hAnsi="Arial" w:cs="Arial"/>
                <w:b/>
              </w:rPr>
              <w:t>Dip.  Luis Alberto Aguilar Lozoya</w:t>
            </w:r>
          </w:p>
        </w:tc>
      </w:tr>
      <w:tr w:rsidR="00761550" w:rsidRPr="00CA58A1" w14:paraId="1BBC3631" w14:textId="77777777" w:rsidTr="00245BC2">
        <w:trPr>
          <w:trHeight w:val="1377"/>
          <w:jc w:val="center"/>
        </w:trPr>
        <w:tc>
          <w:tcPr>
            <w:tcW w:w="5100" w:type="dxa"/>
            <w:vAlign w:val="bottom"/>
          </w:tcPr>
          <w:p w14:paraId="55349F2D" w14:textId="77777777" w:rsidR="00761550" w:rsidRPr="00CA58A1" w:rsidRDefault="00761550" w:rsidP="001E4F3E">
            <w:pPr>
              <w:spacing w:line="360" w:lineRule="auto"/>
              <w:jc w:val="center"/>
              <w:rPr>
                <w:rFonts w:ascii="Arial" w:hAnsi="Arial" w:cs="Arial"/>
                <w:b/>
                <w:lang w:val="es-ES"/>
              </w:rPr>
            </w:pPr>
          </w:p>
          <w:p w14:paraId="5ECB7124" w14:textId="77777777" w:rsidR="00761550" w:rsidRPr="00CA58A1" w:rsidRDefault="00761550" w:rsidP="001E4F3E">
            <w:pPr>
              <w:spacing w:line="360" w:lineRule="auto"/>
              <w:jc w:val="center"/>
              <w:rPr>
                <w:rFonts w:ascii="Arial" w:hAnsi="Arial" w:cs="Arial"/>
                <w:b/>
                <w:lang w:val="es-ES"/>
              </w:rPr>
            </w:pPr>
          </w:p>
          <w:p w14:paraId="3DC04C38" w14:textId="77777777" w:rsidR="00761550" w:rsidRPr="00CA58A1" w:rsidRDefault="00761550" w:rsidP="001E4F3E">
            <w:pPr>
              <w:spacing w:line="360" w:lineRule="auto"/>
              <w:jc w:val="center"/>
              <w:rPr>
                <w:rFonts w:ascii="Arial" w:hAnsi="Arial" w:cs="Arial"/>
                <w:b/>
                <w:lang w:val="es-ES"/>
              </w:rPr>
            </w:pPr>
          </w:p>
          <w:p w14:paraId="1538C787" w14:textId="77777777" w:rsidR="00761550" w:rsidRPr="00CA58A1" w:rsidRDefault="00761550" w:rsidP="001E4F3E">
            <w:pPr>
              <w:spacing w:line="360" w:lineRule="auto"/>
              <w:jc w:val="center"/>
              <w:rPr>
                <w:rFonts w:ascii="Arial" w:hAnsi="Arial" w:cs="Arial"/>
                <w:b/>
                <w:lang w:val="es-ES"/>
              </w:rPr>
            </w:pPr>
          </w:p>
          <w:p w14:paraId="3E4B4EF3" w14:textId="77777777" w:rsidR="00761550" w:rsidRPr="00CA58A1" w:rsidRDefault="00761550" w:rsidP="001E4F3E">
            <w:pPr>
              <w:spacing w:line="360" w:lineRule="auto"/>
              <w:jc w:val="center"/>
              <w:rPr>
                <w:rFonts w:ascii="Arial" w:hAnsi="Arial" w:cs="Arial"/>
                <w:b/>
                <w:lang w:val="es-ES"/>
              </w:rPr>
            </w:pPr>
            <w:r w:rsidRPr="00CA58A1">
              <w:rPr>
                <w:rFonts w:ascii="Arial" w:hAnsi="Arial" w:cs="Arial"/>
                <w:b/>
                <w:lang w:val="es-ES"/>
              </w:rPr>
              <w:t>Dip. Yesenia Guadalupe Reyes Calzadías</w:t>
            </w:r>
          </w:p>
        </w:tc>
        <w:tc>
          <w:tcPr>
            <w:tcW w:w="4505" w:type="dxa"/>
            <w:vAlign w:val="bottom"/>
          </w:tcPr>
          <w:p w14:paraId="6A209000" w14:textId="77777777" w:rsidR="00761550" w:rsidRPr="00CA58A1" w:rsidRDefault="00761550" w:rsidP="001E4F3E">
            <w:pPr>
              <w:spacing w:line="360" w:lineRule="auto"/>
              <w:jc w:val="center"/>
              <w:rPr>
                <w:rFonts w:ascii="Arial" w:hAnsi="Arial" w:cs="Arial"/>
                <w:b/>
              </w:rPr>
            </w:pPr>
          </w:p>
          <w:p w14:paraId="7E413407" w14:textId="77777777" w:rsidR="00761550" w:rsidRPr="00CA58A1" w:rsidRDefault="00761550" w:rsidP="001E4F3E">
            <w:pPr>
              <w:spacing w:line="360" w:lineRule="auto"/>
              <w:jc w:val="center"/>
              <w:rPr>
                <w:rFonts w:ascii="Arial" w:hAnsi="Arial" w:cs="Arial"/>
                <w:b/>
              </w:rPr>
            </w:pPr>
          </w:p>
          <w:p w14:paraId="2675DD31" w14:textId="77777777" w:rsidR="00761550" w:rsidRPr="00CA58A1" w:rsidRDefault="00761550" w:rsidP="001E4F3E">
            <w:pPr>
              <w:spacing w:line="360" w:lineRule="auto"/>
              <w:jc w:val="center"/>
              <w:rPr>
                <w:rFonts w:ascii="Arial" w:hAnsi="Arial" w:cs="Arial"/>
                <w:b/>
              </w:rPr>
            </w:pPr>
          </w:p>
          <w:p w14:paraId="12B362F7" w14:textId="77777777" w:rsidR="00761550" w:rsidRPr="00CA58A1" w:rsidRDefault="00761550" w:rsidP="001E4F3E">
            <w:pPr>
              <w:spacing w:line="360" w:lineRule="auto"/>
              <w:jc w:val="center"/>
              <w:rPr>
                <w:rFonts w:ascii="Arial" w:hAnsi="Arial" w:cs="Arial"/>
                <w:b/>
              </w:rPr>
            </w:pPr>
          </w:p>
          <w:p w14:paraId="06E8601F" w14:textId="77777777" w:rsidR="00761550" w:rsidRPr="00CA58A1" w:rsidRDefault="00761550" w:rsidP="001E4F3E">
            <w:pPr>
              <w:spacing w:line="360" w:lineRule="auto"/>
              <w:jc w:val="center"/>
              <w:rPr>
                <w:rFonts w:ascii="Arial" w:hAnsi="Arial" w:cs="Arial"/>
              </w:rPr>
            </w:pPr>
            <w:r w:rsidRPr="00CA58A1">
              <w:rPr>
                <w:rFonts w:ascii="Arial" w:hAnsi="Arial" w:cs="Arial"/>
                <w:b/>
              </w:rPr>
              <w:t>Dip. Gabriel Ángel García Cantú</w:t>
            </w:r>
          </w:p>
        </w:tc>
      </w:tr>
      <w:tr w:rsidR="00761550" w:rsidRPr="00CA58A1" w14:paraId="38754ABA" w14:textId="77777777" w:rsidTr="00245BC2">
        <w:trPr>
          <w:trHeight w:val="1141"/>
          <w:jc w:val="center"/>
        </w:trPr>
        <w:tc>
          <w:tcPr>
            <w:tcW w:w="5100" w:type="dxa"/>
            <w:vAlign w:val="bottom"/>
          </w:tcPr>
          <w:p w14:paraId="1E77C0BB" w14:textId="77777777" w:rsidR="00761550" w:rsidRPr="00CA58A1" w:rsidRDefault="00761550" w:rsidP="001E4F3E">
            <w:pPr>
              <w:spacing w:line="360" w:lineRule="auto"/>
              <w:jc w:val="center"/>
              <w:rPr>
                <w:rFonts w:ascii="Arial" w:hAnsi="Arial" w:cs="Arial"/>
                <w:b/>
              </w:rPr>
            </w:pPr>
          </w:p>
          <w:p w14:paraId="732991FC" w14:textId="77777777" w:rsidR="00761550" w:rsidRPr="00CA58A1" w:rsidRDefault="00761550" w:rsidP="001E4F3E">
            <w:pPr>
              <w:spacing w:line="360" w:lineRule="auto"/>
              <w:jc w:val="center"/>
              <w:rPr>
                <w:rFonts w:ascii="Arial" w:hAnsi="Arial" w:cs="Arial"/>
                <w:b/>
              </w:rPr>
            </w:pPr>
          </w:p>
          <w:p w14:paraId="1CD25866" w14:textId="77777777" w:rsidR="00761550" w:rsidRPr="00CA58A1" w:rsidRDefault="00761550" w:rsidP="001E4F3E">
            <w:pPr>
              <w:spacing w:line="360" w:lineRule="auto"/>
              <w:jc w:val="center"/>
              <w:rPr>
                <w:rFonts w:ascii="Arial" w:hAnsi="Arial" w:cs="Arial"/>
                <w:b/>
              </w:rPr>
            </w:pPr>
          </w:p>
          <w:p w14:paraId="4C96119A" w14:textId="77777777" w:rsidR="00761550" w:rsidRPr="00CA58A1" w:rsidRDefault="00761550" w:rsidP="001E4F3E">
            <w:pPr>
              <w:spacing w:line="360" w:lineRule="auto"/>
              <w:jc w:val="center"/>
              <w:rPr>
                <w:rFonts w:ascii="Arial" w:hAnsi="Arial" w:cs="Arial"/>
                <w:b/>
              </w:rPr>
            </w:pPr>
          </w:p>
          <w:p w14:paraId="342E24E7" w14:textId="77777777" w:rsidR="00761550" w:rsidRPr="00CA58A1" w:rsidRDefault="00761550" w:rsidP="001E4F3E">
            <w:pPr>
              <w:spacing w:line="360" w:lineRule="auto"/>
              <w:jc w:val="center"/>
              <w:rPr>
                <w:rFonts w:ascii="Arial" w:hAnsi="Arial" w:cs="Arial"/>
              </w:rPr>
            </w:pPr>
            <w:r w:rsidRPr="00CA58A1">
              <w:rPr>
                <w:rFonts w:ascii="Arial" w:hAnsi="Arial" w:cs="Arial"/>
                <w:b/>
              </w:rPr>
              <w:t>Dip. Mario Humberto Vázquez Robles</w:t>
            </w:r>
          </w:p>
        </w:tc>
        <w:tc>
          <w:tcPr>
            <w:tcW w:w="4505" w:type="dxa"/>
            <w:vAlign w:val="bottom"/>
          </w:tcPr>
          <w:p w14:paraId="694A713B" w14:textId="77777777" w:rsidR="00761550" w:rsidRPr="00CA58A1" w:rsidRDefault="00761550" w:rsidP="001E4F3E">
            <w:pPr>
              <w:spacing w:line="360" w:lineRule="auto"/>
              <w:jc w:val="center"/>
              <w:rPr>
                <w:rFonts w:ascii="Arial" w:hAnsi="Arial" w:cs="Arial"/>
                <w:b/>
              </w:rPr>
            </w:pPr>
          </w:p>
          <w:p w14:paraId="67E6D0ED" w14:textId="77777777" w:rsidR="00761550" w:rsidRPr="00CA58A1" w:rsidRDefault="00761550" w:rsidP="001E4F3E">
            <w:pPr>
              <w:spacing w:line="360" w:lineRule="auto"/>
              <w:jc w:val="center"/>
              <w:rPr>
                <w:rFonts w:ascii="Arial" w:hAnsi="Arial" w:cs="Arial"/>
                <w:b/>
              </w:rPr>
            </w:pPr>
          </w:p>
          <w:p w14:paraId="1CEA14E7" w14:textId="77777777" w:rsidR="00761550" w:rsidRPr="00CA58A1" w:rsidRDefault="00761550" w:rsidP="001E4F3E">
            <w:pPr>
              <w:spacing w:line="360" w:lineRule="auto"/>
              <w:jc w:val="center"/>
              <w:rPr>
                <w:rFonts w:ascii="Arial" w:hAnsi="Arial" w:cs="Arial"/>
                <w:b/>
              </w:rPr>
            </w:pPr>
          </w:p>
          <w:p w14:paraId="5B309E9C" w14:textId="77777777" w:rsidR="00761550" w:rsidRPr="00CA58A1" w:rsidRDefault="00761550" w:rsidP="001E4F3E">
            <w:pPr>
              <w:spacing w:line="360" w:lineRule="auto"/>
              <w:jc w:val="center"/>
              <w:rPr>
                <w:rFonts w:ascii="Arial" w:hAnsi="Arial" w:cs="Arial"/>
                <w:b/>
              </w:rPr>
            </w:pPr>
          </w:p>
          <w:p w14:paraId="7341A574" w14:textId="77777777" w:rsidR="00761550" w:rsidRPr="00CA58A1" w:rsidRDefault="00761550" w:rsidP="001E4F3E">
            <w:pPr>
              <w:spacing w:line="360" w:lineRule="auto"/>
              <w:jc w:val="center"/>
              <w:rPr>
                <w:rFonts w:ascii="Arial" w:hAnsi="Arial" w:cs="Arial"/>
                <w:b/>
                <w:lang w:val="es-ES"/>
              </w:rPr>
            </w:pPr>
            <w:r w:rsidRPr="00CA58A1">
              <w:rPr>
                <w:rFonts w:ascii="Arial" w:hAnsi="Arial" w:cs="Arial"/>
                <w:b/>
              </w:rPr>
              <w:t>Dip. Rosa Isela Martínez Díaz</w:t>
            </w:r>
          </w:p>
        </w:tc>
      </w:tr>
    </w:tbl>
    <w:p w14:paraId="4E19D0F3" w14:textId="15D77A15" w:rsidR="0008233B" w:rsidRPr="00CA58A1" w:rsidRDefault="0008233B" w:rsidP="00CA58A1">
      <w:pPr>
        <w:shd w:val="clear" w:color="auto" w:fill="FFFFFF"/>
        <w:spacing w:line="360" w:lineRule="auto"/>
        <w:ind w:firstLine="709"/>
        <w:jc w:val="both"/>
        <w:rPr>
          <w:rFonts w:ascii="Arial" w:hAnsi="Arial" w:cs="Arial"/>
          <w:b/>
          <w:bCs/>
          <w:i/>
          <w:color w:val="000000"/>
          <w:sz w:val="24"/>
          <w:szCs w:val="24"/>
          <w:highlight w:val="lightGray"/>
        </w:rPr>
      </w:pPr>
    </w:p>
    <w:p w14:paraId="15557BE1" w14:textId="77777777" w:rsidR="00930162" w:rsidRDefault="00930162" w:rsidP="00930162">
      <w:pPr>
        <w:spacing w:line="240" w:lineRule="auto"/>
        <w:jc w:val="both"/>
        <w:rPr>
          <w:rFonts w:ascii="Arial" w:hAnsi="Arial" w:cs="Arial"/>
          <w:b/>
          <w:bCs/>
          <w:i/>
          <w:sz w:val="18"/>
          <w:szCs w:val="18"/>
        </w:rPr>
      </w:pPr>
    </w:p>
    <w:p w14:paraId="30CDC1BD" w14:textId="12D520BC" w:rsidR="001A2305" w:rsidRPr="00930162" w:rsidRDefault="00015D9E" w:rsidP="00930162">
      <w:pPr>
        <w:spacing w:line="240" w:lineRule="auto"/>
        <w:jc w:val="both"/>
        <w:rPr>
          <w:rFonts w:ascii="Arial" w:hAnsi="Arial" w:cs="Arial"/>
        </w:rPr>
      </w:pPr>
      <w:r w:rsidRPr="00930162">
        <w:rPr>
          <w:rFonts w:ascii="Arial" w:hAnsi="Arial" w:cs="Arial"/>
          <w:b/>
          <w:bCs/>
          <w:i/>
          <w:sz w:val="18"/>
          <w:szCs w:val="18"/>
        </w:rPr>
        <w:t xml:space="preserve">Esta hoja forma parte de la iniciativa con carácter de </w:t>
      </w:r>
      <w:r w:rsidR="00CD3BE6" w:rsidRPr="00930162">
        <w:rPr>
          <w:rFonts w:ascii="Arial" w:hAnsi="Arial" w:cs="Arial"/>
          <w:b/>
          <w:bCs/>
          <w:i/>
          <w:sz w:val="18"/>
          <w:szCs w:val="18"/>
        </w:rPr>
        <w:t>Iniciativa con carácter de Decreto para adicionar diversas disposiciones a</w:t>
      </w:r>
      <w:r w:rsidR="00245BC2" w:rsidRPr="00930162">
        <w:rPr>
          <w:rFonts w:ascii="Arial" w:hAnsi="Arial" w:cs="Arial"/>
          <w:b/>
          <w:bCs/>
          <w:i/>
          <w:sz w:val="18"/>
          <w:szCs w:val="18"/>
        </w:rPr>
        <w:t xml:space="preserve"> la</w:t>
      </w:r>
      <w:r w:rsidR="00CD3BE6" w:rsidRPr="00930162">
        <w:rPr>
          <w:rFonts w:ascii="Arial" w:hAnsi="Arial" w:cs="Arial"/>
          <w:b/>
          <w:bCs/>
          <w:i/>
          <w:sz w:val="18"/>
          <w:szCs w:val="18"/>
        </w:rPr>
        <w:t xml:space="preserve"> </w:t>
      </w:r>
      <w:r w:rsidR="00245BC2" w:rsidRPr="00930162">
        <w:rPr>
          <w:rFonts w:ascii="Arial" w:hAnsi="Arial" w:cs="Arial"/>
          <w:b/>
          <w:bCs/>
          <w:i/>
          <w:sz w:val="18"/>
          <w:szCs w:val="18"/>
        </w:rPr>
        <w:t>Ley Estatal de Educación y la Ley de los Derechos de las Niñas, Niños y Adolescentes</w:t>
      </w:r>
      <w:r w:rsidR="00CD3BE6" w:rsidRPr="00930162">
        <w:rPr>
          <w:rFonts w:ascii="Arial" w:hAnsi="Arial" w:cs="Arial"/>
          <w:b/>
          <w:bCs/>
          <w:i/>
          <w:sz w:val="18"/>
          <w:szCs w:val="18"/>
        </w:rPr>
        <w:t xml:space="preserve">, a fin de </w:t>
      </w:r>
      <w:r w:rsidR="00245BC2" w:rsidRPr="00930162">
        <w:rPr>
          <w:rFonts w:ascii="Arial" w:hAnsi="Arial" w:cs="Arial"/>
          <w:b/>
          <w:bCs/>
          <w:i/>
          <w:sz w:val="18"/>
          <w:szCs w:val="18"/>
        </w:rPr>
        <w:t>Implementar a través de talleres al interior de las instituciones educativas, hábitos de autocuidado y de correcta higiene bucodental</w:t>
      </w:r>
      <w:r w:rsidRPr="00930162">
        <w:rPr>
          <w:rFonts w:ascii="Arial" w:hAnsi="Arial" w:cs="Arial"/>
          <w:b/>
          <w:bCs/>
          <w:i/>
          <w:sz w:val="18"/>
          <w:szCs w:val="18"/>
        </w:rPr>
        <w:t xml:space="preserve">. </w:t>
      </w:r>
    </w:p>
    <w:sectPr w:rsidR="001A2305" w:rsidRPr="00930162" w:rsidSect="0072537A">
      <w:headerReference w:type="default" r:id="rId8"/>
      <w:footerReference w:type="default" r:id="rId9"/>
      <w:pgSz w:w="12242" w:h="15842" w:code="1"/>
      <w:pgMar w:top="1701" w:right="1418" w:bottom="1701" w:left="1701"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AD978" w14:textId="77777777" w:rsidR="002575A8" w:rsidRDefault="002575A8" w:rsidP="00C05159">
      <w:pPr>
        <w:spacing w:after="0" w:line="240" w:lineRule="auto"/>
      </w:pPr>
      <w:r>
        <w:separator/>
      </w:r>
    </w:p>
  </w:endnote>
  <w:endnote w:type="continuationSeparator" w:id="0">
    <w:p w14:paraId="738EA3C6" w14:textId="77777777" w:rsidR="002575A8" w:rsidRDefault="002575A8" w:rsidP="00C05159">
      <w:pPr>
        <w:spacing w:after="0" w:line="240" w:lineRule="auto"/>
      </w:pPr>
      <w:r>
        <w:continuationSeparator/>
      </w:r>
    </w:p>
  </w:endnote>
  <w:endnote w:type="continuationNotice" w:id="1">
    <w:p w14:paraId="75866010" w14:textId="77777777" w:rsidR="002575A8" w:rsidRDefault="0025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2D3A2A" w:rsidRPr="002D3A2A">
          <w:rPr>
            <w:noProof/>
            <w:lang w:val="es-ES"/>
          </w:rPr>
          <w:t>1</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EE64B" w14:textId="77777777" w:rsidR="002575A8" w:rsidRDefault="002575A8" w:rsidP="00C05159">
      <w:pPr>
        <w:spacing w:after="0" w:line="240" w:lineRule="auto"/>
      </w:pPr>
      <w:r>
        <w:separator/>
      </w:r>
    </w:p>
  </w:footnote>
  <w:footnote w:type="continuationSeparator" w:id="0">
    <w:p w14:paraId="797ADD13" w14:textId="77777777" w:rsidR="002575A8" w:rsidRDefault="002575A8" w:rsidP="00C05159">
      <w:pPr>
        <w:spacing w:after="0" w:line="240" w:lineRule="auto"/>
      </w:pPr>
      <w:r>
        <w:continuationSeparator/>
      </w:r>
    </w:p>
  </w:footnote>
  <w:footnote w:type="continuationNotice" w:id="1">
    <w:p w14:paraId="43335CEF" w14:textId="77777777" w:rsidR="002575A8" w:rsidRDefault="002575A8">
      <w:pPr>
        <w:spacing w:after="0" w:line="240" w:lineRule="auto"/>
      </w:pPr>
    </w:p>
  </w:footnote>
  <w:footnote w:id="2">
    <w:p w14:paraId="5D02A057" w14:textId="77777777" w:rsidR="0072537A" w:rsidRPr="0072537A" w:rsidRDefault="0072537A" w:rsidP="0072537A">
      <w:pPr>
        <w:spacing w:after="0" w:line="240" w:lineRule="auto"/>
        <w:jc w:val="both"/>
        <w:rPr>
          <w:rFonts w:ascii="Arial" w:hAnsi="Arial" w:cs="Arial"/>
          <w:i/>
          <w:iCs/>
          <w:sz w:val="16"/>
          <w:szCs w:val="16"/>
        </w:rPr>
      </w:pPr>
      <w:r w:rsidRPr="0072537A">
        <w:rPr>
          <w:rStyle w:val="Refdenotaalpie"/>
          <w:rFonts w:ascii="Arial" w:hAnsi="Arial" w:cs="Arial"/>
          <w:i/>
          <w:iCs/>
          <w:sz w:val="16"/>
          <w:szCs w:val="16"/>
        </w:rPr>
        <w:footnoteRef/>
      </w:r>
      <w:r w:rsidRPr="0072537A">
        <w:rPr>
          <w:rFonts w:ascii="Arial" w:hAnsi="Arial" w:cs="Arial"/>
          <w:i/>
          <w:iCs/>
          <w:sz w:val="16"/>
          <w:szCs w:val="16"/>
        </w:rPr>
        <w:t xml:space="preserve"> Fuente: Organización Mundial de la Salud. </w:t>
      </w:r>
      <w:hyperlink r:id="rId1" w:history="1">
        <w:r w:rsidRPr="0072537A">
          <w:rPr>
            <w:rStyle w:val="Hipervnculo"/>
            <w:rFonts w:ascii="Arial" w:hAnsi="Arial" w:cs="Arial"/>
            <w:i/>
            <w:iCs/>
            <w:color w:val="auto"/>
            <w:sz w:val="16"/>
            <w:szCs w:val="16"/>
          </w:rPr>
          <w:t>https://www.who.int/es/news-room/fact-sheets/detail/oral-health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E4F2" w14:textId="3F471AD9" w:rsidR="00CD7978" w:rsidRDefault="0072537A" w:rsidP="0072537A">
    <w:pPr>
      <w:pStyle w:val="Encabezado"/>
      <w:jc w:val="center"/>
    </w:pPr>
    <w:r w:rsidRPr="00B746D3">
      <w:rPr>
        <w:b/>
        <w:bCs/>
        <w:i/>
        <w:iCs/>
        <w:sz w:val="20"/>
        <w:szCs w:val="20"/>
      </w:rPr>
      <w:t>“2022, Año Del Centenario De La Llegada De La Comunidad Menonita A Chihuahua”</w:t>
    </w:r>
    <w:r>
      <w:t xml:space="preserve"> </w:t>
    </w:r>
    <w:r w:rsidR="00C051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2840"/>
    <w:multiLevelType w:val="hybridMultilevel"/>
    <w:tmpl w:val="B7E09390"/>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AB46B82"/>
    <w:multiLevelType w:val="hybridMultilevel"/>
    <w:tmpl w:val="BB068B08"/>
    <w:lvl w:ilvl="0" w:tplc="75802D4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9DC79D4"/>
    <w:multiLevelType w:val="hybridMultilevel"/>
    <w:tmpl w:val="0A8A9518"/>
    <w:lvl w:ilvl="0" w:tplc="E960A1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883A6F"/>
    <w:multiLevelType w:val="hybridMultilevel"/>
    <w:tmpl w:val="9E362AE6"/>
    <w:lvl w:ilvl="0" w:tplc="080A0013">
      <w:start w:val="1"/>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2D8A"/>
    <w:rsid w:val="0000393A"/>
    <w:rsid w:val="00007D9C"/>
    <w:rsid w:val="000118D3"/>
    <w:rsid w:val="000147B9"/>
    <w:rsid w:val="000151F9"/>
    <w:rsid w:val="00015D9E"/>
    <w:rsid w:val="00016D88"/>
    <w:rsid w:val="00027B09"/>
    <w:rsid w:val="0004652E"/>
    <w:rsid w:val="0004664D"/>
    <w:rsid w:val="00054964"/>
    <w:rsid w:val="000567C5"/>
    <w:rsid w:val="000578E7"/>
    <w:rsid w:val="000645C0"/>
    <w:rsid w:val="00073FAD"/>
    <w:rsid w:val="0008233B"/>
    <w:rsid w:val="00094420"/>
    <w:rsid w:val="000A0D0E"/>
    <w:rsid w:val="000A5AA5"/>
    <w:rsid w:val="000B435A"/>
    <w:rsid w:val="000B4D0C"/>
    <w:rsid w:val="000B5F72"/>
    <w:rsid w:val="000C2E09"/>
    <w:rsid w:val="000C6C10"/>
    <w:rsid w:val="000D6FCE"/>
    <w:rsid w:val="000E031F"/>
    <w:rsid w:val="000E20C8"/>
    <w:rsid w:val="000E5120"/>
    <w:rsid w:val="000F145C"/>
    <w:rsid w:val="00100B4D"/>
    <w:rsid w:val="00102B1D"/>
    <w:rsid w:val="00125040"/>
    <w:rsid w:val="00130E02"/>
    <w:rsid w:val="00136606"/>
    <w:rsid w:val="00140FF9"/>
    <w:rsid w:val="0014127B"/>
    <w:rsid w:val="00146772"/>
    <w:rsid w:val="00146ABD"/>
    <w:rsid w:val="00150A16"/>
    <w:rsid w:val="00153485"/>
    <w:rsid w:val="00153F4E"/>
    <w:rsid w:val="00156646"/>
    <w:rsid w:val="00184FB3"/>
    <w:rsid w:val="00191D9A"/>
    <w:rsid w:val="00193C1D"/>
    <w:rsid w:val="00195F32"/>
    <w:rsid w:val="001A190A"/>
    <w:rsid w:val="001A2305"/>
    <w:rsid w:val="001A507E"/>
    <w:rsid w:val="001A63E4"/>
    <w:rsid w:val="001B1EB0"/>
    <w:rsid w:val="001B792F"/>
    <w:rsid w:val="001C0D21"/>
    <w:rsid w:val="001D220B"/>
    <w:rsid w:val="001E2F24"/>
    <w:rsid w:val="001E4F3E"/>
    <w:rsid w:val="001E629A"/>
    <w:rsid w:val="001E7CF8"/>
    <w:rsid w:val="0020003F"/>
    <w:rsid w:val="002042B2"/>
    <w:rsid w:val="002058AD"/>
    <w:rsid w:val="002079B8"/>
    <w:rsid w:val="0021186E"/>
    <w:rsid w:val="00214B17"/>
    <w:rsid w:val="0022798B"/>
    <w:rsid w:val="0023018B"/>
    <w:rsid w:val="00231782"/>
    <w:rsid w:val="00241764"/>
    <w:rsid w:val="00245BC2"/>
    <w:rsid w:val="0024757D"/>
    <w:rsid w:val="00247C76"/>
    <w:rsid w:val="00250539"/>
    <w:rsid w:val="0025138E"/>
    <w:rsid w:val="002574D8"/>
    <w:rsid w:val="002575A8"/>
    <w:rsid w:val="0026604B"/>
    <w:rsid w:val="00275754"/>
    <w:rsid w:val="00290E3B"/>
    <w:rsid w:val="0029172B"/>
    <w:rsid w:val="00292458"/>
    <w:rsid w:val="002A7DFD"/>
    <w:rsid w:val="002B13F7"/>
    <w:rsid w:val="002B4401"/>
    <w:rsid w:val="002B4CA3"/>
    <w:rsid w:val="002B5F7D"/>
    <w:rsid w:val="002B6CBA"/>
    <w:rsid w:val="002C1970"/>
    <w:rsid w:val="002C3E28"/>
    <w:rsid w:val="002D2436"/>
    <w:rsid w:val="002D3A2A"/>
    <w:rsid w:val="002E25B6"/>
    <w:rsid w:val="002F0434"/>
    <w:rsid w:val="002F16A1"/>
    <w:rsid w:val="002F7F2A"/>
    <w:rsid w:val="00306236"/>
    <w:rsid w:val="00341A0C"/>
    <w:rsid w:val="00346C63"/>
    <w:rsid w:val="003504E4"/>
    <w:rsid w:val="00351616"/>
    <w:rsid w:val="00355D83"/>
    <w:rsid w:val="003603D5"/>
    <w:rsid w:val="003652F3"/>
    <w:rsid w:val="00376A4B"/>
    <w:rsid w:val="00380515"/>
    <w:rsid w:val="003809A8"/>
    <w:rsid w:val="003810AA"/>
    <w:rsid w:val="00383E94"/>
    <w:rsid w:val="0039009F"/>
    <w:rsid w:val="0039027D"/>
    <w:rsid w:val="00393712"/>
    <w:rsid w:val="00395546"/>
    <w:rsid w:val="003A1B85"/>
    <w:rsid w:val="003A3EE8"/>
    <w:rsid w:val="003C5DD2"/>
    <w:rsid w:val="003F4225"/>
    <w:rsid w:val="00414295"/>
    <w:rsid w:val="00420D2A"/>
    <w:rsid w:val="00445E10"/>
    <w:rsid w:val="0045439C"/>
    <w:rsid w:val="004610BB"/>
    <w:rsid w:val="00462DAA"/>
    <w:rsid w:val="0046401F"/>
    <w:rsid w:val="00464635"/>
    <w:rsid w:val="0047052A"/>
    <w:rsid w:val="00473DD9"/>
    <w:rsid w:val="004804E6"/>
    <w:rsid w:val="004805ED"/>
    <w:rsid w:val="00482F9A"/>
    <w:rsid w:val="00494D85"/>
    <w:rsid w:val="004971BA"/>
    <w:rsid w:val="00497735"/>
    <w:rsid w:val="004A13CF"/>
    <w:rsid w:val="004A5296"/>
    <w:rsid w:val="004A6624"/>
    <w:rsid w:val="004D4A5E"/>
    <w:rsid w:val="004E1CA3"/>
    <w:rsid w:val="004E1F97"/>
    <w:rsid w:val="004F6830"/>
    <w:rsid w:val="00505EB9"/>
    <w:rsid w:val="005165A9"/>
    <w:rsid w:val="00532EAB"/>
    <w:rsid w:val="00537B1F"/>
    <w:rsid w:val="005401B0"/>
    <w:rsid w:val="00540632"/>
    <w:rsid w:val="0058313E"/>
    <w:rsid w:val="00585B56"/>
    <w:rsid w:val="00586E56"/>
    <w:rsid w:val="00590105"/>
    <w:rsid w:val="00591DB2"/>
    <w:rsid w:val="00592414"/>
    <w:rsid w:val="00595F1D"/>
    <w:rsid w:val="005A1B14"/>
    <w:rsid w:val="005B0607"/>
    <w:rsid w:val="005B2ABF"/>
    <w:rsid w:val="005E4768"/>
    <w:rsid w:val="005F663C"/>
    <w:rsid w:val="00610965"/>
    <w:rsid w:val="00640BFA"/>
    <w:rsid w:val="00641484"/>
    <w:rsid w:val="00641B59"/>
    <w:rsid w:val="006517E4"/>
    <w:rsid w:val="00654171"/>
    <w:rsid w:val="00654CC6"/>
    <w:rsid w:val="006619E5"/>
    <w:rsid w:val="00671E8A"/>
    <w:rsid w:val="00691876"/>
    <w:rsid w:val="006972DA"/>
    <w:rsid w:val="006A0C32"/>
    <w:rsid w:val="006A30C5"/>
    <w:rsid w:val="006A59F7"/>
    <w:rsid w:val="006A6FE3"/>
    <w:rsid w:val="006B10DC"/>
    <w:rsid w:val="006B6453"/>
    <w:rsid w:val="006B6DB4"/>
    <w:rsid w:val="006C4035"/>
    <w:rsid w:val="006E47B6"/>
    <w:rsid w:val="006E725C"/>
    <w:rsid w:val="006E75F8"/>
    <w:rsid w:val="006F6B48"/>
    <w:rsid w:val="00706434"/>
    <w:rsid w:val="007163DC"/>
    <w:rsid w:val="007248AF"/>
    <w:rsid w:val="00724D32"/>
    <w:rsid w:val="0072537A"/>
    <w:rsid w:val="007312F9"/>
    <w:rsid w:val="00737179"/>
    <w:rsid w:val="007414BE"/>
    <w:rsid w:val="0074245B"/>
    <w:rsid w:val="00744899"/>
    <w:rsid w:val="007508F8"/>
    <w:rsid w:val="00752369"/>
    <w:rsid w:val="007577B5"/>
    <w:rsid w:val="00761550"/>
    <w:rsid w:val="00766DD8"/>
    <w:rsid w:val="007677EA"/>
    <w:rsid w:val="00771668"/>
    <w:rsid w:val="0077797B"/>
    <w:rsid w:val="00786E7B"/>
    <w:rsid w:val="007A2AC3"/>
    <w:rsid w:val="007B54EA"/>
    <w:rsid w:val="007B656E"/>
    <w:rsid w:val="007D1122"/>
    <w:rsid w:val="007D2BD3"/>
    <w:rsid w:val="007F5AFF"/>
    <w:rsid w:val="007F6B86"/>
    <w:rsid w:val="007F77B2"/>
    <w:rsid w:val="00806745"/>
    <w:rsid w:val="008250B8"/>
    <w:rsid w:val="0083167A"/>
    <w:rsid w:val="00831B28"/>
    <w:rsid w:val="00837E4A"/>
    <w:rsid w:val="00843108"/>
    <w:rsid w:val="00843CC2"/>
    <w:rsid w:val="00843DEB"/>
    <w:rsid w:val="00845CB6"/>
    <w:rsid w:val="008469B4"/>
    <w:rsid w:val="00852A4F"/>
    <w:rsid w:val="0085356A"/>
    <w:rsid w:val="00855271"/>
    <w:rsid w:val="00867727"/>
    <w:rsid w:val="00867E38"/>
    <w:rsid w:val="008728E5"/>
    <w:rsid w:val="00873B7F"/>
    <w:rsid w:val="008804EF"/>
    <w:rsid w:val="0088372C"/>
    <w:rsid w:val="008918EA"/>
    <w:rsid w:val="00895488"/>
    <w:rsid w:val="00897779"/>
    <w:rsid w:val="008A63C1"/>
    <w:rsid w:val="008B3DD5"/>
    <w:rsid w:val="008B4140"/>
    <w:rsid w:val="008C58BE"/>
    <w:rsid w:val="008E0C59"/>
    <w:rsid w:val="008E1C95"/>
    <w:rsid w:val="008E3420"/>
    <w:rsid w:val="008E69C1"/>
    <w:rsid w:val="008F0AEC"/>
    <w:rsid w:val="008F25D2"/>
    <w:rsid w:val="008F2DDD"/>
    <w:rsid w:val="008F4050"/>
    <w:rsid w:val="008F479F"/>
    <w:rsid w:val="008F7274"/>
    <w:rsid w:val="0090583D"/>
    <w:rsid w:val="00910880"/>
    <w:rsid w:val="00912475"/>
    <w:rsid w:val="00915A03"/>
    <w:rsid w:val="009171F1"/>
    <w:rsid w:val="00921BCC"/>
    <w:rsid w:val="00926E59"/>
    <w:rsid w:val="00930162"/>
    <w:rsid w:val="00936911"/>
    <w:rsid w:val="00940067"/>
    <w:rsid w:val="00940C4D"/>
    <w:rsid w:val="00950534"/>
    <w:rsid w:val="00955C23"/>
    <w:rsid w:val="00960776"/>
    <w:rsid w:val="00961A21"/>
    <w:rsid w:val="009628F8"/>
    <w:rsid w:val="00967128"/>
    <w:rsid w:val="00981274"/>
    <w:rsid w:val="00982D1A"/>
    <w:rsid w:val="0099332E"/>
    <w:rsid w:val="00994E95"/>
    <w:rsid w:val="009A3470"/>
    <w:rsid w:val="009B3C47"/>
    <w:rsid w:val="009B68A6"/>
    <w:rsid w:val="009B6D7F"/>
    <w:rsid w:val="009C25FD"/>
    <w:rsid w:val="009C4045"/>
    <w:rsid w:val="009D1DEF"/>
    <w:rsid w:val="009D4DBC"/>
    <w:rsid w:val="009E4CC3"/>
    <w:rsid w:val="00A0457E"/>
    <w:rsid w:val="00A100E0"/>
    <w:rsid w:val="00A20338"/>
    <w:rsid w:val="00A20421"/>
    <w:rsid w:val="00A307B5"/>
    <w:rsid w:val="00A32414"/>
    <w:rsid w:val="00A46595"/>
    <w:rsid w:val="00A51A10"/>
    <w:rsid w:val="00A62027"/>
    <w:rsid w:val="00A641D4"/>
    <w:rsid w:val="00A82862"/>
    <w:rsid w:val="00A867FE"/>
    <w:rsid w:val="00A94FE6"/>
    <w:rsid w:val="00AB0813"/>
    <w:rsid w:val="00AC0A3B"/>
    <w:rsid w:val="00AC6039"/>
    <w:rsid w:val="00AC627B"/>
    <w:rsid w:val="00AC6FC9"/>
    <w:rsid w:val="00AD4B8F"/>
    <w:rsid w:val="00AF1723"/>
    <w:rsid w:val="00AF2D2D"/>
    <w:rsid w:val="00AF3178"/>
    <w:rsid w:val="00AF3E84"/>
    <w:rsid w:val="00AF5814"/>
    <w:rsid w:val="00AF591C"/>
    <w:rsid w:val="00B032CB"/>
    <w:rsid w:val="00B042A5"/>
    <w:rsid w:val="00B04EC6"/>
    <w:rsid w:val="00B04EF4"/>
    <w:rsid w:val="00B06C46"/>
    <w:rsid w:val="00B16C93"/>
    <w:rsid w:val="00B22C68"/>
    <w:rsid w:val="00B37A16"/>
    <w:rsid w:val="00B5168E"/>
    <w:rsid w:val="00B5337A"/>
    <w:rsid w:val="00B67D3B"/>
    <w:rsid w:val="00B74268"/>
    <w:rsid w:val="00B749FB"/>
    <w:rsid w:val="00B76834"/>
    <w:rsid w:val="00B80B6E"/>
    <w:rsid w:val="00B90853"/>
    <w:rsid w:val="00B91770"/>
    <w:rsid w:val="00BA6F64"/>
    <w:rsid w:val="00BB2D1A"/>
    <w:rsid w:val="00BC28A4"/>
    <w:rsid w:val="00BC40A6"/>
    <w:rsid w:val="00BD6628"/>
    <w:rsid w:val="00BE0D60"/>
    <w:rsid w:val="00BE5577"/>
    <w:rsid w:val="00BE5FE3"/>
    <w:rsid w:val="00BF5BC6"/>
    <w:rsid w:val="00BF6ECD"/>
    <w:rsid w:val="00C00F2E"/>
    <w:rsid w:val="00C02EEF"/>
    <w:rsid w:val="00C04460"/>
    <w:rsid w:val="00C05159"/>
    <w:rsid w:val="00C14A0E"/>
    <w:rsid w:val="00C14E14"/>
    <w:rsid w:val="00C173DF"/>
    <w:rsid w:val="00C20097"/>
    <w:rsid w:val="00C2070E"/>
    <w:rsid w:val="00C24F6A"/>
    <w:rsid w:val="00C2604E"/>
    <w:rsid w:val="00C30044"/>
    <w:rsid w:val="00C3433D"/>
    <w:rsid w:val="00C34DA6"/>
    <w:rsid w:val="00C4793E"/>
    <w:rsid w:val="00C625FF"/>
    <w:rsid w:val="00C828E9"/>
    <w:rsid w:val="00C858AD"/>
    <w:rsid w:val="00C94719"/>
    <w:rsid w:val="00CA2EC9"/>
    <w:rsid w:val="00CA58A1"/>
    <w:rsid w:val="00CA5B81"/>
    <w:rsid w:val="00CB2732"/>
    <w:rsid w:val="00CC2C89"/>
    <w:rsid w:val="00CC415D"/>
    <w:rsid w:val="00CC48F4"/>
    <w:rsid w:val="00CC4940"/>
    <w:rsid w:val="00CD3985"/>
    <w:rsid w:val="00CD3BE6"/>
    <w:rsid w:val="00CD7978"/>
    <w:rsid w:val="00CE60F0"/>
    <w:rsid w:val="00CF15A5"/>
    <w:rsid w:val="00D014DF"/>
    <w:rsid w:val="00D0482A"/>
    <w:rsid w:val="00D11390"/>
    <w:rsid w:val="00D12EC7"/>
    <w:rsid w:val="00D3531F"/>
    <w:rsid w:val="00D36605"/>
    <w:rsid w:val="00D4156E"/>
    <w:rsid w:val="00D57591"/>
    <w:rsid w:val="00D57DF2"/>
    <w:rsid w:val="00D81B41"/>
    <w:rsid w:val="00D872DD"/>
    <w:rsid w:val="00D97327"/>
    <w:rsid w:val="00D97550"/>
    <w:rsid w:val="00DA1D69"/>
    <w:rsid w:val="00DB3371"/>
    <w:rsid w:val="00DB4F36"/>
    <w:rsid w:val="00DD0809"/>
    <w:rsid w:val="00DD1FF7"/>
    <w:rsid w:val="00DD25A3"/>
    <w:rsid w:val="00DD2DE8"/>
    <w:rsid w:val="00DE27A9"/>
    <w:rsid w:val="00DE3B88"/>
    <w:rsid w:val="00DF25D6"/>
    <w:rsid w:val="00DF749D"/>
    <w:rsid w:val="00E07104"/>
    <w:rsid w:val="00E10EA1"/>
    <w:rsid w:val="00E13735"/>
    <w:rsid w:val="00E1659F"/>
    <w:rsid w:val="00E16733"/>
    <w:rsid w:val="00E328D7"/>
    <w:rsid w:val="00E3657F"/>
    <w:rsid w:val="00E431E7"/>
    <w:rsid w:val="00E44C0A"/>
    <w:rsid w:val="00E46C9B"/>
    <w:rsid w:val="00E61120"/>
    <w:rsid w:val="00E61297"/>
    <w:rsid w:val="00E6399D"/>
    <w:rsid w:val="00E8369D"/>
    <w:rsid w:val="00E86004"/>
    <w:rsid w:val="00E90206"/>
    <w:rsid w:val="00E90632"/>
    <w:rsid w:val="00E958A0"/>
    <w:rsid w:val="00EB0DB7"/>
    <w:rsid w:val="00EC1496"/>
    <w:rsid w:val="00EC2C46"/>
    <w:rsid w:val="00EC5683"/>
    <w:rsid w:val="00ED6F78"/>
    <w:rsid w:val="00ED7331"/>
    <w:rsid w:val="00ED75B1"/>
    <w:rsid w:val="00EE148A"/>
    <w:rsid w:val="00EE2686"/>
    <w:rsid w:val="00EF4346"/>
    <w:rsid w:val="00EF48F7"/>
    <w:rsid w:val="00EF519F"/>
    <w:rsid w:val="00F07C22"/>
    <w:rsid w:val="00F122C2"/>
    <w:rsid w:val="00F209B9"/>
    <w:rsid w:val="00F20F5D"/>
    <w:rsid w:val="00F328CF"/>
    <w:rsid w:val="00F33CE3"/>
    <w:rsid w:val="00F36432"/>
    <w:rsid w:val="00F368BD"/>
    <w:rsid w:val="00F50CB5"/>
    <w:rsid w:val="00F629D9"/>
    <w:rsid w:val="00F7183A"/>
    <w:rsid w:val="00F72E17"/>
    <w:rsid w:val="00F7472C"/>
    <w:rsid w:val="00F7484B"/>
    <w:rsid w:val="00F84412"/>
    <w:rsid w:val="00F91E95"/>
    <w:rsid w:val="00F97844"/>
    <w:rsid w:val="00F97CB1"/>
    <w:rsid w:val="00FA085A"/>
    <w:rsid w:val="00FA4771"/>
    <w:rsid w:val="00FB2158"/>
    <w:rsid w:val="00FB36CD"/>
    <w:rsid w:val="00FB3DAD"/>
    <w:rsid w:val="00FC4742"/>
    <w:rsid w:val="00FD1780"/>
    <w:rsid w:val="00FD4041"/>
    <w:rsid w:val="00FD4571"/>
    <w:rsid w:val="00FD7563"/>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AA01"/>
  <w15:docId w15:val="{6A97C644-0498-4051-A22B-CD75323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aliases w:val="Imagen,Tabla de contenido"/>
    <w:basedOn w:val="Normal"/>
    <w:link w:val="PrrafodelistaCar"/>
    <w:uiPriority w:val="34"/>
    <w:qFormat/>
    <w:rsid w:val="00F20F5D"/>
    <w:pPr>
      <w:ind w:left="720"/>
      <w:contextualSpacing/>
    </w:pPr>
    <w:rPr>
      <w:rFonts w:ascii="Calibri" w:eastAsia="Calibri" w:hAnsi="Calibri" w:cs="Times New Roman"/>
      <w:lang w:eastAsia="en-US"/>
    </w:rPr>
  </w:style>
  <w:style w:type="character" w:customStyle="1" w:styleId="PrrafodelistaCar">
    <w:name w:val="Párrafo de lista Car"/>
    <w:aliases w:val="Imagen Car,Tabla de contenido Car"/>
    <w:link w:val="Prrafodelista"/>
    <w:uiPriority w:val="34"/>
    <w:locked/>
    <w:rsid w:val="00EF48F7"/>
    <w:rPr>
      <w:rFonts w:ascii="Calibri" w:eastAsia="Calibri" w:hAnsi="Calibri" w:cs="Times New Roman"/>
      <w:lang w:eastAsia="en-US"/>
    </w:rPr>
  </w:style>
  <w:style w:type="table" w:styleId="Tablaconcuadrcula">
    <w:name w:val="Table Grid"/>
    <w:basedOn w:val="Tablanormal"/>
    <w:uiPriority w:val="39"/>
    <w:rsid w:val="00761550"/>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CA58A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CA58A1"/>
    <w:rPr>
      <w:rFonts w:ascii="Consolas" w:hAnsi="Consolas"/>
      <w:sz w:val="21"/>
      <w:szCs w:val="21"/>
    </w:rPr>
  </w:style>
  <w:style w:type="character" w:customStyle="1" w:styleId="UnresolvedMention">
    <w:name w:val="Unresolved Mention"/>
    <w:basedOn w:val="Fuentedeprrafopredeter"/>
    <w:uiPriority w:val="99"/>
    <w:semiHidden/>
    <w:unhideWhenUsed/>
    <w:rsid w:val="008B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room/fact-sheets/detail/oral-healt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049F-280E-4D40-AE11-B6CE3330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Sonia Pérez Chacón</cp:lastModifiedBy>
  <cp:revision>2</cp:revision>
  <dcterms:created xsi:type="dcterms:W3CDTF">2022-04-27T15:23:00Z</dcterms:created>
  <dcterms:modified xsi:type="dcterms:W3CDTF">2022-04-27T15:23:00Z</dcterms:modified>
</cp:coreProperties>
</file>