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40943" w14:textId="77777777" w:rsidR="00853AD6" w:rsidRPr="000458B7" w:rsidRDefault="00853AD6" w:rsidP="00853AD6">
      <w:pPr>
        <w:spacing w:line="360" w:lineRule="auto"/>
        <w:jc w:val="both"/>
        <w:rPr>
          <w:rFonts w:ascii="Century Gothic" w:hAnsi="Century Gothic" w:cs="Arial"/>
          <w:b/>
          <w:bCs/>
        </w:rPr>
      </w:pPr>
      <w:r w:rsidRPr="000458B7">
        <w:rPr>
          <w:rFonts w:ascii="Century Gothic" w:hAnsi="Century Gothic" w:cs="Arial"/>
          <w:b/>
          <w:bCs/>
        </w:rPr>
        <w:t>H. CONGRESO DEL ESTADO DE CHIHUAHUA</w:t>
      </w:r>
    </w:p>
    <w:p w14:paraId="0184025F" w14:textId="77777777" w:rsidR="00853AD6" w:rsidRPr="000458B7" w:rsidRDefault="00853AD6" w:rsidP="00853AD6">
      <w:pPr>
        <w:spacing w:line="360" w:lineRule="auto"/>
        <w:jc w:val="both"/>
        <w:rPr>
          <w:rFonts w:ascii="Century Gothic" w:hAnsi="Century Gothic" w:cs="Arial"/>
          <w:b/>
          <w:bCs/>
        </w:rPr>
      </w:pPr>
      <w:r w:rsidRPr="000458B7">
        <w:rPr>
          <w:rFonts w:ascii="Century Gothic" w:hAnsi="Century Gothic" w:cs="Arial"/>
          <w:b/>
          <w:bCs/>
        </w:rPr>
        <w:t>P R E S E N T E.-</w:t>
      </w:r>
    </w:p>
    <w:p w14:paraId="405B9E60" w14:textId="77777777" w:rsidR="00853AD6" w:rsidRPr="000458B7" w:rsidRDefault="00853AD6" w:rsidP="00853AD6">
      <w:pPr>
        <w:spacing w:line="360" w:lineRule="auto"/>
        <w:jc w:val="both"/>
        <w:rPr>
          <w:rFonts w:ascii="Century Gothic" w:hAnsi="Century Gothic" w:cs="Arial"/>
        </w:rPr>
      </w:pPr>
    </w:p>
    <w:p w14:paraId="15D7A301" w14:textId="1BC061B0" w:rsidR="00853AD6" w:rsidRPr="000458B7" w:rsidRDefault="00853AD6" w:rsidP="00853AD6">
      <w:pPr>
        <w:spacing w:line="360" w:lineRule="auto"/>
        <w:jc w:val="both"/>
        <w:rPr>
          <w:rFonts w:ascii="Century Gothic" w:hAnsi="Century Gothic" w:cs="Arial"/>
        </w:rPr>
      </w:pPr>
      <w:r w:rsidRPr="000458B7">
        <w:rPr>
          <w:rFonts w:ascii="Century Gothic" w:hAnsi="Century Gothic" w:cs="Arial"/>
        </w:rPr>
        <w:t xml:space="preserve">Quien suscribe, </w:t>
      </w:r>
      <w:r w:rsidRPr="000458B7">
        <w:rPr>
          <w:rFonts w:ascii="Century Gothic" w:hAnsi="Century Gothic" w:cs="Arial"/>
          <w:b/>
        </w:rPr>
        <w:t>BLANCA GÁMEZ GUTIÉRREZ</w:t>
      </w:r>
      <w:r w:rsidRPr="000458B7">
        <w:rPr>
          <w:rFonts w:ascii="Century Gothic" w:hAnsi="Century Gothic" w:cs="Arial"/>
          <w:b/>
          <w:bCs/>
        </w:rPr>
        <w:t>,</w:t>
      </w:r>
      <w:r w:rsidRPr="000458B7">
        <w:rPr>
          <w:rFonts w:ascii="Century Gothic" w:hAnsi="Century Gothic" w:cs="Arial"/>
        </w:rPr>
        <w:t xml:space="preserve"> diputada en la Sexagésima Sexta Legislatura, con fundamento en lo dispuesto por los artículos 68 fracción I de la Constitución, 167, fracción I de la Ley Orgánica del Poder Legislativo, 76 y 77 del Reglamento Interior y de Prácticas Parlamentarias; todos ordenamientos del Estado de Chihuahua,  acudo ante esta Representación Popul</w:t>
      </w:r>
      <w:r w:rsidR="003F7E1B" w:rsidRPr="000458B7">
        <w:rPr>
          <w:rFonts w:ascii="Century Gothic" w:hAnsi="Century Gothic" w:cs="Arial"/>
        </w:rPr>
        <w:t>ar a someter a su consideración</w:t>
      </w:r>
      <w:r w:rsidRPr="000458B7">
        <w:rPr>
          <w:rFonts w:ascii="Century Gothic" w:hAnsi="Century Gothic" w:cs="Arial"/>
        </w:rPr>
        <w:t xml:space="preserve"> iniciativa </w:t>
      </w:r>
      <w:r w:rsidR="002E0E57" w:rsidRPr="000458B7">
        <w:rPr>
          <w:rFonts w:ascii="Century Gothic" w:hAnsi="Century Gothic" w:cs="Arial"/>
        </w:rPr>
        <w:t xml:space="preserve">de ley </w:t>
      </w:r>
      <w:r w:rsidRPr="000458B7">
        <w:rPr>
          <w:rFonts w:ascii="Century Gothic" w:hAnsi="Century Gothic" w:cs="Arial"/>
        </w:rPr>
        <w:t xml:space="preserve">con carácter de </w:t>
      </w:r>
      <w:r w:rsidRPr="000458B7">
        <w:rPr>
          <w:rFonts w:ascii="Century Gothic" w:hAnsi="Century Gothic" w:cs="Arial"/>
          <w:color w:val="000000" w:themeColor="text1"/>
        </w:rPr>
        <w:t>D</w:t>
      </w:r>
      <w:r w:rsidRPr="000458B7">
        <w:rPr>
          <w:rFonts w:ascii="Century Gothic" w:hAnsi="Century Gothic" w:cs="Arial"/>
        </w:rPr>
        <w:t xml:space="preserve">ecreto a fin de </w:t>
      </w:r>
      <w:r w:rsidR="000F2236" w:rsidRPr="000458B7">
        <w:rPr>
          <w:rFonts w:ascii="Century Gothic" w:hAnsi="Century Gothic" w:cs="Arial"/>
          <w:b/>
          <w:bCs/>
        </w:rPr>
        <w:t xml:space="preserve">reformar </w:t>
      </w:r>
      <w:r w:rsidR="00087767" w:rsidRPr="000458B7">
        <w:rPr>
          <w:rFonts w:ascii="Century Gothic" w:hAnsi="Century Gothic" w:cs="Arial"/>
          <w:b/>
          <w:bCs/>
        </w:rPr>
        <w:t>el artículo 177 del Código Penal del Estado de Chihuahua</w:t>
      </w:r>
      <w:r w:rsidR="00EB2540" w:rsidRPr="000458B7">
        <w:rPr>
          <w:rFonts w:ascii="Century Gothic" w:hAnsi="Century Gothic" w:cs="Arial"/>
        </w:rPr>
        <w:t xml:space="preserve">, </w:t>
      </w:r>
      <w:r w:rsidR="008B4ED9" w:rsidRPr="000458B7">
        <w:rPr>
          <w:rFonts w:ascii="Century Gothic" w:hAnsi="Century Gothic" w:cs="Arial"/>
          <w:b/>
          <w:bCs/>
        </w:rPr>
        <w:t xml:space="preserve">con la finalidad de </w:t>
      </w:r>
      <w:r w:rsidR="0011120E">
        <w:rPr>
          <w:rFonts w:ascii="Century Gothic" w:hAnsi="Century Gothic" w:cs="Arial"/>
          <w:b/>
          <w:bCs/>
        </w:rPr>
        <w:t xml:space="preserve">incrementar </w:t>
      </w:r>
      <w:r w:rsidR="0030093F" w:rsidRPr="000458B7">
        <w:rPr>
          <w:rFonts w:ascii="Century Gothic" w:hAnsi="Century Gothic" w:cs="Arial"/>
          <w:b/>
          <w:bCs/>
        </w:rPr>
        <w:t>la pena</w:t>
      </w:r>
      <w:r w:rsidR="001C335B" w:rsidRPr="000458B7">
        <w:rPr>
          <w:rFonts w:ascii="Century Gothic" w:hAnsi="Century Gothic" w:cs="Arial"/>
          <w:b/>
          <w:bCs/>
        </w:rPr>
        <w:t xml:space="preserve"> </w:t>
      </w:r>
      <w:r w:rsidR="0030093F" w:rsidRPr="000458B7">
        <w:rPr>
          <w:rFonts w:ascii="Century Gothic" w:hAnsi="Century Gothic" w:cs="Arial"/>
          <w:b/>
          <w:bCs/>
        </w:rPr>
        <w:t>en el delito de estupro, para asegurar a las y los adolescentes el acceso a la justici</w:t>
      </w:r>
      <w:r w:rsidR="004A47E1" w:rsidRPr="000458B7">
        <w:rPr>
          <w:rFonts w:ascii="Century Gothic" w:hAnsi="Century Gothic" w:cs="Arial"/>
          <w:b/>
          <w:bCs/>
        </w:rPr>
        <w:t xml:space="preserve">a y una tutela efectiva a los </w:t>
      </w:r>
      <w:r w:rsidR="00222E7B" w:rsidRPr="000458B7">
        <w:rPr>
          <w:rFonts w:ascii="Century Gothic" w:hAnsi="Century Gothic" w:cs="Arial"/>
          <w:b/>
          <w:bCs/>
        </w:rPr>
        <w:t>Derechos Humanos</w:t>
      </w:r>
      <w:r w:rsidR="0030093F" w:rsidRPr="000458B7">
        <w:rPr>
          <w:rFonts w:ascii="Century Gothic" w:hAnsi="Century Gothic" w:cs="Arial"/>
          <w:b/>
          <w:bCs/>
        </w:rPr>
        <w:t>, dando cumplimiento a la obligación que tiene el estado de garantizar el interés</w:t>
      </w:r>
      <w:r w:rsidR="0030093F" w:rsidRPr="000458B7">
        <w:rPr>
          <w:rFonts w:ascii="Century Gothic" w:hAnsi="Century Gothic" w:cs="Arial"/>
        </w:rPr>
        <w:t xml:space="preserve"> </w:t>
      </w:r>
      <w:r w:rsidR="0030093F" w:rsidRPr="000458B7">
        <w:rPr>
          <w:rFonts w:ascii="Century Gothic" w:hAnsi="Century Gothic" w:cs="Arial"/>
          <w:b/>
          <w:bCs/>
        </w:rPr>
        <w:t>superior de la infancia</w:t>
      </w:r>
      <w:r w:rsidRPr="000458B7">
        <w:rPr>
          <w:rFonts w:ascii="Century Gothic" w:hAnsi="Century Gothic" w:cs="Arial"/>
        </w:rPr>
        <w:t>, al tenor de la siguiente:</w:t>
      </w:r>
    </w:p>
    <w:p w14:paraId="470AB08E" w14:textId="36B70CC0" w:rsidR="00853AD6" w:rsidRDefault="00853AD6" w:rsidP="00761F50">
      <w:pPr>
        <w:spacing w:line="360" w:lineRule="auto"/>
        <w:jc w:val="center"/>
        <w:rPr>
          <w:rFonts w:ascii="Century Gothic" w:hAnsi="Century Gothic" w:cs="Arial"/>
          <w:b/>
          <w:bCs/>
        </w:rPr>
      </w:pPr>
    </w:p>
    <w:p w14:paraId="58AEA8A6" w14:textId="77777777" w:rsidR="00ED7B3D" w:rsidRPr="000458B7" w:rsidRDefault="00ED7B3D" w:rsidP="002D2860">
      <w:pPr>
        <w:spacing w:line="360" w:lineRule="auto"/>
        <w:jc w:val="both"/>
        <w:rPr>
          <w:rFonts w:ascii="Century Gothic" w:hAnsi="Century Gothic" w:cs="Arial"/>
          <w:b/>
          <w:bCs/>
        </w:rPr>
      </w:pPr>
    </w:p>
    <w:p w14:paraId="1D809866" w14:textId="48217823" w:rsidR="006972D0" w:rsidRPr="000458B7" w:rsidRDefault="006252BF" w:rsidP="00761F50">
      <w:pPr>
        <w:spacing w:line="360" w:lineRule="auto"/>
        <w:jc w:val="center"/>
        <w:rPr>
          <w:rFonts w:ascii="Century Gothic" w:hAnsi="Century Gothic" w:cs="Arial"/>
          <w:b/>
          <w:bCs/>
          <w:lang w:val="es-ES_tradnl"/>
        </w:rPr>
      </w:pPr>
      <w:r w:rsidRPr="000458B7">
        <w:rPr>
          <w:rFonts w:ascii="Century Gothic" w:hAnsi="Century Gothic" w:cs="Arial"/>
          <w:b/>
          <w:bCs/>
          <w:lang w:val="es-ES_tradnl"/>
        </w:rPr>
        <w:t>EXPOSICIÓN DE MOTIVOS</w:t>
      </w:r>
    </w:p>
    <w:p w14:paraId="2D35AF0C" w14:textId="77777777" w:rsidR="00087767" w:rsidRPr="000458B7" w:rsidRDefault="00087767" w:rsidP="00087767">
      <w:pPr>
        <w:spacing w:line="360" w:lineRule="auto"/>
        <w:jc w:val="both"/>
        <w:rPr>
          <w:rFonts w:ascii="Century Gothic" w:hAnsi="Century Gothic" w:cs="Arial"/>
          <w:lang w:val="es-ES_tradnl"/>
        </w:rPr>
      </w:pPr>
    </w:p>
    <w:p w14:paraId="660C7762" w14:textId="173076E4" w:rsidR="002355FA" w:rsidRPr="000458B7" w:rsidRDefault="008E310B" w:rsidP="00087767">
      <w:pPr>
        <w:spacing w:line="360" w:lineRule="auto"/>
        <w:jc w:val="both"/>
        <w:rPr>
          <w:rFonts w:ascii="Century Gothic" w:hAnsi="Century Gothic" w:cs="Arial"/>
          <w:lang w:val="es-ES_tradnl"/>
        </w:rPr>
      </w:pPr>
      <w:r w:rsidRPr="000458B7">
        <w:rPr>
          <w:rFonts w:ascii="Century Gothic" w:hAnsi="Century Gothic" w:cs="Arial"/>
          <w:lang w:val="es-ES_tradnl"/>
        </w:rPr>
        <w:t xml:space="preserve">La violencia </w:t>
      </w:r>
      <w:r w:rsidR="00087767" w:rsidRPr="000458B7">
        <w:rPr>
          <w:rFonts w:ascii="Century Gothic" w:hAnsi="Century Gothic" w:cs="Arial"/>
          <w:lang w:val="es-ES_tradnl"/>
        </w:rPr>
        <w:t xml:space="preserve">sexual en contra de niñas y niños es un grave problema a la que se enfrenta el </w:t>
      </w:r>
      <w:r w:rsidR="00995D69" w:rsidRPr="000458B7">
        <w:rPr>
          <w:rFonts w:ascii="Century Gothic" w:hAnsi="Century Gothic" w:cs="Arial"/>
          <w:lang w:val="es-ES_tradnl"/>
        </w:rPr>
        <w:t>E</w:t>
      </w:r>
      <w:r w:rsidR="00087767" w:rsidRPr="000458B7">
        <w:rPr>
          <w:rFonts w:ascii="Century Gothic" w:hAnsi="Century Gothic" w:cs="Arial"/>
          <w:lang w:val="es-ES_tradnl"/>
        </w:rPr>
        <w:t xml:space="preserve">stado </w:t>
      </w:r>
      <w:r w:rsidR="00995D69" w:rsidRPr="000458B7">
        <w:rPr>
          <w:rFonts w:ascii="Century Gothic" w:hAnsi="Century Gothic" w:cs="Arial"/>
          <w:lang w:val="es-ES_tradnl"/>
        </w:rPr>
        <w:t>M</w:t>
      </w:r>
      <w:r w:rsidR="00087767" w:rsidRPr="000458B7">
        <w:rPr>
          <w:rFonts w:ascii="Century Gothic" w:hAnsi="Century Gothic" w:cs="Arial"/>
          <w:lang w:val="es-ES_tradnl"/>
        </w:rPr>
        <w:t>exicano, esta modalidad de violencia a la que niñas, niños y adolescentes se enfrentan produce daños graves tanto físicos como psicológicos, incluso de manera irreversible</w:t>
      </w:r>
      <w:r w:rsidR="002355FA" w:rsidRPr="000458B7">
        <w:rPr>
          <w:rFonts w:ascii="Century Gothic" w:hAnsi="Century Gothic" w:cs="Arial"/>
          <w:lang w:val="es-ES_tradnl"/>
        </w:rPr>
        <w:t>. La violencia sexual puede ser entendida, como cualquier acto que degrada o daña el cuerpo y/o la sexualidad de la víctima y que por tanto atenta contra su libertad, dignidad e integridad física.</w:t>
      </w:r>
    </w:p>
    <w:p w14:paraId="1DCC880F" w14:textId="4A8C6C3C" w:rsidR="002355FA" w:rsidRPr="000458B7" w:rsidRDefault="002355FA" w:rsidP="00087767">
      <w:pPr>
        <w:spacing w:line="360" w:lineRule="auto"/>
        <w:jc w:val="both"/>
        <w:rPr>
          <w:rFonts w:ascii="Century Gothic" w:hAnsi="Century Gothic" w:cs="Arial"/>
          <w:lang w:val="es-ES_tradnl"/>
        </w:rPr>
      </w:pPr>
    </w:p>
    <w:p w14:paraId="082109E6" w14:textId="6BFBBE70" w:rsidR="002355FA" w:rsidRPr="000458B7" w:rsidRDefault="002355FA" w:rsidP="00087767">
      <w:pPr>
        <w:spacing w:line="360" w:lineRule="auto"/>
        <w:jc w:val="both"/>
        <w:rPr>
          <w:rFonts w:ascii="Century Gothic" w:hAnsi="Century Gothic" w:cs="Arial"/>
          <w:lang w:val="es-ES_tradnl"/>
        </w:rPr>
      </w:pPr>
      <w:r w:rsidRPr="000458B7">
        <w:rPr>
          <w:rFonts w:ascii="Century Gothic" w:hAnsi="Century Gothic" w:cs="Arial"/>
          <w:lang w:val="es-ES_tradnl"/>
        </w:rPr>
        <w:lastRenderedPageBreak/>
        <w:t xml:space="preserve">El </w:t>
      </w:r>
      <w:r w:rsidR="00995D69" w:rsidRPr="000458B7">
        <w:rPr>
          <w:rFonts w:ascii="Century Gothic" w:hAnsi="Century Gothic" w:cs="Arial"/>
          <w:lang w:val="es-ES_tradnl"/>
        </w:rPr>
        <w:t>E</w:t>
      </w:r>
      <w:r w:rsidRPr="000458B7">
        <w:rPr>
          <w:rFonts w:ascii="Century Gothic" w:hAnsi="Century Gothic" w:cs="Arial"/>
          <w:lang w:val="es-ES_tradnl"/>
        </w:rPr>
        <w:t xml:space="preserve">stado mexicano como miembro de la comunidad internacional ha firmado y ratificado una serie de convenciones que tutelan los derechos de niñas, niños y adolescentes, de mujeres, de grupos en situación de </w:t>
      </w:r>
      <w:r w:rsidR="006972D0" w:rsidRPr="000458B7">
        <w:rPr>
          <w:rFonts w:ascii="Century Gothic" w:hAnsi="Century Gothic" w:cs="Arial"/>
          <w:lang w:val="es-ES_tradnl"/>
        </w:rPr>
        <w:t xml:space="preserve">vulneración, además de la conocida reforma constitucional en materia de Derechos Humanos, </w:t>
      </w:r>
      <w:r w:rsidR="0030093F" w:rsidRPr="000458B7">
        <w:rPr>
          <w:rFonts w:ascii="Century Gothic" w:hAnsi="Century Gothic" w:cs="Arial"/>
          <w:lang w:val="es-ES_tradnl"/>
        </w:rPr>
        <w:t>aún</w:t>
      </w:r>
      <w:r w:rsidR="006972D0" w:rsidRPr="000458B7">
        <w:rPr>
          <w:rFonts w:ascii="Century Gothic" w:hAnsi="Century Gothic" w:cs="Arial"/>
          <w:lang w:val="es-ES_tradnl"/>
        </w:rPr>
        <w:t xml:space="preserve"> existen en las legislaciones, principalmente en las penales, tipos específicos que carecen de armonización con un esquema protector de derechos humanos.</w:t>
      </w:r>
    </w:p>
    <w:p w14:paraId="727BB855" w14:textId="0F5B8ABF" w:rsidR="00A46CA5" w:rsidRPr="000458B7" w:rsidRDefault="00A46CA5" w:rsidP="00087767">
      <w:pPr>
        <w:spacing w:line="360" w:lineRule="auto"/>
        <w:jc w:val="both"/>
        <w:rPr>
          <w:rFonts w:ascii="Century Gothic" w:hAnsi="Century Gothic" w:cs="Arial"/>
          <w:lang w:val="es-ES_tradnl"/>
        </w:rPr>
      </w:pPr>
    </w:p>
    <w:p w14:paraId="46F3DB70" w14:textId="43BE2132" w:rsidR="00474F84" w:rsidRPr="000458B7" w:rsidRDefault="00A46CA5" w:rsidP="00474F84">
      <w:pPr>
        <w:spacing w:line="360" w:lineRule="auto"/>
        <w:jc w:val="both"/>
        <w:rPr>
          <w:rFonts w:ascii="Century Gothic" w:hAnsi="Century Gothic" w:cs="Arial"/>
          <w:i/>
          <w:iCs/>
          <w:lang w:val="es-ES_tradnl"/>
        </w:rPr>
      </w:pPr>
      <w:r w:rsidRPr="000458B7">
        <w:rPr>
          <w:rFonts w:ascii="Century Gothic" w:hAnsi="Century Gothic" w:cs="Arial"/>
          <w:lang w:val="es-ES_tradnl"/>
        </w:rPr>
        <w:t>En las observaciones finales sobre los informes periódicos cuarto y quinto combinados de México, del Comité de los Derechos del Niño</w:t>
      </w:r>
      <w:r w:rsidRPr="000458B7">
        <w:rPr>
          <w:rStyle w:val="Refdenotaalpie"/>
          <w:rFonts w:ascii="Century Gothic" w:hAnsi="Century Gothic" w:cs="Arial"/>
          <w:lang w:val="es-ES_tradnl"/>
        </w:rPr>
        <w:footnoteReference w:id="1"/>
      </w:r>
      <w:r w:rsidR="009B5474" w:rsidRPr="000458B7">
        <w:rPr>
          <w:rFonts w:ascii="Century Gothic" w:hAnsi="Century Gothic" w:cs="Arial"/>
          <w:lang w:val="es-ES_tradnl"/>
        </w:rPr>
        <w:t xml:space="preserve"> emitidas el 3 de julio de 2015 en el párrafo 31</w:t>
      </w:r>
      <w:r w:rsidR="00661B5E" w:rsidRPr="000458B7">
        <w:rPr>
          <w:rFonts w:ascii="Century Gothic" w:hAnsi="Century Gothic" w:cs="Arial"/>
          <w:lang w:val="es-ES_tradnl"/>
        </w:rPr>
        <w:t xml:space="preserve"> el comité expresa su preocupación por la impunidad reinante en los casos de violencia contra niños, niñas y adolescentes, específicamente en el inciso b, manifiesta su preocupación por la </w:t>
      </w:r>
      <w:r w:rsidR="00661B5E" w:rsidRPr="000458B7">
        <w:rPr>
          <w:rFonts w:ascii="Century Gothic" w:hAnsi="Century Gothic" w:cs="Arial"/>
          <w:i/>
          <w:iCs/>
          <w:lang w:val="es-ES_tradnl"/>
        </w:rPr>
        <w:t>“…c) La creciente violencia, incluida la violencia sexual, y acoso en las escuelas y la elevada tasa de adolescentes que son víctimas de malos tratos en Internet…</w:t>
      </w:r>
      <w:r w:rsidR="00661B5E" w:rsidRPr="000458B7">
        <w:rPr>
          <w:rFonts w:ascii="Century Gothic" w:hAnsi="Century Gothic" w:cs="Arial"/>
          <w:lang w:val="es-ES_tradnl"/>
        </w:rPr>
        <w:t xml:space="preserve">” de igual manera en el párrafo 33 expresa en </w:t>
      </w:r>
      <w:r w:rsidR="00995D69" w:rsidRPr="000458B7">
        <w:rPr>
          <w:rFonts w:ascii="Century Gothic" w:hAnsi="Century Gothic" w:cs="Arial"/>
          <w:lang w:val="es-ES_tradnl"/>
        </w:rPr>
        <w:t xml:space="preserve">específico </w:t>
      </w:r>
      <w:r w:rsidR="00474F84" w:rsidRPr="000458B7">
        <w:rPr>
          <w:rFonts w:ascii="Century Gothic" w:hAnsi="Century Gothic" w:cs="Arial"/>
          <w:i/>
          <w:iCs/>
          <w:lang w:val="es-ES_tradnl"/>
        </w:rPr>
        <w:t xml:space="preserve">“…Aunque toma nota de la aprobación de un protocolo de asistencia a los niños víctimas de abusos sexuales, el Comité expresa preocupación por la elevada prevalencia de la violencia sexual ejercida contra los niños, en particular las niñas. El Comité considera muy preocupante que los violadores puedan eludir el castigo si contraen matrimonio con la víctima. También le preocupa que la actual propuesta de reforma del Código Penal Federal relativa a la prescripción de los delitos de abusos sexuales contra niños no proteja adecuadamente sus derechos…” </w:t>
      </w:r>
    </w:p>
    <w:p w14:paraId="7F4A6BE0" w14:textId="77777777" w:rsidR="00474F84" w:rsidRPr="000458B7" w:rsidRDefault="00474F84" w:rsidP="00474F84">
      <w:pPr>
        <w:spacing w:line="360" w:lineRule="auto"/>
        <w:jc w:val="both"/>
        <w:rPr>
          <w:rFonts w:ascii="Century Gothic" w:hAnsi="Century Gothic" w:cs="Arial"/>
          <w:i/>
          <w:iCs/>
          <w:lang w:val="es-ES_tradnl"/>
        </w:rPr>
      </w:pPr>
    </w:p>
    <w:p w14:paraId="45E66A39" w14:textId="50423E00" w:rsidR="00A46CA5" w:rsidRDefault="00474F84" w:rsidP="00A3793D">
      <w:pPr>
        <w:spacing w:line="360" w:lineRule="auto"/>
        <w:jc w:val="both"/>
        <w:rPr>
          <w:rFonts w:ascii="Century Gothic" w:hAnsi="Century Gothic" w:cs="Arial"/>
          <w:lang w:val="es-ES_tradnl"/>
        </w:rPr>
      </w:pPr>
      <w:r w:rsidRPr="000458B7">
        <w:rPr>
          <w:rFonts w:ascii="Century Gothic" w:hAnsi="Century Gothic" w:cs="Arial"/>
          <w:lang w:val="es-ES_tradnl"/>
        </w:rPr>
        <w:lastRenderedPageBreak/>
        <w:t xml:space="preserve">Frente a estas consideraciones y preocupaciones expresadas por el comité de manera específica el comité insta al estado parte, en este caso al estado mexicano, en su párrafo 34 inciso </w:t>
      </w:r>
      <w:r w:rsidR="00A3793D" w:rsidRPr="000458B7">
        <w:rPr>
          <w:rFonts w:ascii="Century Gothic" w:hAnsi="Century Gothic" w:cs="Arial"/>
          <w:lang w:val="es-ES_tradnl"/>
        </w:rPr>
        <w:t>d</w:t>
      </w:r>
      <w:r w:rsidRPr="000458B7">
        <w:rPr>
          <w:rFonts w:ascii="Century Gothic" w:hAnsi="Century Gothic" w:cs="Arial"/>
          <w:lang w:val="es-ES_tradnl"/>
        </w:rPr>
        <w:t>) para que “…</w:t>
      </w:r>
      <w:r w:rsidR="00A3793D" w:rsidRPr="000458B7">
        <w:rPr>
          <w:rFonts w:ascii="Century Gothic" w:hAnsi="Century Gothic" w:cs="Arial"/>
          <w:i/>
          <w:iCs/>
          <w:lang w:val="es-ES_tradnl"/>
        </w:rPr>
        <w:t>Prevenir, investigar y enjuiciar todos los casos de abusos sexuales de niños y castigar debidamente a las personas declaradas culpables</w:t>
      </w:r>
      <w:r w:rsidRPr="000458B7">
        <w:rPr>
          <w:rFonts w:ascii="Century Gothic" w:hAnsi="Century Gothic" w:cs="Arial"/>
          <w:i/>
          <w:iCs/>
          <w:lang w:val="es-ES_tradnl"/>
        </w:rPr>
        <w:t xml:space="preserve">…” </w:t>
      </w:r>
      <w:r w:rsidRPr="003317B0">
        <w:rPr>
          <w:rFonts w:ascii="Century Gothic" w:hAnsi="Century Gothic" w:cs="Arial"/>
          <w:lang w:val="es-ES_tradnl"/>
        </w:rPr>
        <w:t>párrafos posteriores el comité continua señalando sus preocupaciones en relación al embarazo adolescente, en mujeres adolescentes a partir de los doce años de edad, esto dentro del contexto creciente de violencia sexual</w:t>
      </w:r>
      <w:r w:rsidR="003317B0">
        <w:rPr>
          <w:rFonts w:ascii="Century Gothic" w:hAnsi="Century Gothic" w:cs="Arial"/>
          <w:lang w:val="es-ES_tradnl"/>
        </w:rPr>
        <w:t>.</w:t>
      </w:r>
    </w:p>
    <w:p w14:paraId="7BA6E175" w14:textId="7BF28F3D" w:rsidR="00ED7B3D" w:rsidRDefault="00ED7B3D" w:rsidP="00A3793D">
      <w:pPr>
        <w:spacing w:line="360" w:lineRule="auto"/>
        <w:jc w:val="both"/>
        <w:rPr>
          <w:rFonts w:ascii="Century Gothic" w:hAnsi="Century Gothic" w:cs="Arial"/>
          <w:lang w:val="es-ES_tradnl"/>
        </w:rPr>
      </w:pPr>
    </w:p>
    <w:p w14:paraId="21630233" w14:textId="32850BF9" w:rsidR="00A3793D" w:rsidRPr="000458B7" w:rsidRDefault="00A3793D" w:rsidP="00A3793D">
      <w:pPr>
        <w:spacing w:line="360" w:lineRule="auto"/>
        <w:jc w:val="both"/>
        <w:rPr>
          <w:rFonts w:ascii="Century Gothic" w:hAnsi="Century Gothic" w:cs="Arial"/>
          <w:lang w:val="es-ES_tradnl"/>
        </w:rPr>
      </w:pPr>
      <w:r w:rsidRPr="000458B7">
        <w:rPr>
          <w:rFonts w:ascii="Century Gothic" w:hAnsi="Century Gothic" w:cs="Arial"/>
          <w:lang w:val="es-ES_tradnl"/>
        </w:rPr>
        <w:t>De acuerdo a dicho informe en México los mecanismos legales para fincar responsabilidades a los autores de cometer delitos contra niños y niñas, son aún muy débiles para garantizar un debido proceso que permita una protección a sus derechos en los ámbitos en los que se desarrolla. Se carece de instancias apropiadas para registrar casos de torturas, tratos crueles y degradantes en niñas y niños, incluidos la violencia y abuso sexual, y prevalece una cultura que trata de manera secundaria a los derechos de la infancia. En particular, cuando nos referimos al abuso sexual (en todas sus modalidades) no se ha logrado realizar investigaciones que muestren información relevante que permita analizar y dar cuenta de la dimensión del problema en nuestro país.</w:t>
      </w:r>
    </w:p>
    <w:p w14:paraId="0EF9B4EC" w14:textId="02DCF7CF" w:rsidR="003049C8" w:rsidRDefault="003049C8" w:rsidP="00474F84">
      <w:pPr>
        <w:spacing w:line="360" w:lineRule="auto"/>
        <w:jc w:val="both"/>
        <w:rPr>
          <w:rFonts w:ascii="Century Gothic" w:hAnsi="Century Gothic" w:cs="Arial"/>
          <w:lang w:val="es-ES_tradnl"/>
        </w:rPr>
      </w:pPr>
    </w:p>
    <w:p w14:paraId="22626353" w14:textId="77777777" w:rsidR="003317B0"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Según datos de la Encuesta Nacional de la Dinámica Demográfica (ENADID</w:t>
      </w:r>
      <w:r>
        <w:rPr>
          <w:rStyle w:val="Refdenotaalpie"/>
          <w:rFonts w:ascii="Century Gothic" w:hAnsi="Century Gothic" w:cs="Arial"/>
          <w:lang w:val="es-ES_tradnl"/>
        </w:rPr>
        <w:footnoteReference w:id="2"/>
      </w:r>
      <w:r w:rsidRPr="007422E6">
        <w:rPr>
          <w:rFonts w:ascii="Century Gothic" w:hAnsi="Century Gothic" w:cs="Arial"/>
          <w:lang w:val="es-ES_tradnl"/>
        </w:rPr>
        <w:t>) 2018,</w:t>
      </w:r>
      <w:r>
        <w:rPr>
          <w:rFonts w:ascii="Century Gothic" w:hAnsi="Century Gothic" w:cs="Arial"/>
          <w:lang w:val="es-ES_tradnl"/>
        </w:rPr>
        <w:t xml:space="preserve"> </w:t>
      </w:r>
      <w:r w:rsidRPr="007422E6">
        <w:rPr>
          <w:rFonts w:ascii="Century Gothic" w:hAnsi="Century Gothic" w:cs="Arial"/>
          <w:lang w:val="es-ES_tradnl"/>
        </w:rPr>
        <w:t>las 5.5 millones de mujeres adolescentes (15 a 19 años):</w:t>
      </w:r>
    </w:p>
    <w:p w14:paraId="338937DA" w14:textId="77777777" w:rsidR="003317B0" w:rsidRPr="007422E6" w:rsidRDefault="003317B0" w:rsidP="003317B0">
      <w:pPr>
        <w:spacing w:line="360" w:lineRule="auto"/>
        <w:jc w:val="both"/>
        <w:rPr>
          <w:rFonts w:ascii="Century Gothic" w:hAnsi="Century Gothic" w:cs="Arial"/>
          <w:lang w:val="es-ES_tradnl"/>
        </w:rPr>
      </w:pPr>
    </w:p>
    <w:p w14:paraId="323071B9"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Representan 16.7% de las mujeres en edad reproductiva (15 a 49 años).</w:t>
      </w:r>
    </w:p>
    <w:p w14:paraId="0787A3A5"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La edad mediana a la primera relación sexual fue de 17.5 años.</w:t>
      </w:r>
    </w:p>
    <w:p w14:paraId="799DB7D2"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lastRenderedPageBreak/>
        <w:t>• El 60.4% de las adolescentes usó algún método en su primera relación sexual.</w:t>
      </w:r>
      <w:r>
        <w:rPr>
          <w:rFonts w:ascii="Century Gothic" w:hAnsi="Century Gothic" w:cs="Arial"/>
          <w:lang w:val="es-ES_tradnl"/>
        </w:rPr>
        <w:t xml:space="preserve"> </w:t>
      </w:r>
      <w:r w:rsidRPr="007422E6">
        <w:rPr>
          <w:rFonts w:ascii="Century Gothic" w:hAnsi="Century Gothic" w:cs="Arial"/>
          <w:lang w:val="es-ES_tradnl"/>
        </w:rPr>
        <w:t>De quienes no lo hicieron, el motivo principal fue que ellas no tenían planeado</w:t>
      </w:r>
      <w:r>
        <w:rPr>
          <w:rFonts w:ascii="Century Gothic" w:hAnsi="Century Gothic" w:cs="Arial"/>
          <w:lang w:val="es-ES_tradnl"/>
        </w:rPr>
        <w:t xml:space="preserve"> </w:t>
      </w:r>
      <w:r w:rsidRPr="007422E6">
        <w:rPr>
          <w:rFonts w:ascii="Century Gothic" w:hAnsi="Century Gothic" w:cs="Arial"/>
          <w:lang w:val="es-ES_tradnl"/>
        </w:rPr>
        <w:t>tener relaciones sexuales (36.4%), el desconocimiento de su uso o de dónde</w:t>
      </w:r>
      <w:r>
        <w:rPr>
          <w:rFonts w:ascii="Century Gothic" w:hAnsi="Century Gothic" w:cs="Arial"/>
          <w:lang w:val="es-ES_tradnl"/>
        </w:rPr>
        <w:t xml:space="preserve"> </w:t>
      </w:r>
      <w:r w:rsidRPr="007422E6">
        <w:rPr>
          <w:rFonts w:ascii="Century Gothic" w:hAnsi="Century Gothic" w:cs="Arial"/>
          <w:lang w:val="es-ES_tradnl"/>
        </w:rPr>
        <w:t>obtenerlos (17.3%) y que tenía deseo de embarazarse (16%).</w:t>
      </w:r>
    </w:p>
    <w:p w14:paraId="32A1ED0C"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17.9% de las adolescentes son sexualmente activas</w:t>
      </w:r>
      <w:r>
        <w:rPr>
          <w:rStyle w:val="Refdenotaalpie"/>
          <w:rFonts w:ascii="Century Gothic" w:hAnsi="Century Gothic" w:cs="Arial"/>
          <w:lang w:val="es-ES_tradnl"/>
        </w:rPr>
        <w:footnoteReference w:id="3"/>
      </w:r>
      <w:r w:rsidRPr="007422E6">
        <w:rPr>
          <w:rFonts w:ascii="Century Gothic" w:hAnsi="Century Gothic" w:cs="Arial"/>
          <w:lang w:val="es-ES_tradnl"/>
        </w:rPr>
        <w:t>.</w:t>
      </w:r>
    </w:p>
    <w:p w14:paraId="090FC5A5"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El 15.8% ha estado embarazada alguna vez. En las localidades de menos de 15</w:t>
      </w:r>
      <w:r>
        <w:rPr>
          <w:rFonts w:ascii="Century Gothic" w:hAnsi="Century Gothic" w:cs="Arial"/>
          <w:lang w:val="es-ES_tradnl"/>
        </w:rPr>
        <w:t xml:space="preserve"> </w:t>
      </w:r>
      <w:r w:rsidRPr="007422E6">
        <w:rPr>
          <w:rFonts w:ascii="Century Gothic" w:hAnsi="Century Gothic" w:cs="Arial"/>
          <w:lang w:val="es-ES_tradnl"/>
        </w:rPr>
        <w:t>mil habitantes, este porcentaje aumenta a 19.8%, y disminuye a 13.3% en las</w:t>
      </w:r>
      <w:r>
        <w:rPr>
          <w:rFonts w:ascii="Century Gothic" w:hAnsi="Century Gothic" w:cs="Arial"/>
          <w:lang w:val="es-ES_tradnl"/>
        </w:rPr>
        <w:t xml:space="preserve"> </w:t>
      </w:r>
      <w:r w:rsidRPr="007422E6">
        <w:rPr>
          <w:rFonts w:ascii="Century Gothic" w:hAnsi="Century Gothic" w:cs="Arial"/>
          <w:lang w:val="es-ES_tradnl"/>
        </w:rPr>
        <w:t>localidades de 15 mil y más habitantes.</w:t>
      </w:r>
    </w:p>
    <w:p w14:paraId="3D1E0E14"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12.2% ha tenido por lo menos un hijo/a nacido vivo.</w:t>
      </w:r>
    </w:p>
    <w:p w14:paraId="450EE584" w14:textId="77777777" w:rsidR="003317B0"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3.3% se encontraban embarazadas al momento de la entrevista, de las cuales</w:t>
      </w:r>
      <w:r>
        <w:rPr>
          <w:rFonts w:ascii="Century Gothic" w:hAnsi="Century Gothic" w:cs="Arial"/>
          <w:lang w:val="es-ES_tradnl"/>
        </w:rPr>
        <w:t xml:space="preserve"> </w:t>
      </w:r>
      <w:r w:rsidRPr="007422E6">
        <w:rPr>
          <w:rFonts w:ascii="Century Gothic" w:hAnsi="Century Gothic" w:cs="Arial"/>
          <w:lang w:val="es-ES_tradnl"/>
        </w:rPr>
        <w:t>46.2% querían esperar o no deseaban embarazars</w:t>
      </w:r>
      <w:r>
        <w:rPr>
          <w:rFonts w:ascii="Century Gothic" w:hAnsi="Century Gothic" w:cs="Arial"/>
          <w:lang w:val="es-ES_tradnl"/>
        </w:rPr>
        <w:t>e.</w:t>
      </w:r>
    </w:p>
    <w:p w14:paraId="6787C108" w14:textId="77777777" w:rsidR="003317B0" w:rsidRDefault="003317B0" w:rsidP="003317B0">
      <w:pPr>
        <w:spacing w:line="360" w:lineRule="auto"/>
        <w:jc w:val="both"/>
        <w:rPr>
          <w:rFonts w:ascii="Century Gothic" w:hAnsi="Century Gothic" w:cs="Arial"/>
          <w:lang w:val="es-ES_tradnl"/>
        </w:rPr>
      </w:pPr>
    </w:p>
    <w:p w14:paraId="5E054611" w14:textId="77777777" w:rsidR="003317B0" w:rsidRPr="007422E6" w:rsidRDefault="003317B0" w:rsidP="003317B0">
      <w:pPr>
        <w:spacing w:line="360" w:lineRule="auto"/>
        <w:jc w:val="both"/>
        <w:rPr>
          <w:rFonts w:ascii="Century Gothic" w:hAnsi="Century Gothic" w:cs="Arial"/>
          <w:b/>
          <w:bCs/>
          <w:lang w:val="es-ES_tradnl"/>
        </w:rPr>
      </w:pPr>
      <w:r w:rsidRPr="007422E6">
        <w:rPr>
          <w:rFonts w:ascii="Century Gothic" w:hAnsi="Century Gothic" w:cs="Arial"/>
          <w:b/>
          <w:bCs/>
          <w:lang w:val="es-ES_tradnl"/>
        </w:rPr>
        <w:t>Muertes maternas</w:t>
      </w:r>
      <w:r w:rsidRPr="007422E6">
        <w:rPr>
          <w:rStyle w:val="Refdenotaalpie"/>
          <w:rFonts w:ascii="Century Gothic" w:hAnsi="Century Gothic" w:cs="Arial"/>
          <w:b/>
          <w:bCs/>
          <w:lang w:val="es-ES_tradnl"/>
        </w:rPr>
        <w:footnoteReference w:id="4"/>
      </w:r>
    </w:p>
    <w:p w14:paraId="0B5DE52D" w14:textId="77777777" w:rsidR="003317B0"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En 2019 se registraron 695 muertes maternas en el país, de las cuales 66 (9.5%)</w:t>
      </w:r>
      <w:r>
        <w:rPr>
          <w:rFonts w:ascii="Century Gothic" w:hAnsi="Century Gothic" w:cs="Arial"/>
          <w:lang w:val="es-ES_tradnl"/>
        </w:rPr>
        <w:t xml:space="preserve"> </w:t>
      </w:r>
      <w:r w:rsidRPr="007422E6">
        <w:rPr>
          <w:rFonts w:ascii="Century Gothic" w:hAnsi="Century Gothic" w:cs="Arial"/>
          <w:lang w:val="es-ES_tradnl"/>
        </w:rPr>
        <w:t>corresponden a menores de 20 años; entre las que se incluyen seis casos de</w:t>
      </w:r>
      <w:r>
        <w:rPr>
          <w:rFonts w:ascii="Century Gothic" w:hAnsi="Century Gothic" w:cs="Arial"/>
          <w:lang w:val="es-ES_tradnl"/>
        </w:rPr>
        <w:t xml:space="preserve"> </w:t>
      </w:r>
      <w:r w:rsidRPr="007422E6">
        <w:rPr>
          <w:rFonts w:ascii="Century Gothic" w:hAnsi="Century Gothic" w:cs="Arial"/>
          <w:lang w:val="es-ES_tradnl"/>
        </w:rPr>
        <w:t>niñas de 10 a 14 años.</w:t>
      </w:r>
    </w:p>
    <w:p w14:paraId="2C2DB183" w14:textId="77777777" w:rsidR="003317B0" w:rsidRDefault="003317B0" w:rsidP="003317B0">
      <w:pPr>
        <w:spacing w:line="360" w:lineRule="auto"/>
        <w:jc w:val="both"/>
        <w:rPr>
          <w:rFonts w:ascii="Century Gothic" w:hAnsi="Century Gothic" w:cs="Arial"/>
          <w:lang w:val="es-ES_tradnl"/>
        </w:rPr>
      </w:pPr>
    </w:p>
    <w:p w14:paraId="6FFFB0F9" w14:textId="77777777" w:rsidR="003317B0" w:rsidRPr="007422E6" w:rsidRDefault="003317B0" w:rsidP="003317B0">
      <w:pPr>
        <w:spacing w:line="360" w:lineRule="auto"/>
        <w:jc w:val="both"/>
        <w:rPr>
          <w:rFonts w:ascii="Century Gothic" w:hAnsi="Century Gothic" w:cs="Arial"/>
          <w:b/>
          <w:bCs/>
          <w:lang w:val="es-ES_tradnl"/>
        </w:rPr>
      </w:pPr>
      <w:r w:rsidRPr="007422E6">
        <w:rPr>
          <w:rFonts w:ascii="Century Gothic" w:hAnsi="Century Gothic" w:cs="Arial"/>
          <w:b/>
          <w:bCs/>
          <w:lang w:val="es-ES_tradnl"/>
        </w:rPr>
        <w:t>Partos y nacimientos</w:t>
      </w:r>
      <w:r w:rsidRPr="007422E6">
        <w:rPr>
          <w:rStyle w:val="Refdenotaalpie"/>
          <w:rFonts w:ascii="Century Gothic" w:hAnsi="Century Gothic" w:cs="Arial"/>
          <w:b/>
          <w:bCs/>
          <w:lang w:val="es-ES_tradnl"/>
        </w:rPr>
        <w:footnoteReference w:id="5"/>
      </w:r>
    </w:p>
    <w:p w14:paraId="3F353E1D"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De los 2.0 millones de nacimientos registrados en 2019, el 16.6% (348,046)</w:t>
      </w:r>
    </w:p>
    <w:p w14:paraId="789CA989"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fueron de madres de menores de 20 años: 339,539 en adolescentes y 8,507</w:t>
      </w:r>
    </w:p>
    <w:p w14:paraId="2D20E628"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nacimientos en niñas menores de 15 años.</w:t>
      </w:r>
    </w:p>
    <w:p w14:paraId="622A49E5"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En el 81.8% de los casos de madres menores de 20 años, se trataba de su</w:t>
      </w:r>
    </w:p>
    <w:p w14:paraId="0B61CD55" w14:textId="77777777" w:rsidR="003317B0"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primer hijo/a.</w:t>
      </w:r>
      <w:r w:rsidRPr="007422E6">
        <w:rPr>
          <w:rFonts w:ascii="Century Gothic" w:hAnsi="Century Gothic" w:cs="Arial"/>
          <w:lang w:val="es-ES_tradnl"/>
        </w:rPr>
        <w:cr/>
      </w:r>
    </w:p>
    <w:p w14:paraId="420EE203" w14:textId="77777777" w:rsidR="003317B0" w:rsidRPr="007422E6" w:rsidRDefault="003317B0" w:rsidP="003317B0">
      <w:pPr>
        <w:spacing w:line="360" w:lineRule="auto"/>
        <w:jc w:val="both"/>
        <w:rPr>
          <w:rFonts w:ascii="Century Gothic" w:hAnsi="Century Gothic" w:cs="Arial"/>
          <w:b/>
          <w:bCs/>
          <w:lang w:val="es-ES_tradnl"/>
        </w:rPr>
      </w:pPr>
      <w:r w:rsidRPr="007422E6">
        <w:rPr>
          <w:rFonts w:ascii="Century Gothic" w:hAnsi="Century Gothic" w:cs="Arial"/>
          <w:b/>
          <w:bCs/>
          <w:lang w:val="es-ES_tradnl"/>
        </w:rPr>
        <w:t>Violencia de pareja y maltrato obstétrico</w:t>
      </w:r>
      <w:r>
        <w:rPr>
          <w:rStyle w:val="Refdenotaalpie"/>
          <w:rFonts w:ascii="Century Gothic" w:hAnsi="Century Gothic" w:cs="Arial"/>
          <w:b/>
          <w:bCs/>
          <w:lang w:val="es-ES_tradnl"/>
        </w:rPr>
        <w:footnoteReference w:id="6"/>
      </w:r>
    </w:p>
    <w:p w14:paraId="50016667" w14:textId="77777777" w:rsidR="003317B0" w:rsidRPr="007422E6"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lastRenderedPageBreak/>
        <w:t>• El 36.2% de las adolescentes que tuvieron un parto entre 2011 y 2016, vivieron</w:t>
      </w:r>
      <w:r>
        <w:rPr>
          <w:rFonts w:ascii="Century Gothic" w:hAnsi="Century Gothic" w:cs="Arial"/>
          <w:lang w:val="es-ES_tradnl"/>
        </w:rPr>
        <w:t xml:space="preserve"> </w:t>
      </w:r>
      <w:r w:rsidRPr="007422E6">
        <w:rPr>
          <w:rFonts w:ascii="Century Gothic" w:hAnsi="Century Gothic" w:cs="Arial"/>
          <w:lang w:val="es-ES_tradnl"/>
        </w:rPr>
        <w:t>experiencias de maltrato obstétrico durante el mismo. Entre las mujeres de 15</w:t>
      </w:r>
      <w:r>
        <w:rPr>
          <w:rFonts w:ascii="Century Gothic" w:hAnsi="Century Gothic" w:cs="Arial"/>
          <w:lang w:val="es-ES_tradnl"/>
        </w:rPr>
        <w:t xml:space="preserve"> </w:t>
      </w:r>
      <w:r w:rsidRPr="007422E6">
        <w:rPr>
          <w:rFonts w:ascii="Century Gothic" w:hAnsi="Century Gothic" w:cs="Arial"/>
          <w:lang w:val="es-ES_tradnl"/>
        </w:rPr>
        <w:t>a 49 años, es de 33.4%.</w:t>
      </w:r>
    </w:p>
    <w:p w14:paraId="60C26B09" w14:textId="77777777" w:rsidR="003317B0" w:rsidRDefault="003317B0" w:rsidP="003317B0">
      <w:pPr>
        <w:spacing w:line="360" w:lineRule="auto"/>
        <w:jc w:val="both"/>
        <w:rPr>
          <w:rFonts w:ascii="Century Gothic" w:hAnsi="Century Gothic" w:cs="Arial"/>
          <w:lang w:val="es-ES_tradnl"/>
        </w:rPr>
      </w:pPr>
      <w:r w:rsidRPr="007422E6">
        <w:rPr>
          <w:rFonts w:ascii="Century Gothic" w:hAnsi="Century Gothic" w:cs="Arial"/>
          <w:lang w:val="es-ES_tradnl"/>
        </w:rPr>
        <w:t>• Cuatro de cada diez madres adolescentes (41.2%) señalaron haber vivido por</w:t>
      </w:r>
      <w:r>
        <w:rPr>
          <w:rFonts w:ascii="Century Gothic" w:hAnsi="Century Gothic" w:cs="Arial"/>
          <w:lang w:val="es-ES_tradnl"/>
        </w:rPr>
        <w:t xml:space="preserve"> </w:t>
      </w:r>
      <w:r w:rsidRPr="007422E6">
        <w:rPr>
          <w:rFonts w:ascii="Century Gothic" w:hAnsi="Century Gothic" w:cs="Arial"/>
          <w:lang w:val="es-ES_tradnl"/>
        </w:rPr>
        <w:t>lo menos un incidente de violencia de pareja en los últimos 12 meses.</w:t>
      </w:r>
      <w:r>
        <w:rPr>
          <w:rFonts w:ascii="Century Gothic" w:hAnsi="Century Gothic" w:cs="Arial"/>
          <w:lang w:val="es-ES_tradnl"/>
        </w:rPr>
        <w:t xml:space="preserve"> </w:t>
      </w:r>
      <w:r w:rsidRPr="007422E6">
        <w:rPr>
          <w:rFonts w:ascii="Century Gothic" w:hAnsi="Century Gothic" w:cs="Arial"/>
          <w:lang w:val="es-ES_tradnl"/>
        </w:rPr>
        <w:t>Entre</w:t>
      </w:r>
      <w:r>
        <w:rPr>
          <w:rFonts w:ascii="Century Gothic" w:hAnsi="Century Gothic" w:cs="Arial"/>
          <w:lang w:val="es-ES_tradnl"/>
        </w:rPr>
        <w:t xml:space="preserve"> </w:t>
      </w:r>
      <w:r w:rsidRPr="007422E6">
        <w:rPr>
          <w:rFonts w:ascii="Century Gothic" w:hAnsi="Century Gothic" w:cs="Arial"/>
          <w:lang w:val="es-ES_tradnl"/>
        </w:rPr>
        <w:t>las adolescentes sin hijas/os, es de 29.2%.</w:t>
      </w:r>
      <w:r w:rsidRPr="007422E6">
        <w:rPr>
          <w:rFonts w:ascii="Century Gothic" w:hAnsi="Century Gothic" w:cs="Arial"/>
          <w:lang w:val="es-ES_tradnl"/>
        </w:rPr>
        <w:cr/>
      </w:r>
    </w:p>
    <w:p w14:paraId="1D912E82" w14:textId="402367F4" w:rsidR="003317B0" w:rsidRDefault="00925BCC" w:rsidP="00925BCC">
      <w:pPr>
        <w:spacing w:line="360" w:lineRule="auto"/>
        <w:jc w:val="both"/>
        <w:rPr>
          <w:rFonts w:ascii="Century Gothic" w:hAnsi="Century Gothic" w:cs="Arial"/>
          <w:lang w:val="es-ES_tradnl"/>
        </w:rPr>
      </w:pPr>
      <w:r>
        <w:rPr>
          <w:rFonts w:ascii="Century Gothic" w:hAnsi="Century Gothic" w:cs="Arial"/>
          <w:lang w:val="es-ES_tradnl"/>
        </w:rPr>
        <w:t xml:space="preserve">Por su parte el informe que rinde UNICEF “PARA CADA NIÑO” denominado </w:t>
      </w:r>
      <w:r w:rsidRPr="00925BCC">
        <w:rPr>
          <w:rFonts w:ascii="Century Gothic" w:hAnsi="Century Gothic" w:cs="Arial"/>
          <w:lang w:val="es-ES_tradnl"/>
        </w:rPr>
        <w:t>LOS DERECHOS DE LA INFANCIA</w:t>
      </w:r>
      <w:r>
        <w:rPr>
          <w:rFonts w:ascii="Century Gothic" w:hAnsi="Century Gothic" w:cs="Arial"/>
          <w:lang w:val="es-ES_tradnl"/>
        </w:rPr>
        <w:t xml:space="preserve"> </w:t>
      </w:r>
      <w:r w:rsidRPr="00925BCC">
        <w:rPr>
          <w:rFonts w:ascii="Century Gothic" w:hAnsi="Century Gothic" w:cs="Arial"/>
          <w:lang w:val="es-ES_tradnl"/>
        </w:rPr>
        <w:t>Y LA ADOLESCENCIA</w:t>
      </w:r>
      <w:r>
        <w:rPr>
          <w:rFonts w:ascii="Century Gothic" w:hAnsi="Century Gothic" w:cs="Arial"/>
          <w:lang w:val="es-ES_tradnl"/>
        </w:rPr>
        <w:t xml:space="preserve"> </w:t>
      </w:r>
      <w:r w:rsidRPr="00925BCC">
        <w:rPr>
          <w:rFonts w:ascii="Century Gothic" w:hAnsi="Century Gothic" w:cs="Arial"/>
          <w:lang w:val="es-ES_tradnl"/>
        </w:rPr>
        <w:t>EN MÉXICO</w:t>
      </w:r>
      <w:r w:rsidR="00E926D1">
        <w:rPr>
          <w:rStyle w:val="Refdenotaalpie"/>
          <w:rFonts w:ascii="Century Gothic" w:hAnsi="Century Gothic" w:cs="Arial"/>
          <w:lang w:val="es-ES_tradnl"/>
        </w:rPr>
        <w:footnoteReference w:id="7"/>
      </w:r>
      <w:r>
        <w:rPr>
          <w:rFonts w:ascii="Century Gothic" w:hAnsi="Century Gothic" w:cs="Arial"/>
          <w:lang w:val="es-ES_tradnl"/>
        </w:rPr>
        <w:t>, establece que:</w:t>
      </w:r>
    </w:p>
    <w:p w14:paraId="564F639B" w14:textId="50807F54" w:rsidR="00E926D1" w:rsidRDefault="00E926D1" w:rsidP="00925BCC">
      <w:pPr>
        <w:spacing w:line="360" w:lineRule="auto"/>
        <w:jc w:val="both"/>
        <w:rPr>
          <w:rFonts w:ascii="Century Gothic" w:hAnsi="Century Gothic" w:cs="Arial"/>
          <w:lang w:val="es-ES_tradnl"/>
        </w:rPr>
      </w:pPr>
      <w:r>
        <w:rPr>
          <w:rFonts w:ascii="Century Gothic" w:hAnsi="Century Gothic" w:cs="Arial"/>
          <w:lang w:val="es-ES_tradnl"/>
        </w:rPr>
        <w:t>“…</w:t>
      </w:r>
      <w:r w:rsidRPr="00E926D1">
        <w:rPr>
          <w:rFonts w:ascii="Century Gothic" w:hAnsi="Century Gothic" w:cs="Arial"/>
          <w:lang w:val="es-ES_tradnl"/>
        </w:rPr>
        <w:t>En México, el embarazo adolescente es una de las razones por las que 9 de cada 10 adolescentes han abandonado la escuela; ello no sólo afecta su proyecto de vida y la oportunidad de desarrollarse, sino también a sus hijos</w:t>
      </w:r>
      <w:r>
        <w:rPr>
          <w:rFonts w:ascii="Century Gothic" w:hAnsi="Century Gothic" w:cs="Arial"/>
          <w:lang w:val="es-ES_tradnl"/>
        </w:rPr>
        <w:t xml:space="preserve">… </w:t>
      </w:r>
      <w:r w:rsidRPr="00E926D1">
        <w:rPr>
          <w:rFonts w:ascii="Century Gothic" w:hAnsi="Century Gothic" w:cs="Arial"/>
          <w:lang w:val="es-ES_tradnl"/>
        </w:rPr>
        <w:t>Además, el embarazo adolescente es un problema de salud pública; ya que la maternidad a temprana edad conlleva mayores probabilidades de mortalidad y morbilidad tanto de la madre como del recién nacido</w:t>
      </w:r>
      <w:r>
        <w:rPr>
          <w:rFonts w:ascii="Century Gothic" w:hAnsi="Century Gothic" w:cs="Arial"/>
          <w:lang w:val="es-ES_tradnl"/>
        </w:rPr>
        <w:t>…”</w:t>
      </w:r>
    </w:p>
    <w:p w14:paraId="5F47DE29" w14:textId="0D525DF0" w:rsidR="00E926D1" w:rsidRDefault="00E926D1" w:rsidP="00925BCC">
      <w:pPr>
        <w:spacing w:line="360" w:lineRule="auto"/>
        <w:jc w:val="both"/>
        <w:rPr>
          <w:rFonts w:ascii="Century Gothic" w:hAnsi="Century Gothic" w:cs="Arial"/>
          <w:lang w:val="es-ES_tradnl"/>
        </w:rPr>
      </w:pPr>
    </w:p>
    <w:p w14:paraId="2BEA6C06" w14:textId="1FB84168" w:rsidR="00E926D1" w:rsidRDefault="00E926D1" w:rsidP="00E926D1">
      <w:pPr>
        <w:spacing w:line="360" w:lineRule="auto"/>
        <w:jc w:val="both"/>
        <w:rPr>
          <w:rFonts w:ascii="Century Gothic" w:hAnsi="Century Gothic" w:cs="Arial"/>
          <w:lang w:val="es-ES_tradnl"/>
        </w:rPr>
      </w:pPr>
      <w:r>
        <w:rPr>
          <w:rFonts w:ascii="Century Gothic" w:hAnsi="Century Gothic" w:cs="Arial"/>
          <w:lang w:val="es-ES_tradnl"/>
        </w:rPr>
        <w:t>En el informe también concentran información respecto a las enfermedades de transmisión sexual, de las cuales señala que o</w:t>
      </w:r>
      <w:r w:rsidRPr="00E926D1">
        <w:rPr>
          <w:rFonts w:ascii="Century Gothic" w:hAnsi="Century Gothic" w:cs="Arial"/>
          <w:lang w:val="es-ES_tradnl"/>
        </w:rPr>
        <w:t>tro riesgo al que los adolescentes están expuestos ante las</w:t>
      </w:r>
      <w:r>
        <w:rPr>
          <w:rFonts w:ascii="Century Gothic" w:hAnsi="Century Gothic" w:cs="Arial"/>
          <w:lang w:val="es-ES_tradnl"/>
        </w:rPr>
        <w:t xml:space="preserve"> </w:t>
      </w:r>
      <w:r w:rsidRPr="00E926D1">
        <w:rPr>
          <w:rFonts w:ascii="Century Gothic" w:hAnsi="Century Gothic" w:cs="Arial"/>
          <w:lang w:val="es-ES_tradnl"/>
        </w:rPr>
        <w:t>relaciones sexuales sin protección es el contagio de infecciones de</w:t>
      </w:r>
      <w:r>
        <w:rPr>
          <w:rFonts w:ascii="Century Gothic" w:hAnsi="Century Gothic" w:cs="Arial"/>
          <w:lang w:val="es-ES_tradnl"/>
        </w:rPr>
        <w:t xml:space="preserve"> </w:t>
      </w:r>
      <w:r w:rsidRPr="00E926D1">
        <w:rPr>
          <w:rFonts w:ascii="Century Gothic" w:hAnsi="Century Gothic" w:cs="Arial"/>
          <w:lang w:val="es-ES_tradnl"/>
        </w:rPr>
        <w:t>transmisión sexual (ITS). De acuerdo con la ENSANUT 2012, 2.3%</w:t>
      </w:r>
      <w:r>
        <w:rPr>
          <w:rFonts w:ascii="Century Gothic" w:hAnsi="Century Gothic" w:cs="Arial"/>
          <w:lang w:val="es-ES_tradnl"/>
        </w:rPr>
        <w:t xml:space="preserve"> </w:t>
      </w:r>
      <w:r w:rsidRPr="00E926D1">
        <w:rPr>
          <w:rFonts w:ascii="Century Gothic" w:hAnsi="Century Gothic" w:cs="Arial"/>
          <w:lang w:val="es-ES_tradnl"/>
        </w:rPr>
        <w:t>de adolescentes de ambos sexos reportó haber acudido a consulta</w:t>
      </w:r>
      <w:r>
        <w:rPr>
          <w:rFonts w:ascii="Century Gothic" w:hAnsi="Century Gothic" w:cs="Arial"/>
          <w:lang w:val="es-ES_tradnl"/>
        </w:rPr>
        <w:t xml:space="preserve"> </w:t>
      </w:r>
      <w:r w:rsidRPr="00E926D1">
        <w:rPr>
          <w:rFonts w:ascii="Century Gothic" w:hAnsi="Century Gothic" w:cs="Arial"/>
          <w:lang w:val="es-ES_tradnl"/>
        </w:rPr>
        <w:t>médica en los últimos doce meses por esta causa. Aunque se trata de</w:t>
      </w:r>
      <w:r>
        <w:rPr>
          <w:rFonts w:ascii="Century Gothic" w:hAnsi="Century Gothic" w:cs="Arial"/>
          <w:lang w:val="es-ES_tradnl"/>
        </w:rPr>
        <w:t xml:space="preserve"> </w:t>
      </w:r>
      <w:r w:rsidRPr="00E926D1">
        <w:rPr>
          <w:rFonts w:ascii="Century Gothic" w:hAnsi="Century Gothic" w:cs="Arial"/>
          <w:lang w:val="es-ES_tradnl"/>
        </w:rPr>
        <w:t>un porcentaje bajo, la incidencia de casos nuevos de las principales</w:t>
      </w:r>
      <w:r>
        <w:rPr>
          <w:rFonts w:ascii="Century Gothic" w:hAnsi="Century Gothic" w:cs="Arial"/>
          <w:lang w:val="es-ES_tradnl"/>
        </w:rPr>
        <w:t xml:space="preserve"> </w:t>
      </w:r>
      <w:r w:rsidRPr="00E926D1">
        <w:rPr>
          <w:rFonts w:ascii="Century Gothic" w:hAnsi="Century Gothic" w:cs="Arial"/>
          <w:lang w:val="es-ES_tradnl"/>
        </w:rPr>
        <w:t xml:space="preserve">ITS en las y los adolescentes, mostrada en la Tabla 3.1.1, revela </w:t>
      </w:r>
      <w:r w:rsidRPr="00E926D1">
        <w:rPr>
          <w:rFonts w:ascii="Century Gothic" w:hAnsi="Century Gothic" w:cs="Arial"/>
          <w:lang w:val="es-ES_tradnl"/>
        </w:rPr>
        <w:lastRenderedPageBreak/>
        <w:t>que</w:t>
      </w:r>
      <w:r>
        <w:rPr>
          <w:rFonts w:ascii="Century Gothic" w:hAnsi="Century Gothic" w:cs="Arial"/>
          <w:lang w:val="es-ES_tradnl"/>
        </w:rPr>
        <w:t xml:space="preserve"> </w:t>
      </w:r>
      <w:r w:rsidRPr="00E926D1">
        <w:rPr>
          <w:rFonts w:ascii="Century Gothic" w:hAnsi="Century Gothic" w:cs="Arial"/>
          <w:lang w:val="es-ES_tradnl"/>
        </w:rPr>
        <w:t>las mujeres son más vulnerables al contagio, y que la incidencia se</w:t>
      </w:r>
      <w:r>
        <w:rPr>
          <w:rFonts w:ascii="Century Gothic" w:hAnsi="Century Gothic" w:cs="Arial"/>
          <w:lang w:val="es-ES_tradnl"/>
        </w:rPr>
        <w:t xml:space="preserve"> </w:t>
      </w:r>
      <w:r w:rsidRPr="00E926D1">
        <w:rPr>
          <w:rFonts w:ascii="Century Gothic" w:hAnsi="Century Gothic" w:cs="Arial"/>
          <w:lang w:val="es-ES_tradnl"/>
        </w:rPr>
        <w:t>magnifica entre los 15 y 19 años de edad</w:t>
      </w:r>
      <w:r>
        <w:rPr>
          <w:rStyle w:val="Refdenotaalpie"/>
          <w:rFonts w:ascii="Century Gothic" w:hAnsi="Century Gothic" w:cs="Arial"/>
          <w:lang w:val="es-ES_tradnl"/>
        </w:rPr>
        <w:footnoteReference w:id="8"/>
      </w:r>
      <w:r>
        <w:rPr>
          <w:rFonts w:ascii="Century Gothic" w:hAnsi="Century Gothic" w:cs="Arial"/>
          <w:lang w:val="es-ES_tradnl"/>
        </w:rPr>
        <w:t>.</w:t>
      </w:r>
    </w:p>
    <w:p w14:paraId="002A4F37" w14:textId="722DA25B" w:rsidR="00E926D1" w:rsidRDefault="00E926D1" w:rsidP="00E926D1">
      <w:pPr>
        <w:spacing w:line="360" w:lineRule="auto"/>
        <w:jc w:val="both"/>
        <w:rPr>
          <w:rFonts w:ascii="Century Gothic" w:hAnsi="Century Gothic" w:cs="Arial"/>
          <w:lang w:val="es-ES_tradnl"/>
        </w:rPr>
      </w:pPr>
    </w:p>
    <w:p w14:paraId="6EE31E7E" w14:textId="77777777" w:rsidR="00E926D1" w:rsidRDefault="00E926D1" w:rsidP="00E926D1">
      <w:pPr>
        <w:spacing w:line="360" w:lineRule="auto"/>
        <w:jc w:val="both"/>
        <w:rPr>
          <w:noProof/>
        </w:rPr>
      </w:pPr>
    </w:p>
    <w:p w14:paraId="5BBA71CC" w14:textId="679C367C" w:rsidR="00E926D1" w:rsidRDefault="00E926D1" w:rsidP="00145838">
      <w:pPr>
        <w:spacing w:line="360" w:lineRule="auto"/>
        <w:jc w:val="center"/>
        <w:rPr>
          <w:rFonts w:ascii="Century Gothic" w:hAnsi="Century Gothic" w:cs="Arial"/>
          <w:lang w:val="es-ES_tradnl"/>
        </w:rPr>
      </w:pPr>
      <w:r>
        <w:rPr>
          <w:noProof/>
          <w:lang w:eastAsia="es-MX"/>
        </w:rPr>
        <w:drawing>
          <wp:inline distT="0" distB="0" distL="0" distR="0" wp14:anchorId="4DC4F378" wp14:editId="65198961">
            <wp:extent cx="4933950" cy="3429697"/>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8"/>
                    <a:srcRect l="49219" t="28980" r="9029" b="19400"/>
                    <a:stretch/>
                  </pic:blipFill>
                  <pic:spPr bwMode="auto">
                    <a:xfrm>
                      <a:off x="0" y="0"/>
                      <a:ext cx="4948719" cy="3439963"/>
                    </a:xfrm>
                    <a:prstGeom prst="rect">
                      <a:avLst/>
                    </a:prstGeom>
                    <a:ln>
                      <a:noFill/>
                    </a:ln>
                    <a:extLst>
                      <a:ext uri="{53640926-AAD7-44D8-BBD7-CCE9431645EC}">
                        <a14:shadowObscured xmlns:a14="http://schemas.microsoft.com/office/drawing/2010/main"/>
                      </a:ext>
                    </a:extLst>
                  </pic:spPr>
                </pic:pic>
              </a:graphicData>
            </a:graphic>
          </wp:inline>
        </w:drawing>
      </w:r>
    </w:p>
    <w:p w14:paraId="65B1FCD4" w14:textId="7A007FFF" w:rsidR="003317B0" w:rsidRDefault="003317B0" w:rsidP="003317B0">
      <w:pPr>
        <w:spacing w:line="360" w:lineRule="auto"/>
        <w:jc w:val="both"/>
        <w:rPr>
          <w:rFonts w:ascii="Century Gothic" w:hAnsi="Century Gothic" w:cs="Arial"/>
          <w:lang w:val="es-ES_tradnl"/>
        </w:rPr>
      </w:pPr>
    </w:p>
    <w:p w14:paraId="003B5F9D" w14:textId="394222DF" w:rsidR="00E926D1" w:rsidRDefault="00E926D1" w:rsidP="00E926D1">
      <w:pPr>
        <w:spacing w:line="360" w:lineRule="auto"/>
        <w:jc w:val="both"/>
        <w:rPr>
          <w:rFonts w:ascii="Century Gothic" w:hAnsi="Century Gothic" w:cs="Arial"/>
          <w:lang w:val="es-ES_tradnl"/>
        </w:rPr>
      </w:pPr>
      <w:r w:rsidRPr="00E926D1">
        <w:rPr>
          <w:rFonts w:ascii="Century Gothic" w:hAnsi="Century Gothic" w:cs="Arial"/>
          <w:lang w:val="es-ES_tradnl"/>
        </w:rPr>
        <w:t>La proporción nacimientos registrados fue más alta en algunas</w:t>
      </w:r>
      <w:r>
        <w:rPr>
          <w:rFonts w:ascii="Century Gothic" w:hAnsi="Century Gothic" w:cs="Arial"/>
          <w:lang w:val="es-ES_tradnl"/>
        </w:rPr>
        <w:t xml:space="preserve"> </w:t>
      </w:r>
      <w:r w:rsidRPr="00E926D1">
        <w:rPr>
          <w:rFonts w:ascii="Century Gothic" w:hAnsi="Century Gothic" w:cs="Arial"/>
          <w:lang w:val="es-ES_tradnl"/>
        </w:rPr>
        <w:t>entidades federativas del país durante el periodo 2000-2014: Coahuila</w:t>
      </w:r>
      <w:r>
        <w:rPr>
          <w:rFonts w:ascii="Century Gothic" w:hAnsi="Century Gothic" w:cs="Arial"/>
          <w:lang w:val="es-ES_tradnl"/>
        </w:rPr>
        <w:t xml:space="preserve"> </w:t>
      </w:r>
      <w:r w:rsidRPr="00E926D1">
        <w:rPr>
          <w:rFonts w:ascii="Century Gothic" w:hAnsi="Century Gothic" w:cs="Arial"/>
          <w:lang w:val="es-ES_tradnl"/>
        </w:rPr>
        <w:t>registró 22.6% del total de partos entre mujeres menores de 20 años,</w:t>
      </w:r>
      <w:r>
        <w:rPr>
          <w:rFonts w:ascii="Century Gothic" w:hAnsi="Century Gothic" w:cs="Arial"/>
          <w:lang w:val="es-ES_tradnl"/>
        </w:rPr>
        <w:t xml:space="preserve"> </w:t>
      </w:r>
      <w:r w:rsidRPr="00E926D1">
        <w:rPr>
          <w:rFonts w:ascii="Century Gothic" w:hAnsi="Century Gothic" w:cs="Arial"/>
          <w:lang w:val="es-ES_tradnl"/>
        </w:rPr>
        <w:t>seguido por Chihuahua con 22.5%, Durango con 21.1%, Nayarit con</w:t>
      </w:r>
      <w:r>
        <w:rPr>
          <w:rFonts w:ascii="Century Gothic" w:hAnsi="Century Gothic" w:cs="Arial"/>
          <w:lang w:val="es-ES_tradnl"/>
        </w:rPr>
        <w:t xml:space="preserve"> </w:t>
      </w:r>
      <w:r w:rsidRPr="00E926D1">
        <w:rPr>
          <w:rFonts w:ascii="Century Gothic" w:hAnsi="Century Gothic" w:cs="Arial"/>
          <w:lang w:val="es-ES_tradnl"/>
        </w:rPr>
        <w:t>20.4%, Campeche con 20.2% y Sinaloa con 20.3%. En contraste, las</w:t>
      </w:r>
      <w:r>
        <w:rPr>
          <w:rFonts w:ascii="Century Gothic" w:hAnsi="Century Gothic" w:cs="Arial"/>
          <w:lang w:val="es-ES_tradnl"/>
        </w:rPr>
        <w:t xml:space="preserve"> </w:t>
      </w:r>
      <w:r w:rsidRPr="00E926D1">
        <w:rPr>
          <w:rFonts w:ascii="Century Gothic" w:hAnsi="Century Gothic" w:cs="Arial"/>
          <w:lang w:val="es-ES_tradnl"/>
        </w:rPr>
        <w:t>entidades con menor porcentaje de natalidad entre adolescentes</w:t>
      </w:r>
      <w:r>
        <w:rPr>
          <w:rFonts w:ascii="Century Gothic" w:hAnsi="Century Gothic" w:cs="Arial"/>
          <w:lang w:val="es-ES_tradnl"/>
        </w:rPr>
        <w:t xml:space="preserve"> </w:t>
      </w:r>
      <w:r w:rsidRPr="00E926D1">
        <w:rPr>
          <w:rFonts w:ascii="Century Gothic" w:hAnsi="Century Gothic" w:cs="Arial"/>
          <w:lang w:val="es-ES_tradnl"/>
        </w:rPr>
        <w:t>fueron Baja California Sur con 18%, Jalisco con 17%, Querétaro con</w:t>
      </w:r>
      <w:r>
        <w:rPr>
          <w:rFonts w:ascii="Century Gothic" w:hAnsi="Century Gothic" w:cs="Arial"/>
          <w:lang w:val="es-ES_tradnl"/>
        </w:rPr>
        <w:t xml:space="preserve"> </w:t>
      </w:r>
      <w:r w:rsidRPr="00E926D1">
        <w:rPr>
          <w:rFonts w:ascii="Century Gothic" w:hAnsi="Century Gothic" w:cs="Arial"/>
          <w:lang w:val="es-ES_tradnl"/>
        </w:rPr>
        <w:t>16% y la Ciudad de México con 15.8%.</w:t>
      </w:r>
      <w:r>
        <w:rPr>
          <w:rStyle w:val="Refdenotaalpie"/>
          <w:rFonts w:ascii="Century Gothic" w:hAnsi="Century Gothic" w:cs="Arial"/>
          <w:lang w:val="es-ES_tradnl"/>
        </w:rPr>
        <w:footnoteReference w:id="9"/>
      </w:r>
    </w:p>
    <w:p w14:paraId="394084C7" w14:textId="7654C8BA" w:rsidR="00E926D1" w:rsidRDefault="00E926D1" w:rsidP="00E926D1">
      <w:pPr>
        <w:spacing w:line="360" w:lineRule="auto"/>
        <w:jc w:val="both"/>
        <w:rPr>
          <w:rFonts w:ascii="Century Gothic" w:hAnsi="Century Gothic" w:cs="Arial"/>
          <w:lang w:val="es-ES_tradnl"/>
        </w:rPr>
      </w:pPr>
      <w:r w:rsidRPr="00E926D1">
        <w:rPr>
          <w:rFonts w:ascii="Century Gothic" w:hAnsi="Century Gothic" w:cs="Arial"/>
          <w:lang w:val="es-ES_tradnl"/>
        </w:rPr>
        <w:lastRenderedPageBreak/>
        <w:t>En el país se estima que uno de cada cinco alumbramientos es de</w:t>
      </w:r>
      <w:r>
        <w:rPr>
          <w:rFonts w:ascii="Century Gothic" w:hAnsi="Century Gothic" w:cs="Arial"/>
          <w:lang w:val="es-ES_tradnl"/>
        </w:rPr>
        <w:t xml:space="preserve"> </w:t>
      </w:r>
      <w:r w:rsidRPr="00E926D1">
        <w:rPr>
          <w:rFonts w:ascii="Century Gothic" w:hAnsi="Century Gothic" w:cs="Arial"/>
          <w:lang w:val="es-ES_tradnl"/>
        </w:rPr>
        <w:t>una mujer menor de 20 años de edad; la ENIM 2015 indicó que la</w:t>
      </w:r>
      <w:r>
        <w:rPr>
          <w:rFonts w:ascii="Century Gothic" w:hAnsi="Century Gothic" w:cs="Arial"/>
          <w:lang w:val="es-ES_tradnl"/>
        </w:rPr>
        <w:t xml:space="preserve"> </w:t>
      </w:r>
      <w:r w:rsidRPr="00E926D1">
        <w:rPr>
          <w:rFonts w:ascii="Century Gothic" w:hAnsi="Century Gothic" w:cs="Arial"/>
          <w:lang w:val="es-ES_tradnl"/>
        </w:rPr>
        <w:t>tasa de natalidad de adolescentes (entre 15 y 19 años) es de 88 en</w:t>
      </w:r>
      <w:r>
        <w:rPr>
          <w:rFonts w:ascii="Century Gothic" w:hAnsi="Century Gothic" w:cs="Arial"/>
          <w:lang w:val="es-ES_tradnl"/>
        </w:rPr>
        <w:t xml:space="preserve"> </w:t>
      </w:r>
      <w:r w:rsidRPr="00E926D1">
        <w:rPr>
          <w:rFonts w:ascii="Century Gothic" w:hAnsi="Century Gothic" w:cs="Arial"/>
          <w:lang w:val="es-ES_tradnl"/>
        </w:rPr>
        <w:t>áreas urbanas y de 93 en zonas rurales. Además, cerca del 40% de</w:t>
      </w:r>
      <w:r w:rsidR="00145838">
        <w:rPr>
          <w:rFonts w:ascii="Century Gothic" w:hAnsi="Century Gothic" w:cs="Arial"/>
          <w:lang w:val="es-ES_tradnl"/>
        </w:rPr>
        <w:t xml:space="preserve"> </w:t>
      </w:r>
      <w:r w:rsidRPr="00E926D1">
        <w:rPr>
          <w:rFonts w:ascii="Century Gothic" w:hAnsi="Century Gothic" w:cs="Arial"/>
          <w:lang w:val="es-ES_tradnl"/>
        </w:rPr>
        <w:t>los embarazos adolescentes se concentra en el segundo quintil de</w:t>
      </w:r>
      <w:r w:rsidR="00145838">
        <w:rPr>
          <w:rFonts w:ascii="Century Gothic" w:hAnsi="Century Gothic" w:cs="Arial"/>
          <w:lang w:val="es-ES_tradnl"/>
        </w:rPr>
        <w:t xml:space="preserve"> </w:t>
      </w:r>
      <w:r w:rsidRPr="00E926D1">
        <w:rPr>
          <w:rFonts w:ascii="Century Gothic" w:hAnsi="Century Gothic" w:cs="Arial"/>
          <w:lang w:val="es-ES_tradnl"/>
        </w:rPr>
        <w:t>pobreza</w:t>
      </w:r>
      <w:r w:rsidR="00145838">
        <w:rPr>
          <w:rStyle w:val="Refdenotaalpie"/>
          <w:rFonts w:ascii="Century Gothic" w:hAnsi="Century Gothic" w:cs="Arial"/>
          <w:lang w:val="es-ES_tradnl"/>
        </w:rPr>
        <w:footnoteReference w:id="10"/>
      </w:r>
      <w:r w:rsidRPr="00E926D1">
        <w:rPr>
          <w:rFonts w:ascii="Century Gothic" w:hAnsi="Century Gothic" w:cs="Arial"/>
          <w:lang w:val="es-ES_tradnl"/>
        </w:rPr>
        <w:t>.Gran parte de los factores de riesgo están directamente</w:t>
      </w:r>
      <w:r w:rsidR="00145838">
        <w:rPr>
          <w:rFonts w:ascii="Century Gothic" w:hAnsi="Century Gothic" w:cs="Arial"/>
          <w:lang w:val="es-ES_tradnl"/>
        </w:rPr>
        <w:t xml:space="preserve"> </w:t>
      </w:r>
      <w:r w:rsidRPr="00E926D1">
        <w:rPr>
          <w:rFonts w:ascii="Century Gothic" w:hAnsi="Century Gothic" w:cs="Arial"/>
          <w:lang w:val="es-ES_tradnl"/>
        </w:rPr>
        <w:t>relacionados con esta última, entre los cuales se encuentran efectos</w:t>
      </w:r>
      <w:r w:rsidR="00145838">
        <w:rPr>
          <w:rFonts w:ascii="Century Gothic" w:hAnsi="Century Gothic" w:cs="Arial"/>
          <w:lang w:val="es-ES_tradnl"/>
        </w:rPr>
        <w:t xml:space="preserve"> </w:t>
      </w:r>
      <w:r w:rsidRPr="00E926D1">
        <w:rPr>
          <w:rFonts w:ascii="Century Gothic" w:hAnsi="Century Gothic" w:cs="Arial"/>
          <w:lang w:val="es-ES_tradnl"/>
        </w:rPr>
        <w:t>intergeneracionales -adolescentes embarazadas que probablemente</w:t>
      </w:r>
      <w:r w:rsidR="00145838">
        <w:rPr>
          <w:rFonts w:ascii="Century Gothic" w:hAnsi="Century Gothic" w:cs="Arial"/>
          <w:lang w:val="es-ES_tradnl"/>
        </w:rPr>
        <w:t xml:space="preserve"> </w:t>
      </w:r>
      <w:r w:rsidRPr="00E926D1">
        <w:rPr>
          <w:rFonts w:ascii="Century Gothic" w:hAnsi="Century Gothic" w:cs="Arial"/>
          <w:lang w:val="es-ES_tradnl"/>
        </w:rPr>
        <w:t>son hijas de madres adolescentes- debut sexual temprano y violencia</w:t>
      </w:r>
      <w:r w:rsidR="00145838">
        <w:rPr>
          <w:rFonts w:ascii="Century Gothic" w:hAnsi="Century Gothic" w:cs="Arial"/>
          <w:lang w:val="es-ES_tradnl"/>
        </w:rPr>
        <w:t xml:space="preserve"> </w:t>
      </w:r>
      <w:r w:rsidRPr="00E926D1">
        <w:rPr>
          <w:rFonts w:ascii="Century Gothic" w:hAnsi="Century Gothic" w:cs="Arial"/>
          <w:lang w:val="es-ES_tradnl"/>
        </w:rPr>
        <w:t>de la pareja o abuso sexual</w:t>
      </w:r>
      <w:r w:rsidR="00145838">
        <w:rPr>
          <w:rStyle w:val="Refdenotaalpie"/>
          <w:rFonts w:ascii="Century Gothic" w:hAnsi="Century Gothic" w:cs="Arial"/>
          <w:lang w:val="es-ES_tradnl"/>
        </w:rPr>
        <w:footnoteReference w:id="11"/>
      </w:r>
      <w:r w:rsidRPr="00E926D1">
        <w:rPr>
          <w:rFonts w:ascii="Century Gothic" w:hAnsi="Century Gothic" w:cs="Arial"/>
          <w:lang w:val="es-ES_tradnl"/>
        </w:rPr>
        <w:t>.</w:t>
      </w:r>
    </w:p>
    <w:p w14:paraId="2DA57EEF" w14:textId="410357F0" w:rsidR="00145838" w:rsidRDefault="00145838" w:rsidP="00E926D1">
      <w:pPr>
        <w:spacing w:line="360" w:lineRule="auto"/>
        <w:jc w:val="both"/>
        <w:rPr>
          <w:rFonts w:ascii="Century Gothic" w:hAnsi="Century Gothic" w:cs="Arial"/>
          <w:lang w:val="es-ES_tradnl"/>
        </w:rPr>
      </w:pPr>
    </w:p>
    <w:p w14:paraId="3851661C" w14:textId="75702554" w:rsidR="00145838" w:rsidRDefault="00145838" w:rsidP="00145838">
      <w:pPr>
        <w:spacing w:line="360" w:lineRule="auto"/>
        <w:jc w:val="both"/>
        <w:rPr>
          <w:rFonts w:ascii="Century Gothic" w:hAnsi="Century Gothic" w:cs="Arial"/>
          <w:lang w:val="es-ES_tradnl"/>
        </w:rPr>
      </w:pPr>
      <w:r w:rsidRPr="00145838">
        <w:rPr>
          <w:rFonts w:ascii="Century Gothic" w:hAnsi="Century Gothic" w:cs="Arial"/>
          <w:lang w:val="es-ES_tradnl"/>
        </w:rPr>
        <w:t>Se estima que una de cada dos adolescentes de entre 12 y 19 años de</w:t>
      </w:r>
      <w:r>
        <w:rPr>
          <w:rFonts w:ascii="Century Gothic" w:hAnsi="Century Gothic" w:cs="Arial"/>
          <w:lang w:val="es-ES_tradnl"/>
        </w:rPr>
        <w:t xml:space="preserve"> </w:t>
      </w:r>
      <w:r w:rsidRPr="00145838">
        <w:rPr>
          <w:rFonts w:ascii="Century Gothic" w:hAnsi="Century Gothic" w:cs="Arial"/>
          <w:lang w:val="es-ES_tradnl"/>
        </w:rPr>
        <w:t>edad que inicia su vida sexual se embaraza por causas relacionadas</w:t>
      </w:r>
      <w:r>
        <w:rPr>
          <w:rFonts w:ascii="Century Gothic" w:hAnsi="Century Gothic" w:cs="Arial"/>
          <w:lang w:val="es-ES_tradnl"/>
        </w:rPr>
        <w:t xml:space="preserve"> </w:t>
      </w:r>
      <w:r w:rsidRPr="00145838">
        <w:rPr>
          <w:rFonts w:ascii="Century Gothic" w:hAnsi="Century Gothic" w:cs="Arial"/>
          <w:lang w:val="es-ES_tradnl"/>
        </w:rPr>
        <w:t>con la violencia sexual, nupcialidad temprana, omisión del uso</w:t>
      </w:r>
      <w:r>
        <w:rPr>
          <w:rFonts w:ascii="Century Gothic" w:hAnsi="Century Gothic" w:cs="Arial"/>
          <w:lang w:val="es-ES_tradnl"/>
        </w:rPr>
        <w:t xml:space="preserve"> </w:t>
      </w:r>
      <w:r w:rsidRPr="00145838">
        <w:rPr>
          <w:rFonts w:ascii="Century Gothic" w:hAnsi="Century Gothic" w:cs="Arial"/>
          <w:lang w:val="es-ES_tradnl"/>
        </w:rPr>
        <w:t>o uso incorrecto de anticonceptivos o falta de educación integral</w:t>
      </w:r>
      <w:r>
        <w:rPr>
          <w:rFonts w:ascii="Century Gothic" w:hAnsi="Century Gothic" w:cs="Arial"/>
          <w:lang w:val="es-ES_tradnl"/>
        </w:rPr>
        <w:t xml:space="preserve"> </w:t>
      </w:r>
      <w:r w:rsidRPr="00145838">
        <w:rPr>
          <w:rFonts w:ascii="Century Gothic" w:hAnsi="Century Gothic" w:cs="Arial"/>
          <w:lang w:val="es-ES_tradnl"/>
        </w:rPr>
        <w:t>en sexualidad. La ENADID indica que 48.5% de los embarazos</w:t>
      </w:r>
      <w:r>
        <w:rPr>
          <w:rFonts w:ascii="Century Gothic" w:hAnsi="Century Gothic" w:cs="Arial"/>
          <w:lang w:val="es-ES_tradnl"/>
        </w:rPr>
        <w:t xml:space="preserve"> </w:t>
      </w:r>
      <w:r w:rsidRPr="00145838">
        <w:rPr>
          <w:rFonts w:ascii="Century Gothic" w:hAnsi="Century Gothic" w:cs="Arial"/>
          <w:lang w:val="es-ES_tradnl"/>
        </w:rPr>
        <w:t>en adolescentes no son planeados; sin embargo, en numerosas</w:t>
      </w:r>
      <w:r>
        <w:rPr>
          <w:rFonts w:ascii="Century Gothic" w:hAnsi="Century Gothic" w:cs="Arial"/>
          <w:lang w:val="es-ES_tradnl"/>
        </w:rPr>
        <w:t xml:space="preserve"> </w:t>
      </w:r>
      <w:r w:rsidRPr="00145838">
        <w:rPr>
          <w:rFonts w:ascii="Century Gothic" w:hAnsi="Century Gothic" w:cs="Arial"/>
          <w:lang w:val="es-ES_tradnl"/>
        </w:rPr>
        <w:t>ocasiones las adolescentes desean un embarazo ante la falta de otras</w:t>
      </w:r>
      <w:r>
        <w:rPr>
          <w:rFonts w:ascii="Century Gothic" w:hAnsi="Century Gothic" w:cs="Arial"/>
          <w:lang w:val="es-ES_tradnl"/>
        </w:rPr>
        <w:t xml:space="preserve"> </w:t>
      </w:r>
      <w:r w:rsidRPr="00145838">
        <w:rPr>
          <w:rFonts w:ascii="Century Gothic" w:hAnsi="Century Gothic" w:cs="Arial"/>
          <w:lang w:val="es-ES_tradnl"/>
        </w:rPr>
        <w:t>oportunidades, o viven en contextos donde la maternidad es el único</w:t>
      </w:r>
      <w:r>
        <w:rPr>
          <w:rFonts w:ascii="Century Gothic" w:hAnsi="Century Gothic" w:cs="Arial"/>
          <w:lang w:val="es-ES_tradnl"/>
        </w:rPr>
        <w:t xml:space="preserve"> </w:t>
      </w:r>
      <w:r w:rsidRPr="00145838">
        <w:rPr>
          <w:rFonts w:ascii="Century Gothic" w:hAnsi="Century Gothic" w:cs="Arial"/>
          <w:lang w:val="es-ES_tradnl"/>
        </w:rPr>
        <w:t>papel valorado de la mujer</w:t>
      </w:r>
      <w:r>
        <w:rPr>
          <w:rStyle w:val="Refdenotaalpie"/>
          <w:rFonts w:ascii="Century Gothic" w:hAnsi="Century Gothic" w:cs="Arial"/>
          <w:lang w:val="es-ES_tradnl"/>
        </w:rPr>
        <w:footnoteReference w:id="12"/>
      </w:r>
    </w:p>
    <w:p w14:paraId="6A55023F" w14:textId="5A44191B" w:rsidR="00145838" w:rsidRDefault="00145838" w:rsidP="00145838">
      <w:pPr>
        <w:spacing w:line="360" w:lineRule="auto"/>
        <w:jc w:val="both"/>
        <w:rPr>
          <w:rFonts w:ascii="Century Gothic" w:hAnsi="Century Gothic" w:cs="Arial"/>
          <w:lang w:val="es-ES_tradnl"/>
        </w:rPr>
      </w:pPr>
    </w:p>
    <w:p w14:paraId="01840212" w14:textId="694721F6" w:rsidR="00145838" w:rsidRDefault="00145838" w:rsidP="00145838">
      <w:pPr>
        <w:spacing w:line="360" w:lineRule="auto"/>
        <w:jc w:val="both"/>
        <w:rPr>
          <w:rFonts w:ascii="Century Gothic" w:hAnsi="Century Gothic" w:cs="Arial"/>
          <w:lang w:val="es-ES_tradnl"/>
        </w:rPr>
      </w:pPr>
      <w:r w:rsidRPr="00145838">
        <w:rPr>
          <w:rFonts w:ascii="Century Gothic" w:hAnsi="Century Gothic" w:cs="Arial"/>
          <w:lang w:val="es-ES_tradnl"/>
        </w:rPr>
        <w:t>Adicionalmente, el embarazo en adolescentes repercute en la</w:t>
      </w:r>
      <w:r>
        <w:rPr>
          <w:rFonts w:ascii="Century Gothic" w:hAnsi="Century Gothic" w:cs="Arial"/>
          <w:lang w:val="es-ES_tradnl"/>
        </w:rPr>
        <w:t xml:space="preserve"> </w:t>
      </w:r>
      <w:r w:rsidRPr="00145838">
        <w:rPr>
          <w:rFonts w:ascii="Century Gothic" w:hAnsi="Century Gothic" w:cs="Arial"/>
          <w:lang w:val="es-ES_tradnl"/>
        </w:rPr>
        <w:t>permanencia en las aulas: más del 90% de las madres entre 12 y 19</w:t>
      </w:r>
      <w:r>
        <w:rPr>
          <w:rFonts w:ascii="Century Gothic" w:hAnsi="Century Gothic" w:cs="Arial"/>
          <w:lang w:val="es-ES_tradnl"/>
        </w:rPr>
        <w:t xml:space="preserve"> </w:t>
      </w:r>
      <w:r w:rsidRPr="00145838">
        <w:rPr>
          <w:rFonts w:ascii="Century Gothic" w:hAnsi="Century Gothic" w:cs="Arial"/>
          <w:lang w:val="es-ES_tradnl"/>
        </w:rPr>
        <w:t>años no asiste a clases</w:t>
      </w:r>
      <w:r>
        <w:rPr>
          <w:rStyle w:val="Refdenotaalpie"/>
          <w:rFonts w:ascii="Century Gothic" w:hAnsi="Century Gothic" w:cs="Arial"/>
          <w:lang w:val="es-ES_tradnl"/>
        </w:rPr>
        <w:footnoteReference w:id="13"/>
      </w:r>
      <w:r w:rsidRPr="00145838">
        <w:rPr>
          <w:rFonts w:ascii="Century Gothic" w:hAnsi="Century Gothic" w:cs="Arial"/>
          <w:lang w:val="es-ES_tradnl"/>
        </w:rPr>
        <w:t>. Cabe mencionar que la relación entre el</w:t>
      </w:r>
      <w:r>
        <w:rPr>
          <w:rFonts w:ascii="Century Gothic" w:hAnsi="Century Gothic" w:cs="Arial"/>
          <w:lang w:val="es-ES_tradnl"/>
        </w:rPr>
        <w:t xml:space="preserve"> </w:t>
      </w:r>
      <w:r w:rsidRPr="00145838">
        <w:rPr>
          <w:rFonts w:ascii="Century Gothic" w:hAnsi="Century Gothic" w:cs="Arial"/>
          <w:lang w:val="es-ES_tradnl"/>
        </w:rPr>
        <w:t>embarazo de adolescentes y los bajos niveles de educación no sólo</w:t>
      </w:r>
      <w:r>
        <w:rPr>
          <w:rFonts w:ascii="Century Gothic" w:hAnsi="Century Gothic" w:cs="Arial"/>
          <w:lang w:val="es-ES_tradnl"/>
        </w:rPr>
        <w:t xml:space="preserve"> </w:t>
      </w:r>
      <w:r w:rsidRPr="00145838">
        <w:rPr>
          <w:rFonts w:ascii="Century Gothic" w:hAnsi="Century Gothic" w:cs="Arial"/>
          <w:lang w:val="es-ES_tradnl"/>
        </w:rPr>
        <w:t xml:space="preserve">afecta la asistencia </w:t>
      </w:r>
      <w:r w:rsidRPr="00145838">
        <w:rPr>
          <w:rFonts w:ascii="Century Gothic" w:hAnsi="Century Gothic" w:cs="Arial"/>
          <w:lang w:val="es-ES_tradnl"/>
        </w:rPr>
        <w:lastRenderedPageBreak/>
        <w:t>escolar, matrícula y conclusión de estudios de</w:t>
      </w:r>
      <w:r>
        <w:rPr>
          <w:rFonts w:ascii="Century Gothic" w:hAnsi="Century Gothic" w:cs="Arial"/>
          <w:lang w:val="es-ES_tradnl"/>
        </w:rPr>
        <w:t xml:space="preserve"> </w:t>
      </w:r>
      <w:r w:rsidRPr="00145838">
        <w:rPr>
          <w:rFonts w:ascii="Century Gothic" w:hAnsi="Century Gothic" w:cs="Arial"/>
          <w:lang w:val="es-ES_tradnl"/>
        </w:rPr>
        <w:t>las madres, sino también a sus hijos, quienes tienen una más alta</w:t>
      </w:r>
      <w:r>
        <w:rPr>
          <w:rFonts w:ascii="Century Gothic" w:hAnsi="Century Gothic" w:cs="Arial"/>
          <w:lang w:val="es-ES_tradnl"/>
        </w:rPr>
        <w:t xml:space="preserve"> </w:t>
      </w:r>
      <w:r w:rsidRPr="00145838">
        <w:rPr>
          <w:rFonts w:ascii="Century Gothic" w:hAnsi="Century Gothic" w:cs="Arial"/>
          <w:lang w:val="es-ES_tradnl"/>
        </w:rPr>
        <w:t>probabilidad de contar con menores niveles de apoyo emocional y</w:t>
      </w:r>
      <w:r>
        <w:rPr>
          <w:rFonts w:ascii="Century Gothic" w:hAnsi="Century Gothic" w:cs="Arial"/>
          <w:lang w:val="es-ES_tradnl"/>
        </w:rPr>
        <w:t xml:space="preserve"> </w:t>
      </w:r>
      <w:r w:rsidRPr="00145838">
        <w:rPr>
          <w:rFonts w:ascii="Century Gothic" w:hAnsi="Century Gothic" w:cs="Arial"/>
          <w:lang w:val="es-ES_tradnl"/>
        </w:rPr>
        <w:t>estimulación cognitiva, así como menores habilidades y capacidad de</w:t>
      </w:r>
      <w:r>
        <w:rPr>
          <w:rFonts w:ascii="Century Gothic" w:hAnsi="Century Gothic" w:cs="Arial"/>
          <w:lang w:val="es-ES_tradnl"/>
        </w:rPr>
        <w:t xml:space="preserve"> </w:t>
      </w:r>
      <w:r w:rsidRPr="00145838">
        <w:rPr>
          <w:rFonts w:ascii="Century Gothic" w:hAnsi="Century Gothic" w:cs="Arial"/>
          <w:lang w:val="es-ES_tradnl"/>
        </w:rPr>
        <w:t>aprendizaje durante la infancia</w:t>
      </w:r>
      <w:r>
        <w:rPr>
          <w:rFonts w:ascii="Century Gothic" w:hAnsi="Century Gothic" w:cs="Arial"/>
          <w:lang w:val="es-ES_tradnl"/>
        </w:rPr>
        <w:t>.</w:t>
      </w:r>
    </w:p>
    <w:p w14:paraId="3B58AB44" w14:textId="53AF22C9" w:rsidR="00E926D1" w:rsidRDefault="00E926D1" w:rsidP="003317B0">
      <w:pPr>
        <w:spacing w:line="360" w:lineRule="auto"/>
        <w:jc w:val="both"/>
        <w:rPr>
          <w:rFonts w:ascii="Century Gothic" w:hAnsi="Century Gothic" w:cs="Arial"/>
          <w:lang w:val="es-ES_tradnl"/>
        </w:rPr>
      </w:pPr>
    </w:p>
    <w:p w14:paraId="35769050" w14:textId="44FF10DE" w:rsidR="00A46CA5" w:rsidRPr="000458B7" w:rsidRDefault="003049C8" w:rsidP="00087767">
      <w:pPr>
        <w:spacing w:line="360" w:lineRule="auto"/>
        <w:jc w:val="both"/>
        <w:rPr>
          <w:rFonts w:ascii="Century Gothic" w:hAnsi="Century Gothic" w:cs="Arial"/>
          <w:lang w:val="es-ES_tradnl"/>
        </w:rPr>
      </w:pPr>
      <w:r w:rsidRPr="000458B7">
        <w:rPr>
          <w:rFonts w:ascii="Century Gothic" w:hAnsi="Century Gothic" w:cs="Arial"/>
          <w:lang w:val="es-ES_tradnl"/>
        </w:rPr>
        <w:t>Por su parte Comité para la Eliminación de la Discriminación contra la Mujer, en las Observaciones finales de fecha 7 de agosto de 2012</w:t>
      </w:r>
      <w:r w:rsidRPr="000458B7">
        <w:rPr>
          <w:rStyle w:val="Refdenotaalpie"/>
          <w:rFonts w:ascii="Century Gothic" w:hAnsi="Century Gothic" w:cs="Arial"/>
          <w:lang w:val="es-ES_tradnl"/>
        </w:rPr>
        <w:footnoteReference w:id="14"/>
      </w:r>
      <w:r w:rsidRPr="000458B7">
        <w:rPr>
          <w:rFonts w:ascii="Century Gothic" w:hAnsi="Century Gothic" w:cs="Arial"/>
          <w:lang w:val="es-ES_tradnl"/>
        </w:rPr>
        <w:t>, respecto al informe rendido por el estado mexicano, el comité muestra su preocupación en cuanto a la creciente violencia sexual, en su párrafo 14 específicamente el comité insta al estado mexicano para que “…</w:t>
      </w:r>
      <w:r w:rsidRPr="000458B7">
        <w:rPr>
          <w:rFonts w:ascii="Century Gothic" w:hAnsi="Century Gothic" w:cs="Arial"/>
          <w:i/>
          <w:iCs/>
          <w:lang w:val="es-ES_tradnl"/>
        </w:rPr>
        <w:t>Adoptar las medidas necesarias para eliminar las incoherencias en los marcos jurídicos entre los planos federal, estatal y municipal, entre otras cosas integrando en la legislación estatal y municipal pertinente el principio de la no discriminación y la igualdad entre hombres y mujeres y derogando las disposiciones discriminatorias contra las mujeres, de conformidad con el artículo 2 g) de la Convención, y proporcionando definiciones y sanciones coherentes, entre otras cosas sobre la violación</w:t>
      </w:r>
      <w:r w:rsidRPr="000458B7">
        <w:rPr>
          <w:rFonts w:ascii="Century Gothic" w:hAnsi="Century Gothic" w:cs="Arial"/>
          <w:lang w:val="es-ES_tradnl"/>
        </w:rPr>
        <w:t>…”</w:t>
      </w:r>
      <w:r w:rsidR="009F69B3" w:rsidRPr="000458B7">
        <w:rPr>
          <w:rFonts w:ascii="Century Gothic" w:hAnsi="Century Gothic" w:cs="Arial"/>
          <w:lang w:val="es-ES_tradnl"/>
        </w:rPr>
        <w:t xml:space="preserve"> </w:t>
      </w:r>
    </w:p>
    <w:p w14:paraId="58E1D63A" w14:textId="77777777" w:rsidR="00D444EC" w:rsidRPr="000458B7" w:rsidRDefault="00D444EC" w:rsidP="00D444EC">
      <w:pPr>
        <w:spacing w:line="360" w:lineRule="auto"/>
        <w:jc w:val="both"/>
        <w:rPr>
          <w:rFonts w:ascii="Century Gothic" w:hAnsi="Century Gothic" w:cs="Arial"/>
          <w:lang w:val="es-ES_tradnl"/>
        </w:rPr>
      </w:pPr>
    </w:p>
    <w:p w14:paraId="02FBEBAC" w14:textId="6AE460CF" w:rsidR="00D444EC" w:rsidRPr="000458B7" w:rsidRDefault="00D444EC" w:rsidP="00D444EC">
      <w:pPr>
        <w:spacing w:line="360" w:lineRule="auto"/>
        <w:jc w:val="both"/>
        <w:rPr>
          <w:rFonts w:ascii="Century Gothic" w:hAnsi="Century Gothic" w:cs="Arial"/>
          <w:lang w:val="es-ES_tradnl"/>
        </w:rPr>
      </w:pPr>
      <w:r w:rsidRPr="000458B7">
        <w:rPr>
          <w:rFonts w:ascii="Century Gothic" w:hAnsi="Century Gothic" w:cs="Arial"/>
          <w:lang w:val="es-ES_tradnl"/>
        </w:rPr>
        <w:t xml:space="preserve">Estudios de la Comisión Nacional para Prevenir y Erradicar la Violencia contra las Mujeres, CONAVIM, sostienen que el delito de Estupro, es una expresión de la violencia sexual y comunitaria y se debe considerar como una conducta típica de violación para cumplir con los compromisos internacionales y castigar a las personas adultas que sabiendo la situación de indefensión e inmadurez que presentan niñas y niños frente a ellos, deciden con o sin su consentimiento y a través de violencia tener actos sexuales. Con ello se busca, según la CONAVIM, prevenir que las y los </w:t>
      </w:r>
      <w:r w:rsidRPr="000458B7">
        <w:rPr>
          <w:rFonts w:ascii="Century Gothic" w:hAnsi="Century Gothic" w:cs="Arial"/>
          <w:lang w:val="es-ES_tradnl"/>
        </w:rPr>
        <w:lastRenderedPageBreak/>
        <w:t>adolescentes sean víctimas de coacción, no se dañe su proyecto de vida, libertad e integridad y se sancione la conducta del agresor de manera proporcional al daño causado</w:t>
      </w:r>
    </w:p>
    <w:p w14:paraId="307649EF" w14:textId="1FFC2A32" w:rsidR="009F69B3" w:rsidRPr="000458B7" w:rsidRDefault="009F69B3" w:rsidP="00087767">
      <w:pPr>
        <w:spacing w:line="360" w:lineRule="auto"/>
        <w:jc w:val="both"/>
        <w:rPr>
          <w:rFonts w:ascii="Century Gothic" w:hAnsi="Century Gothic" w:cs="Arial"/>
          <w:lang w:val="es-ES_tradnl"/>
        </w:rPr>
      </w:pPr>
    </w:p>
    <w:p w14:paraId="27EB8D0B" w14:textId="79209A18" w:rsidR="00A3793D" w:rsidRPr="000458B7" w:rsidRDefault="002F6BA2" w:rsidP="002F6BA2">
      <w:pPr>
        <w:spacing w:line="360" w:lineRule="auto"/>
        <w:jc w:val="both"/>
        <w:rPr>
          <w:rFonts w:ascii="Century Gothic" w:hAnsi="Century Gothic" w:cs="Arial"/>
          <w:lang w:val="es-ES_tradnl"/>
        </w:rPr>
      </w:pPr>
      <w:r w:rsidRPr="000458B7">
        <w:rPr>
          <w:rFonts w:ascii="Century Gothic" w:hAnsi="Century Gothic" w:cs="Arial"/>
          <w:lang w:val="es-ES_tradnl"/>
        </w:rPr>
        <w:t xml:space="preserve">Por su parte en nuestra </w:t>
      </w:r>
      <w:r w:rsidR="00F9231A" w:rsidRPr="000458B7">
        <w:rPr>
          <w:rFonts w:ascii="Century Gothic" w:hAnsi="Century Gothic" w:cs="Arial"/>
          <w:lang w:val="es-ES_tradnl"/>
        </w:rPr>
        <w:t xml:space="preserve">Constitución Política De Los Estado Unidos Mexicanos </w:t>
      </w:r>
      <w:r w:rsidRPr="000458B7">
        <w:rPr>
          <w:rFonts w:ascii="Century Gothic" w:hAnsi="Century Gothic" w:cs="Arial"/>
          <w:lang w:val="es-ES_tradnl"/>
        </w:rPr>
        <w:t xml:space="preserve">en el </w:t>
      </w:r>
      <w:r w:rsidR="00995D69" w:rsidRPr="000458B7">
        <w:rPr>
          <w:rFonts w:ascii="Century Gothic" w:hAnsi="Century Gothic" w:cs="Arial"/>
          <w:lang w:val="es-ES_tradnl"/>
        </w:rPr>
        <w:t>artículo</w:t>
      </w:r>
      <w:r w:rsidRPr="000458B7">
        <w:rPr>
          <w:rFonts w:ascii="Century Gothic" w:hAnsi="Century Gothic" w:cs="Arial"/>
          <w:lang w:val="es-ES_tradnl"/>
        </w:rPr>
        <w:t xml:space="preserve"> 4 establece la obligación del estado por velar por interés superior de la infancia, estableciendo de manera concreta que “…</w:t>
      </w:r>
      <w:r w:rsidRPr="000458B7">
        <w:rPr>
          <w:rFonts w:ascii="Century Gothic" w:hAnsi="Century Gothic" w:cs="Arial"/>
          <w:i/>
          <w:iCs/>
          <w:lang w:val="es-ES_tradnl"/>
        </w:rPr>
        <w:t>En todas las decisiones y actuaciones del Estado se velará y cumplirá con el principio del interés superior de la niñez, garantizando de manera plena sus derechos…”</w:t>
      </w:r>
      <w:r w:rsidR="00F9231A" w:rsidRPr="000458B7">
        <w:rPr>
          <w:rStyle w:val="Refdenotaalpie"/>
          <w:rFonts w:ascii="Century Gothic" w:hAnsi="Century Gothic" w:cs="Arial"/>
          <w:i/>
          <w:iCs/>
          <w:lang w:val="es-ES_tradnl"/>
        </w:rPr>
        <w:footnoteReference w:id="15"/>
      </w:r>
    </w:p>
    <w:p w14:paraId="0689CF87" w14:textId="6A7A36C1" w:rsidR="00A3793D" w:rsidRPr="000458B7" w:rsidRDefault="00A3793D" w:rsidP="00087767">
      <w:pPr>
        <w:spacing w:line="360" w:lineRule="auto"/>
        <w:jc w:val="both"/>
        <w:rPr>
          <w:rFonts w:ascii="Century Gothic" w:hAnsi="Century Gothic" w:cs="Arial"/>
          <w:lang w:val="es-ES_tradnl"/>
        </w:rPr>
      </w:pPr>
    </w:p>
    <w:p w14:paraId="6D938106" w14:textId="69CF665B" w:rsidR="00F9231A" w:rsidRPr="000458B7" w:rsidRDefault="006E473D" w:rsidP="00F9231A">
      <w:pPr>
        <w:spacing w:line="360" w:lineRule="auto"/>
        <w:jc w:val="both"/>
        <w:rPr>
          <w:rFonts w:ascii="Century Gothic" w:hAnsi="Century Gothic" w:cs="Arial"/>
          <w:lang w:val="es-ES_tradnl"/>
        </w:rPr>
      </w:pPr>
      <w:r w:rsidRPr="000458B7">
        <w:rPr>
          <w:rFonts w:ascii="Century Gothic" w:hAnsi="Century Gothic" w:cs="Arial"/>
          <w:lang w:val="es-ES_tradnl"/>
        </w:rPr>
        <w:t>De igual manera la</w:t>
      </w:r>
      <w:r w:rsidR="00F9231A" w:rsidRPr="000458B7">
        <w:rPr>
          <w:rFonts w:ascii="Century Gothic" w:hAnsi="Century Gothic" w:cs="Arial"/>
          <w:lang w:val="es-ES_tradnl"/>
        </w:rPr>
        <w:t xml:space="preserve"> Constitución Política Del Estado De Chihuahua, en su artículo cuarto también señala “…</w:t>
      </w:r>
      <w:r w:rsidR="00F9231A" w:rsidRPr="000458B7">
        <w:rPr>
          <w:rFonts w:ascii="Century Gothic" w:hAnsi="Century Gothic" w:cs="Arial"/>
          <w:i/>
          <w:iCs/>
          <w:lang w:val="es-ES_tradnl"/>
        </w:rPr>
        <w:t>En todas las decisiones y actuaciones del Estado se velará y cumplirá con el principio del interés superior de la infancia.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sidR="00F9231A" w:rsidRPr="000458B7">
        <w:rPr>
          <w:rFonts w:ascii="Century Gothic" w:hAnsi="Century Gothic" w:cs="Arial"/>
          <w:lang w:val="es-ES_tradnl"/>
        </w:rPr>
        <w:t>”</w:t>
      </w:r>
    </w:p>
    <w:p w14:paraId="27E53A59" w14:textId="5106222E" w:rsidR="00A3793D" w:rsidRPr="000458B7" w:rsidRDefault="00A3793D" w:rsidP="00087767">
      <w:pPr>
        <w:spacing w:line="360" w:lineRule="auto"/>
        <w:jc w:val="both"/>
        <w:rPr>
          <w:rFonts w:ascii="Century Gothic" w:hAnsi="Century Gothic" w:cs="Arial"/>
          <w:lang w:val="es-ES_tradnl"/>
        </w:rPr>
      </w:pPr>
    </w:p>
    <w:p w14:paraId="030BB69F" w14:textId="0FB76DEB" w:rsidR="00076B86" w:rsidRPr="000458B7" w:rsidRDefault="00076B86" w:rsidP="00D01480">
      <w:pPr>
        <w:spacing w:line="360" w:lineRule="auto"/>
        <w:jc w:val="both"/>
        <w:rPr>
          <w:rFonts w:ascii="Century Gothic" w:hAnsi="Century Gothic" w:cs="Arial"/>
          <w:lang w:val="es-ES_tradnl"/>
        </w:rPr>
      </w:pPr>
      <w:r w:rsidRPr="000458B7">
        <w:rPr>
          <w:rFonts w:ascii="Century Gothic" w:hAnsi="Century Gothic" w:cs="Arial"/>
          <w:lang w:val="es-ES_tradnl"/>
        </w:rPr>
        <w:t>También encontramos en los artículos 46 y 47</w:t>
      </w:r>
      <w:r w:rsidR="006E473D" w:rsidRPr="000458B7">
        <w:rPr>
          <w:rFonts w:ascii="Century Gothic" w:hAnsi="Century Gothic" w:cs="Arial"/>
          <w:lang w:val="es-ES_tradnl"/>
        </w:rPr>
        <w:t xml:space="preserve"> de la Ley General De Los Derechos De Niñas, Niños Y Adolescentes</w:t>
      </w:r>
      <w:r w:rsidRPr="000458B7">
        <w:rPr>
          <w:rFonts w:ascii="Century Gothic" w:hAnsi="Century Gothic" w:cs="Arial"/>
          <w:lang w:val="es-ES_tradnl"/>
        </w:rPr>
        <w:t xml:space="preserve"> establece la obligación del </w:t>
      </w:r>
      <w:r w:rsidR="000458B7" w:rsidRPr="000458B7">
        <w:rPr>
          <w:rFonts w:ascii="Century Gothic" w:hAnsi="Century Gothic" w:cs="Arial"/>
          <w:lang w:val="es-ES_tradnl"/>
        </w:rPr>
        <w:t>E</w:t>
      </w:r>
      <w:r w:rsidR="00403C6B" w:rsidRPr="000458B7">
        <w:rPr>
          <w:rFonts w:ascii="Century Gothic" w:hAnsi="Century Gothic" w:cs="Arial"/>
          <w:lang w:val="es-ES_tradnl"/>
        </w:rPr>
        <w:t xml:space="preserve">stado </w:t>
      </w:r>
      <w:r w:rsidRPr="000458B7">
        <w:rPr>
          <w:rFonts w:ascii="Century Gothic" w:hAnsi="Century Gothic" w:cs="Arial"/>
          <w:lang w:val="es-ES_tradnl"/>
        </w:rPr>
        <w:t xml:space="preserve">de garantizar </w:t>
      </w:r>
      <w:r w:rsidR="00D01480" w:rsidRPr="000458B7">
        <w:rPr>
          <w:rFonts w:ascii="Century Gothic" w:hAnsi="Century Gothic" w:cs="Arial"/>
          <w:lang w:val="es-ES_tradnl"/>
        </w:rPr>
        <w:t xml:space="preserve">los derechos de la infancia, priorizando el interés superior de </w:t>
      </w:r>
      <w:r w:rsidR="006E473D" w:rsidRPr="000458B7">
        <w:rPr>
          <w:rFonts w:ascii="Century Gothic" w:hAnsi="Century Gothic" w:cs="Arial"/>
          <w:lang w:val="es-ES_tradnl"/>
        </w:rPr>
        <w:t>esta</w:t>
      </w:r>
      <w:r w:rsidR="00D01480" w:rsidRPr="000458B7">
        <w:rPr>
          <w:rFonts w:ascii="Century Gothic" w:hAnsi="Century Gothic" w:cs="Arial"/>
          <w:lang w:val="es-ES_tradnl"/>
        </w:rPr>
        <w:t>, estableciendo específicamente en su artículo 46 “…</w:t>
      </w:r>
      <w:r w:rsidR="00D01480" w:rsidRPr="000458B7">
        <w:rPr>
          <w:rFonts w:ascii="Century Gothic" w:hAnsi="Century Gothic" w:cs="Arial"/>
          <w:i/>
          <w:iCs/>
          <w:lang w:val="es-ES_tradnl"/>
        </w:rPr>
        <w:t>Niñas, niños y adolescentes tienen derecho a vivir una vida libre de toda forma de violencia y a que se resguarde su integridad personal, a fin de lograr las mejores condiciones de bienestar y el libre desarrollo de su personalidad</w:t>
      </w:r>
      <w:r w:rsidR="00D01480" w:rsidRPr="000458B7">
        <w:rPr>
          <w:rFonts w:ascii="Century Gothic" w:hAnsi="Century Gothic" w:cs="Arial"/>
          <w:lang w:val="es-ES_tradnl"/>
        </w:rPr>
        <w:t xml:space="preserve">…” </w:t>
      </w:r>
      <w:r w:rsidR="00D01480" w:rsidRPr="000458B7">
        <w:rPr>
          <w:rFonts w:ascii="Century Gothic" w:hAnsi="Century Gothic" w:cs="Arial"/>
          <w:lang w:val="es-ES_tradnl"/>
        </w:rPr>
        <w:lastRenderedPageBreak/>
        <w:t>estableciendo además  en su articulo 47 “…</w:t>
      </w:r>
      <w:r w:rsidR="00D01480" w:rsidRPr="000458B7">
        <w:rPr>
          <w:rFonts w:ascii="Century Gothic" w:hAnsi="Century Gothic" w:cs="Arial"/>
          <w:i/>
          <w:iCs/>
        </w:rPr>
        <w:t>Las autoridades federales, de las entidades federativas, municipales y de las demarcaciones territoriales de la Ciudad de México, en el ámbito de sus respectivas competencias, están obligadas a tomar las medidas necesarias para prevenir, atender y sancionar los casos en que niñas, niños o adolescentes se vean afectados por…</w:t>
      </w:r>
      <w:r w:rsidR="00D35947" w:rsidRPr="000458B7">
        <w:rPr>
          <w:rFonts w:ascii="Century Gothic" w:hAnsi="Century Gothic" w:cs="Arial"/>
          <w:i/>
          <w:iCs/>
        </w:rPr>
        <w:t xml:space="preserve"> I. El descuido, negligencia, abandono o abuso físico, psicológico o sexual</w:t>
      </w:r>
      <w:r w:rsidR="00D35947" w:rsidRPr="000458B7">
        <w:rPr>
          <w:rFonts w:ascii="Century Gothic" w:hAnsi="Century Gothic" w:cs="Arial"/>
        </w:rPr>
        <w:t>…</w:t>
      </w:r>
      <w:r w:rsidR="00D01480" w:rsidRPr="000458B7">
        <w:rPr>
          <w:rFonts w:ascii="Century Gothic" w:hAnsi="Century Gothic" w:cs="Arial"/>
        </w:rPr>
        <w:t xml:space="preserve">”  </w:t>
      </w:r>
      <w:r w:rsidR="00670608" w:rsidRPr="000458B7">
        <w:rPr>
          <w:rFonts w:ascii="Century Gothic" w:hAnsi="Century Gothic" w:cs="Arial"/>
        </w:rPr>
        <w:t>de la misma manera en la Ley de los Derechos de Niñas, Niños y Adolescentes del Estado de Chihuahua en sus artículos 52 y 53 establecen de manera esencial lo mismo que la correlativa ley general en la materia.</w:t>
      </w:r>
    </w:p>
    <w:p w14:paraId="0415D52C" w14:textId="77777777" w:rsidR="00D01480" w:rsidRPr="000458B7" w:rsidRDefault="00D01480" w:rsidP="00087767">
      <w:pPr>
        <w:spacing w:line="360" w:lineRule="auto"/>
        <w:jc w:val="both"/>
        <w:rPr>
          <w:rFonts w:ascii="Century Gothic" w:hAnsi="Century Gothic" w:cs="Arial"/>
          <w:lang w:val="es-ES_tradnl"/>
        </w:rPr>
      </w:pPr>
    </w:p>
    <w:p w14:paraId="735A2FED" w14:textId="028511CF" w:rsidR="00F9231A" w:rsidRPr="000458B7" w:rsidRDefault="00F9231A" w:rsidP="00087767">
      <w:pPr>
        <w:spacing w:line="360" w:lineRule="auto"/>
        <w:jc w:val="both"/>
        <w:rPr>
          <w:rFonts w:ascii="Century Gothic" w:hAnsi="Century Gothic" w:cs="Arial"/>
          <w:lang w:val="es-ES_tradnl"/>
        </w:rPr>
      </w:pPr>
      <w:r w:rsidRPr="000458B7">
        <w:rPr>
          <w:rFonts w:ascii="Century Gothic" w:hAnsi="Century Gothic" w:cs="Arial"/>
          <w:lang w:val="es-ES_tradnl"/>
        </w:rPr>
        <w:t>Es decir en función de las obligaciones que establecen las convenciones de las que el estado mexicano es parte y que le son vinculantes, al igual que las recomendaciones emitidas por los comités que le dan seguimiento al cumplimiento del estado mexicano respecto de los compromisos que contrajo al ratificar las mismas convenciones, a la</w:t>
      </w:r>
      <w:r w:rsidR="00390A11" w:rsidRPr="000458B7">
        <w:rPr>
          <w:rFonts w:ascii="Century Gothic" w:hAnsi="Century Gothic" w:cs="Arial"/>
          <w:lang w:val="es-ES_tradnl"/>
        </w:rPr>
        <w:t>s constituciones a nivel nacional y estatal</w:t>
      </w:r>
      <w:r w:rsidRPr="000458B7">
        <w:rPr>
          <w:rFonts w:ascii="Century Gothic" w:hAnsi="Century Gothic" w:cs="Arial"/>
          <w:lang w:val="es-ES_tradnl"/>
        </w:rPr>
        <w:t>, resulta evidente que se cuenta con una obligación de velar por el interés superior de la infancia, esto en lo particular en relación al acceso a la justicia a las personas menores de edad que han sido victimas de delitos de carácter sexual.</w:t>
      </w:r>
    </w:p>
    <w:p w14:paraId="3F0724DD" w14:textId="77777777" w:rsidR="00670608" w:rsidRPr="000458B7" w:rsidRDefault="00670608" w:rsidP="00087767">
      <w:pPr>
        <w:spacing w:line="360" w:lineRule="auto"/>
        <w:jc w:val="both"/>
        <w:rPr>
          <w:rFonts w:ascii="Century Gothic" w:hAnsi="Century Gothic" w:cs="Arial"/>
          <w:lang w:val="es-ES_tradnl"/>
        </w:rPr>
      </w:pPr>
    </w:p>
    <w:p w14:paraId="1E0D1276" w14:textId="4F6A6B6B" w:rsidR="00F9231A" w:rsidRPr="000458B7" w:rsidRDefault="00F9231A" w:rsidP="00F9231A">
      <w:pPr>
        <w:spacing w:line="360" w:lineRule="auto"/>
        <w:jc w:val="both"/>
        <w:rPr>
          <w:rFonts w:ascii="Century Gothic" w:hAnsi="Century Gothic" w:cs="Arial"/>
          <w:lang w:val="es-ES_tradnl"/>
        </w:rPr>
      </w:pPr>
      <w:r w:rsidRPr="000458B7">
        <w:rPr>
          <w:rFonts w:ascii="Century Gothic" w:hAnsi="Century Gothic" w:cs="Arial"/>
          <w:lang w:val="es-ES_tradnl"/>
        </w:rPr>
        <w:t>Por lo cual México como Estado Parte de la Convención sobre los Derechos del Niño y sus dos Protocolos Facultativos tiene la obligación de adoptar todas las medidas legislativas, administrativas, y de otra índole para hacer efectivos los derechos de toda persona menor de 18 años procurándoles, primordialmente, los cuidados y la asistencia que requieren para lograr un crecimiento y un desarrollo que les permitan vivir plenamente y alcanzar el máximo de bienestar posible. Bajo un esquema del derecho a una vida libre de violencia.</w:t>
      </w:r>
    </w:p>
    <w:p w14:paraId="0E3A50FA" w14:textId="77777777" w:rsidR="00F9231A" w:rsidRPr="000458B7" w:rsidRDefault="00F9231A" w:rsidP="00F9231A">
      <w:pPr>
        <w:spacing w:line="360" w:lineRule="auto"/>
        <w:jc w:val="both"/>
        <w:rPr>
          <w:rFonts w:ascii="Century Gothic" w:hAnsi="Century Gothic" w:cs="Arial"/>
          <w:lang w:val="es-ES_tradnl"/>
        </w:rPr>
      </w:pPr>
    </w:p>
    <w:p w14:paraId="75674C46" w14:textId="439078FE" w:rsidR="00F9231A" w:rsidRPr="000458B7" w:rsidRDefault="00F9231A" w:rsidP="00F9231A">
      <w:pPr>
        <w:spacing w:line="360" w:lineRule="auto"/>
        <w:jc w:val="both"/>
        <w:rPr>
          <w:rFonts w:ascii="Century Gothic" w:hAnsi="Century Gothic" w:cs="Arial"/>
          <w:lang w:val="es-ES_tradnl"/>
        </w:rPr>
      </w:pPr>
      <w:r w:rsidRPr="000458B7">
        <w:rPr>
          <w:rFonts w:ascii="Century Gothic" w:hAnsi="Century Gothic" w:cs="Arial"/>
          <w:lang w:val="es-ES_tradnl"/>
        </w:rPr>
        <w:t xml:space="preserve">Cualquier atentado contra la libertad y desarrollo psicosexual de niñas y niños constituye </w:t>
      </w:r>
      <w:r w:rsidR="00390A11" w:rsidRPr="000458B7">
        <w:rPr>
          <w:rFonts w:ascii="Century Gothic" w:hAnsi="Century Gothic" w:cs="Arial"/>
          <w:lang w:val="es-ES_tradnl"/>
        </w:rPr>
        <w:t>una grave violación a sus derechos humanos y el Estado Mexicano tiene el firme compromiso</w:t>
      </w:r>
      <w:r w:rsidRPr="000458B7">
        <w:rPr>
          <w:rFonts w:ascii="Century Gothic" w:hAnsi="Century Gothic" w:cs="Arial"/>
          <w:lang w:val="es-ES_tradnl"/>
        </w:rPr>
        <w:t xml:space="preserve"> de protegerlos contra todas las formas de hostigamiento, abuso sexual, y violación. </w:t>
      </w:r>
      <w:r w:rsidR="00390A11" w:rsidRPr="000458B7">
        <w:rPr>
          <w:rFonts w:ascii="Century Gothic" w:hAnsi="Century Gothic" w:cs="Arial"/>
          <w:lang w:val="es-ES_tradnl"/>
        </w:rPr>
        <w:t>Dentro del compendio</w:t>
      </w:r>
      <w:r w:rsidRPr="000458B7">
        <w:rPr>
          <w:rFonts w:ascii="Century Gothic" w:hAnsi="Century Gothic" w:cs="Arial"/>
          <w:lang w:val="es-ES_tradnl"/>
        </w:rPr>
        <w:t xml:space="preserve"> “La incorporación de Instrumentos Internacionales en materia de Derechos Humanos de las Mujeres en la legislación penal Mexicana” de la Comisión Nacional para Prevenir y Erradicar la Violencia contra las Mujeres (CONAVIM) señala que cuando se habla de derechos humanos de niñas y niños es necesario considerar que uno de los indicadores claves por los que se les</w:t>
      </w:r>
      <w:r w:rsidR="00F61548" w:rsidRPr="000458B7">
        <w:rPr>
          <w:rFonts w:ascii="Century Gothic" w:hAnsi="Century Gothic" w:cs="Arial"/>
          <w:lang w:val="es-ES_tradnl"/>
        </w:rPr>
        <w:t xml:space="preserve"> </w:t>
      </w:r>
      <w:r w:rsidRPr="000458B7">
        <w:rPr>
          <w:rFonts w:ascii="Century Gothic" w:hAnsi="Century Gothic" w:cs="Arial"/>
          <w:lang w:val="es-ES_tradnl"/>
        </w:rPr>
        <w:t>protege tiene que ver con su edad e inmadurez para tomar decisiones sobre su vida y desarrollo, especialmente en cuestiones de derechos sexuales y reproductivos.</w:t>
      </w:r>
    </w:p>
    <w:p w14:paraId="13B6FBFC" w14:textId="53E7F66F" w:rsidR="00076B86" w:rsidRPr="000458B7" w:rsidRDefault="00076B86" w:rsidP="00F9231A">
      <w:pPr>
        <w:spacing w:line="360" w:lineRule="auto"/>
        <w:jc w:val="both"/>
        <w:rPr>
          <w:rFonts w:ascii="Century Gothic" w:hAnsi="Century Gothic" w:cs="Arial"/>
          <w:lang w:val="es-ES_tradnl"/>
        </w:rPr>
      </w:pPr>
    </w:p>
    <w:p w14:paraId="156E9CF2" w14:textId="3A058944" w:rsidR="00A46CA5" w:rsidRPr="000458B7" w:rsidRDefault="00A46CA5" w:rsidP="00087767">
      <w:pPr>
        <w:spacing w:line="360" w:lineRule="auto"/>
        <w:jc w:val="both"/>
        <w:rPr>
          <w:rFonts w:ascii="Century Gothic" w:hAnsi="Century Gothic" w:cs="Arial"/>
          <w:lang w:val="es-ES_tradnl"/>
        </w:rPr>
      </w:pPr>
      <w:r w:rsidRPr="000458B7">
        <w:rPr>
          <w:rFonts w:ascii="Century Gothic" w:hAnsi="Century Gothic" w:cs="Arial"/>
          <w:lang w:val="es-ES_tradnl"/>
        </w:rPr>
        <w:t xml:space="preserve">En el estado de chihuahua se cuenta con un </w:t>
      </w:r>
      <w:r w:rsidR="00A766FD" w:rsidRPr="000458B7">
        <w:rPr>
          <w:rFonts w:ascii="Century Gothic" w:hAnsi="Century Gothic" w:cs="Arial"/>
          <w:lang w:val="es-ES_tradnl"/>
        </w:rPr>
        <w:t>catálogo</w:t>
      </w:r>
      <w:r w:rsidRPr="000458B7">
        <w:rPr>
          <w:rFonts w:ascii="Century Gothic" w:hAnsi="Century Gothic" w:cs="Arial"/>
          <w:lang w:val="es-ES_tradnl"/>
        </w:rPr>
        <w:t xml:space="preserve"> de delitos sexuales, en los cuales se contemplan en el titulo quinto los delitos de violación, abuso sexual, los cuales cuentan incluso con agravantes relacionadas con la edad y la condición de vulnerabilidad de las víctimas y la situación del agresor. Se encuentra además el hostigamiento sexual, el estupro y el incesto.</w:t>
      </w:r>
    </w:p>
    <w:p w14:paraId="297AC403" w14:textId="65BE80B4" w:rsidR="00D444EC" w:rsidRPr="000458B7" w:rsidRDefault="00D444EC" w:rsidP="00087767">
      <w:pPr>
        <w:spacing w:line="360" w:lineRule="auto"/>
        <w:jc w:val="both"/>
        <w:rPr>
          <w:rFonts w:ascii="Century Gothic" w:hAnsi="Century Gothic" w:cs="Arial"/>
          <w:lang w:val="es-ES_tradnl"/>
        </w:rPr>
      </w:pPr>
    </w:p>
    <w:p w14:paraId="585C5C85" w14:textId="244855F2" w:rsidR="00D444EC" w:rsidRPr="000458B7" w:rsidRDefault="00D444EC" w:rsidP="00D444EC">
      <w:pPr>
        <w:spacing w:line="360" w:lineRule="auto"/>
        <w:jc w:val="both"/>
        <w:rPr>
          <w:rFonts w:ascii="Century Gothic" w:hAnsi="Century Gothic" w:cs="Arial"/>
          <w:lang w:val="es-ES_tradnl"/>
        </w:rPr>
      </w:pPr>
      <w:r w:rsidRPr="000458B7">
        <w:rPr>
          <w:rFonts w:ascii="Century Gothic" w:hAnsi="Century Gothic" w:cs="Arial"/>
          <w:lang w:val="es-ES_tradnl"/>
        </w:rPr>
        <w:t xml:space="preserve">El delito de estupro dentro de la codificación penal estatal se establece de la siguiente manera: “… </w:t>
      </w:r>
      <w:r w:rsidRPr="000458B7">
        <w:rPr>
          <w:rFonts w:ascii="Century Gothic" w:hAnsi="Century Gothic" w:cs="Arial"/>
          <w:i/>
          <w:iCs/>
          <w:lang w:val="es-ES_tradnl"/>
        </w:rPr>
        <w:t>Artículo 177. A quien tenga cópula con persona mayor de catorce y menor de dieciocho años, obteniendo su consentimiento por medio de cualquier tipo de engaño, se le impondrá de uno a cuatro años de prisión y multa de treinta a ochenta veces el valor diario de la Unidad de Medida y Actualización</w:t>
      </w:r>
      <w:r w:rsidRPr="000458B7">
        <w:rPr>
          <w:rFonts w:ascii="Century Gothic" w:hAnsi="Century Gothic" w:cs="Arial"/>
          <w:lang w:val="es-ES_tradnl"/>
        </w:rPr>
        <w:t>…” en dicha tipificación, se señala también que se perseguirá previa querella dicho delito.</w:t>
      </w:r>
    </w:p>
    <w:p w14:paraId="0615F10C" w14:textId="12CCFB74" w:rsidR="00D444EC" w:rsidRPr="000458B7" w:rsidRDefault="00D444EC" w:rsidP="00D444EC">
      <w:pPr>
        <w:spacing w:line="360" w:lineRule="auto"/>
        <w:jc w:val="both"/>
        <w:rPr>
          <w:rFonts w:ascii="Century Gothic" w:hAnsi="Century Gothic" w:cs="Arial"/>
          <w:lang w:val="es-ES_tradnl"/>
        </w:rPr>
      </w:pPr>
    </w:p>
    <w:p w14:paraId="5CD75D6B" w14:textId="2CE25467" w:rsidR="00D444EC" w:rsidRPr="000458B7" w:rsidRDefault="00D444EC" w:rsidP="00D444EC">
      <w:pPr>
        <w:spacing w:line="360" w:lineRule="auto"/>
        <w:jc w:val="both"/>
        <w:rPr>
          <w:rFonts w:ascii="Century Gothic" w:hAnsi="Century Gothic" w:cs="Arial"/>
          <w:lang w:val="es-ES_tradnl"/>
        </w:rPr>
      </w:pPr>
      <w:r w:rsidRPr="000458B7">
        <w:rPr>
          <w:rFonts w:ascii="Century Gothic" w:hAnsi="Century Gothic" w:cs="Arial"/>
          <w:lang w:val="es-ES_tradnl"/>
        </w:rPr>
        <w:lastRenderedPageBreak/>
        <w:t xml:space="preserve">En atención a lo que han estimado tanto el comité de los derechos del niño como el diverso Comité para la Eliminación de la Discriminación contra la Mujer, resulta en evidencia que la violencia sexual contra niños, niñas y adolescentes resulta de preocupación no solo para el estado mexicano, sino para la comunidad internacional. Ahora bien el tipo penal denominado </w:t>
      </w:r>
      <w:r w:rsidR="00390A11" w:rsidRPr="000458B7">
        <w:rPr>
          <w:rFonts w:ascii="Century Gothic" w:hAnsi="Century Gothic" w:cs="Arial"/>
          <w:lang w:val="es-ES_tradnl"/>
        </w:rPr>
        <w:t>estupro</w:t>
      </w:r>
      <w:r w:rsidRPr="000458B7">
        <w:rPr>
          <w:rFonts w:ascii="Century Gothic" w:hAnsi="Century Gothic" w:cs="Arial"/>
          <w:lang w:val="es-ES_tradnl"/>
        </w:rPr>
        <w:t xml:space="preserve"> contiene en su descripción típica que la persona víctima se sitúe en una edad de entre 14 y 18 años, es decir, personas que se consideran dentro del concepto de infancia, específicamente de adolescencia, quienes son personas que se encuentran en una condición de vulnerabilidad mayor, máxime si son mujeres dentro de un contexto de una marcada violencia basada en el género, sin embargo la infancia es una de las poblaciones con mayore</w:t>
      </w:r>
      <w:r w:rsidR="000B57E6" w:rsidRPr="000458B7">
        <w:rPr>
          <w:rFonts w:ascii="Century Gothic" w:hAnsi="Century Gothic" w:cs="Arial"/>
          <w:lang w:val="es-ES_tradnl"/>
        </w:rPr>
        <w:t>s</w:t>
      </w:r>
      <w:r w:rsidRPr="000458B7">
        <w:rPr>
          <w:rFonts w:ascii="Century Gothic" w:hAnsi="Century Gothic" w:cs="Arial"/>
          <w:lang w:val="es-ES_tradnl"/>
        </w:rPr>
        <w:t xml:space="preserve"> esquemas de discriminación y violación a derechos humanos pues como estima el comité de los derechos del niño, la infancia sigue siendo invisibilizada y por lo tanto el acceso a la justicia para quienes integran este grupo se encuentra sesgado por una serie de estereotipos.</w:t>
      </w:r>
    </w:p>
    <w:p w14:paraId="3150ECEF" w14:textId="089E6B76" w:rsidR="00D444EC" w:rsidRPr="000458B7" w:rsidRDefault="00D444EC" w:rsidP="00D444EC">
      <w:pPr>
        <w:spacing w:line="360" w:lineRule="auto"/>
        <w:jc w:val="both"/>
        <w:rPr>
          <w:rFonts w:ascii="Century Gothic" w:hAnsi="Century Gothic" w:cs="Arial"/>
          <w:lang w:val="es-ES_tradnl"/>
        </w:rPr>
      </w:pPr>
    </w:p>
    <w:p w14:paraId="790B2FB6" w14:textId="704FDC28" w:rsidR="00A46CA5" w:rsidRDefault="00E670A2" w:rsidP="00087767">
      <w:pPr>
        <w:spacing w:line="360" w:lineRule="auto"/>
        <w:jc w:val="both"/>
        <w:rPr>
          <w:rFonts w:ascii="Century Gothic" w:hAnsi="Century Gothic" w:cs="Arial"/>
          <w:lang w:val="es-ES_tradnl"/>
        </w:rPr>
      </w:pPr>
      <w:r w:rsidRPr="000458B7">
        <w:rPr>
          <w:rFonts w:ascii="Century Gothic" w:hAnsi="Century Gothic" w:cs="Arial"/>
          <w:lang w:val="es-ES_tradnl"/>
        </w:rPr>
        <w:t>C</w:t>
      </w:r>
      <w:r w:rsidR="00D444EC" w:rsidRPr="000458B7">
        <w:rPr>
          <w:rFonts w:ascii="Century Gothic" w:hAnsi="Century Gothic" w:cs="Arial"/>
          <w:lang w:val="es-ES_tradnl"/>
        </w:rPr>
        <w:t xml:space="preserve">omo ha sido instado por parte de los comités mencionados </w:t>
      </w:r>
      <w:r w:rsidR="00403C6B" w:rsidRPr="000458B7">
        <w:rPr>
          <w:rFonts w:ascii="Century Gothic" w:hAnsi="Century Gothic" w:cs="Arial"/>
          <w:lang w:val="es-ES_tradnl"/>
        </w:rPr>
        <w:t>anteriormente</w:t>
      </w:r>
      <w:r w:rsidR="00D444EC" w:rsidRPr="000458B7">
        <w:rPr>
          <w:rFonts w:ascii="Century Gothic" w:hAnsi="Century Gothic" w:cs="Arial"/>
          <w:lang w:val="es-ES_tradnl"/>
        </w:rPr>
        <w:t xml:space="preserve">, es que la tipificación de estas conductas con penas inferiores a las de la violación, trasgrede la tutela efectiva a los derechos humanos de la infancia. Luego entonces debemos entender que la copula con una persona menor de edad, representa por tanto </w:t>
      </w:r>
      <w:r w:rsidR="00CF25F0" w:rsidRPr="000458B7">
        <w:rPr>
          <w:rFonts w:ascii="Century Gothic" w:hAnsi="Century Gothic" w:cs="Arial"/>
          <w:lang w:val="es-ES_tradnl"/>
        </w:rPr>
        <w:t xml:space="preserve">delito de carácter sexual, que vulnera por lo tanto los derechos humanos de las personas menores de edad, sin pasar por alto que en cuanto a las adolescentes se encuentran también dentro de un contexto </w:t>
      </w:r>
      <w:r w:rsidR="00233B1F" w:rsidRPr="000458B7">
        <w:rPr>
          <w:rFonts w:ascii="Century Gothic" w:hAnsi="Century Gothic" w:cs="Arial"/>
          <w:lang w:val="es-ES_tradnl"/>
        </w:rPr>
        <w:t>estereotipa</w:t>
      </w:r>
      <w:r w:rsidR="00CF25F0" w:rsidRPr="000458B7">
        <w:rPr>
          <w:rFonts w:ascii="Century Gothic" w:hAnsi="Century Gothic" w:cs="Arial"/>
          <w:lang w:val="es-ES_tradnl"/>
        </w:rPr>
        <w:t xml:space="preserve">do, para tutelar los derechos humanos de las personas menores de edad, debemos tomar en cuenta </w:t>
      </w:r>
      <w:r w:rsidR="00233B1F" w:rsidRPr="000458B7">
        <w:rPr>
          <w:rFonts w:ascii="Century Gothic" w:hAnsi="Century Gothic" w:cs="Arial"/>
          <w:lang w:val="es-ES_tradnl"/>
        </w:rPr>
        <w:t>el contexto cognitivo de la infancia.</w:t>
      </w:r>
    </w:p>
    <w:p w14:paraId="42BDEDE1" w14:textId="0B5BBA9E" w:rsidR="00C845B3" w:rsidRDefault="00C845B3" w:rsidP="00087767">
      <w:pPr>
        <w:spacing w:line="360" w:lineRule="auto"/>
        <w:jc w:val="both"/>
        <w:rPr>
          <w:rFonts w:ascii="Century Gothic" w:hAnsi="Century Gothic" w:cs="Arial"/>
          <w:lang w:val="es-ES_tradnl"/>
        </w:rPr>
      </w:pPr>
    </w:p>
    <w:p w14:paraId="450543AE" w14:textId="77777777" w:rsidR="00C845B3" w:rsidRPr="004C3F66" w:rsidRDefault="00C845B3" w:rsidP="00C845B3">
      <w:pPr>
        <w:spacing w:line="360" w:lineRule="auto"/>
        <w:jc w:val="both"/>
        <w:rPr>
          <w:rFonts w:ascii="Century Gothic" w:hAnsi="Century Gothic" w:cs="Arial"/>
          <w:bCs/>
          <w:color w:val="538135" w:themeColor="accent6" w:themeShade="BF"/>
          <w:lang w:val="es-ES_tradnl"/>
        </w:rPr>
      </w:pPr>
      <w:r w:rsidRPr="004C3F66">
        <w:rPr>
          <w:rFonts w:ascii="Century Gothic" w:hAnsi="Century Gothic" w:cs="Arial"/>
          <w:bCs/>
          <w:color w:val="538135" w:themeColor="accent6" w:themeShade="BF"/>
          <w:lang w:val="es-ES_tradnl"/>
        </w:rPr>
        <w:lastRenderedPageBreak/>
        <w:t xml:space="preserve">En relación con lo mencionado en el párrafo previo, es que se puede </w:t>
      </w:r>
      <w:r>
        <w:rPr>
          <w:rFonts w:ascii="Century Gothic" w:hAnsi="Century Gothic" w:cs="Arial"/>
          <w:bCs/>
          <w:color w:val="538135" w:themeColor="accent6" w:themeShade="BF"/>
          <w:lang w:val="es-ES_tradnl"/>
        </w:rPr>
        <w:t xml:space="preserve">realizar </w:t>
      </w:r>
      <w:r w:rsidRPr="004C3F66">
        <w:rPr>
          <w:rFonts w:ascii="Century Gothic" w:hAnsi="Century Gothic" w:cs="Arial"/>
          <w:bCs/>
          <w:color w:val="538135" w:themeColor="accent6" w:themeShade="BF"/>
          <w:lang w:val="es-ES_tradnl"/>
        </w:rPr>
        <w:t xml:space="preserve">un análisis de proporcionalidad de la reforma propuesta. </w:t>
      </w:r>
      <w:r>
        <w:rPr>
          <w:rFonts w:ascii="Century Gothic" w:hAnsi="Century Gothic" w:cs="Arial"/>
          <w:bCs/>
          <w:color w:val="538135" w:themeColor="accent6" w:themeShade="BF"/>
          <w:lang w:val="es-ES_tradnl"/>
        </w:rPr>
        <w:t>Entrando al estudio de este, es que</w:t>
      </w:r>
      <w:r w:rsidRPr="004C3F66">
        <w:rPr>
          <w:rFonts w:ascii="Century Gothic" w:hAnsi="Century Gothic" w:cs="Arial"/>
          <w:bCs/>
          <w:color w:val="538135" w:themeColor="accent6" w:themeShade="BF"/>
          <w:lang w:val="es-ES_tradnl"/>
        </w:rPr>
        <w:t xml:space="preserve"> se considera que existe una relación racional entre la reforma propuesta y la aplicación de  dicha medida, puesto que, al tratarse de un delito cometido en perjuicio de personas menores de edad, es que nace una obligación reforzada de protección por parte el Estado</w:t>
      </w:r>
      <w:r>
        <w:rPr>
          <w:rFonts w:ascii="Century Gothic" w:hAnsi="Century Gothic" w:cs="Arial"/>
          <w:bCs/>
          <w:color w:val="538135" w:themeColor="accent6" w:themeShade="BF"/>
          <w:lang w:val="es-ES_tradnl"/>
        </w:rPr>
        <w:t xml:space="preserve">, resultando en una medida idónea y proporcional debido a las afectaciones que dicho delito trae consigo. </w:t>
      </w:r>
    </w:p>
    <w:p w14:paraId="76023BE1" w14:textId="77777777" w:rsidR="00C845B3" w:rsidRPr="004C3F66" w:rsidRDefault="00C845B3" w:rsidP="00C845B3">
      <w:pPr>
        <w:spacing w:line="360" w:lineRule="auto"/>
        <w:jc w:val="both"/>
        <w:rPr>
          <w:rFonts w:ascii="Century Gothic" w:hAnsi="Century Gothic" w:cs="Arial"/>
          <w:bCs/>
          <w:color w:val="538135" w:themeColor="accent6" w:themeShade="BF"/>
          <w:lang w:val="es-ES_tradnl"/>
        </w:rPr>
      </w:pPr>
    </w:p>
    <w:p w14:paraId="4EC0267E" w14:textId="77777777" w:rsidR="00C845B3" w:rsidRDefault="00C845B3" w:rsidP="00C845B3">
      <w:pPr>
        <w:spacing w:line="360" w:lineRule="auto"/>
        <w:jc w:val="both"/>
        <w:rPr>
          <w:rFonts w:ascii="Century Gothic" w:hAnsi="Century Gothic" w:cs="Arial"/>
          <w:bCs/>
          <w:color w:val="538135" w:themeColor="accent6" w:themeShade="BF"/>
          <w:lang w:val="es-ES_tradnl"/>
        </w:rPr>
      </w:pPr>
      <w:r w:rsidRPr="004C3F66">
        <w:rPr>
          <w:rFonts w:ascii="Century Gothic" w:hAnsi="Century Gothic" w:cs="Arial"/>
          <w:bCs/>
          <w:color w:val="538135" w:themeColor="accent6" w:themeShade="BF"/>
          <w:lang w:val="es-ES_tradnl"/>
        </w:rPr>
        <w:t xml:space="preserve">Continuando con el análisis previamente citado, es que se considera que la medida cubre con la </w:t>
      </w:r>
      <w:r>
        <w:rPr>
          <w:rFonts w:ascii="Century Gothic" w:hAnsi="Century Gothic" w:cs="Arial"/>
          <w:bCs/>
          <w:color w:val="538135" w:themeColor="accent6" w:themeShade="BF"/>
          <w:lang w:val="es-ES_tradnl"/>
        </w:rPr>
        <w:t>necesidad</w:t>
      </w:r>
      <w:r w:rsidRPr="004C3F66">
        <w:rPr>
          <w:rFonts w:ascii="Century Gothic" w:hAnsi="Century Gothic" w:cs="Arial"/>
          <w:bCs/>
          <w:color w:val="538135" w:themeColor="accent6" w:themeShade="BF"/>
          <w:lang w:val="es-ES_tradnl"/>
        </w:rPr>
        <w:t xml:space="preserve"> de protección reforzad</w:t>
      </w:r>
      <w:r>
        <w:rPr>
          <w:rFonts w:ascii="Century Gothic" w:hAnsi="Century Gothic" w:cs="Arial"/>
          <w:bCs/>
          <w:color w:val="538135" w:themeColor="accent6" w:themeShade="BF"/>
          <w:lang w:val="es-ES_tradnl"/>
        </w:rPr>
        <w:t>a</w:t>
      </w:r>
      <w:r w:rsidRPr="004C3F66">
        <w:rPr>
          <w:rFonts w:ascii="Century Gothic" w:hAnsi="Century Gothic" w:cs="Arial"/>
          <w:bCs/>
          <w:color w:val="538135" w:themeColor="accent6" w:themeShade="BF"/>
          <w:lang w:val="es-ES_tradnl"/>
        </w:rPr>
        <w:t xml:space="preserve"> para las personas menores de edad, en </w:t>
      </w:r>
      <w:proofErr w:type="spellStart"/>
      <w:r w:rsidRPr="004C3F66">
        <w:rPr>
          <w:rFonts w:ascii="Century Gothic" w:hAnsi="Century Gothic" w:cs="Arial"/>
          <w:bCs/>
          <w:color w:val="538135" w:themeColor="accent6" w:themeShade="BF"/>
          <w:lang w:val="es-ES_tradnl"/>
        </w:rPr>
        <w:t>especi</w:t>
      </w:r>
      <w:r>
        <w:rPr>
          <w:rFonts w:ascii="Century Gothic" w:hAnsi="Century Gothic" w:cs="Arial"/>
          <w:bCs/>
          <w:color w:val="538135" w:themeColor="accent6" w:themeShade="BF"/>
          <w:lang w:val="es-ES_tradnl"/>
        </w:rPr>
        <w:t>fico</w:t>
      </w:r>
      <w:proofErr w:type="spellEnd"/>
      <w:r>
        <w:rPr>
          <w:rFonts w:ascii="Century Gothic" w:hAnsi="Century Gothic" w:cs="Arial"/>
          <w:bCs/>
          <w:color w:val="538135" w:themeColor="accent6" w:themeShade="BF"/>
          <w:lang w:val="es-ES_tradnl"/>
        </w:rPr>
        <w:t xml:space="preserve"> al tratarse de un delito que atenta contra la integridad sexual de la persona. También aunado a las obligaciones adquiridas por el Estado nos encontramos ante una cantidad exorbitante de víctimas de delitos sexuales durante la niñez y adolescencias, por lo que hay una necesidad especial de atender dicha problemática. </w:t>
      </w:r>
    </w:p>
    <w:p w14:paraId="3C917E13" w14:textId="77777777" w:rsidR="00C845B3" w:rsidRDefault="00C845B3" w:rsidP="00C845B3">
      <w:pPr>
        <w:spacing w:line="360" w:lineRule="auto"/>
        <w:jc w:val="both"/>
        <w:rPr>
          <w:rFonts w:ascii="Century Gothic" w:hAnsi="Century Gothic" w:cs="Arial"/>
          <w:bCs/>
          <w:color w:val="538135" w:themeColor="accent6" w:themeShade="BF"/>
          <w:lang w:val="es-ES_tradnl"/>
        </w:rPr>
      </w:pPr>
    </w:p>
    <w:p w14:paraId="349E71A0" w14:textId="77777777" w:rsidR="00C845B3" w:rsidRPr="004C3F66" w:rsidRDefault="00C845B3" w:rsidP="00C845B3">
      <w:pPr>
        <w:spacing w:line="360" w:lineRule="auto"/>
        <w:jc w:val="both"/>
        <w:rPr>
          <w:rFonts w:ascii="Century Gothic" w:hAnsi="Century Gothic" w:cs="Arial"/>
          <w:bCs/>
          <w:color w:val="538135" w:themeColor="accent6" w:themeShade="BF"/>
          <w:lang w:val="es-ES_tradnl"/>
        </w:rPr>
      </w:pPr>
      <w:r>
        <w:rPr>
          <w:rFonts w:ascii="Century Gothic" w:hAnsi="Century Gothic" w:cs="Arial"/>
          <w:bCs/>
          <w:color w:val="538135" w:themeColor="accent6" w:themeShade="BF"/>
          <w:lang w:val="es-ES_tradnl"/>
        </w:rPr>
        <w:t xml:space="preserve">Por ultimo y en relación con la proporcionalidad en estricto sentido, es que nos podemos remitir a la diversa tipificación en relación a delitos de naturaleza sexual cometidos en contra de personas menores de edad y de dicho análisis podemos observar que la reforma planteada cumple con el propósito, así como los diversos tipos penales de la misma naturaleza, de un deber de protección a personas que se encuentra en una situación de vulnerabilidad especifica de acuerdo con su edad y desarrollo. </w:t>
      </w:r>
    </w:p>
    <w:p w14:paraId="4E13D23B" w14:textId="69750D54" w:rsidR="004C31A4" w:rsidRPr="000458B7" w:rsidRDefault="004C31A4" w:rsidP="003D2D23">
      <w:pPr>
        <w:spacing w:line="360" w:lineRule="auto"/>
        <w:jc w:val="both"/>
        <w:rPr>
          <w:rFonts w:ascii="Century Gothic" w:hAnsi="Century Gothic" w:cs="Arial"/>
          <w:bCs/>
        </w:rPr>
      </w:pPr>
    </w:p>
    <w:p w14:paraId="4A8D3EEF" w14:textId="0D2CED9A" w:rsidR="004C31A4" w:rsidRPr="000458B7" w:rsidRDefault="00A865B1" w:rsidP="003D2D23">
      <w:pPr>
        <w:spacing w:line="360" w:lineRule="auto"/>
        <w:jc w:val="both"/>
        <w:rPr>
          <w:rFonts w:ascii="Century Gothic" w:hAnsi="Century Gothic" w:cs="Arial"/>
          <w:bCs/>
        </w:rPr>
      </w:pPr>
      <w:r w:rsidRPr="000458B7">
        <w:rPr>
          <w:rFonts w:ascii="Century Gothic" w:hAnsi="Century Gothic" w:cs="Arial"/>
          <w:bCs/>
        </w:rPr>
        <w:t xml:space="preserve">Por lo anterior y atendiendo a las obligaciones estatales, el mantener congruencia dentro de los tipos penales que aseguran derechos humanos de niñas niños y adolescentes, resulta preponderante, ante todo el poner </w:t>
      </w:r>
      <w:r w:rsidRPr="000458B7">
        <w:rPr>
          <w:rFonts w:ascii="Century Gothic" w:hAnsi="Century Gothic" w:cs="Arial"/>
          <w:bCs/>
        </w:rPr>
        <w:lastRenderedPageBreak/>
        <w:t>énfasis a que el tipo penal en comento, es decir el estupro, tiene como premisa especifica el consentimiento viciado a través del engaño.</w:t>
      </w:r>
    </w:p>
    <w:p w14:paraId="0FA3F6C1" w14:textId="203DFA5F" w:rsidR="00A865B1" w:rsidRPr="000458B7" w:rsidRDefault="00A865B1" w:rsidP="003D2D23">
      <w:pPr>
        <w:spacing w:line="360" w:lineRule="auto"/>
        <w:jc w:val="both"/>
        <w:rPr>
          <w:rFonts w:ascii="Century Gothic" w:hAnsi="Century Gothic" w:cs="Arial"/>
          <w:bCs/>
        </w:rPr>
      </w:pPr>
    </w:p>
    <w:p w14:paraId="04BAC118" w14:textId="462F60B5" w:rsidR="00A865B1" w:rsidRPr="000458B7" w:rsidRDefault="00A865B1" w:rsidP="003D2D23">
      <w:pPr>
        <w:spacing w:line="360" w:lineRule="auto"/>
        <w:jc w:val="both"/>
        <w:rPr>
          <w:rFonts w:ascii="Century Gothic" w:hAnsi="Century Gothic" w:cs="Arial"/>
        </w:rPr>
      </w:pPr>
      <w:r w:rsidRPr="000458B7">
        <w:rPr>
          <w:rFonts w:ascii="Century Gothic" w:hAnsi="Century Gothic" w:cs="Arial"/>
        </w:rPr>
        <w:t>En relación al consentimiento sexual en personas menores de edad, la UNICEF puntualiza que se debe de prestar especial atención en: “…</w:t>
      </w:r>
      <w:r w:rsidRPr="000458B7">
        <w:rPr>
          <w:rFonts w:ascii="Century Gothic" w:hAnsi="Century Gothic" w:cs="Arial"/>
          <w:i/>
          <w:iCs/>
        </w:rPr>
        <w:t>Proteger a los y las adolescentes de los abusos y de las consecuencias que pueden darse al no ser plenamente conscientes en el momento de iniciar la actividad sexual temprana sobre sus derechos y desarrollo. Las y los jóvenes adolescentes pueden ser atraídos a la actividad sexual por parte de adultos mayores a cambio de bienes y favores, por lo que los/las adolescentes de ambientes sociales desfavorables se ven especialmente en riesgo. La actividad sexual de personas menores de edad presenta una serie de riesgos relacionada a la salud sexual y reproductiva, incluyendo el embarazo no deseado o precoz y la exposición a enfermedades de transmisión sexual entre otros</w:t>
      </w:r>
      <w:r w:rsidRPr="000458B7">
        <w:rPr>
          <w:rFonts w:ascii="Century Gothic" w:hAnsi="Century Gothic" w:cs="Arial"/>
        </w:rPr>
        <w:t>…”</w:t>
      </w:r>
      <w:r w:rsidRPr="000458B7">
        <w:rPr>
          <w:rStyle w:val="Refdenotaalpie"/>
          <w:rFonts w:ascii="Century Gothic" w:hAnsi="Century Gothic" w:cs="Arial"/>
        </w:rPr>
        <w:footnoteReference w:id="16"/>
      </w:r>
      <w:r w:rsidRPr="000458B7">
        <w:rPr>
          <w:rFonts w:ascii="Century Gothic" w:hAnsi="Century Gothic" w:cs="Arial"/>
        </w:rPr>
        <w:t xml:space="preserve">  Por su parte, la Comisión Interamericana de Derechos Humanos ha señalado como otras formas de violencia sexual: </w:t>
      </w:r>
      <w:r w:rsidR="00390A11" w:rsidRPr="000458B7">
        <w:rPr>
          <w:rFonts w:ascii="Century Gothic" w:hAnsi="Century Gothic" w:cs="Arial"/>
        </w:rPr>
        <w:t>“…</w:t>
      </w:r>
      <w:r w:rsidRPr="000458B7">
        <w:rPr>
          <w:rFonts w:ascii="Century Gothic" w:hAnsi="Century Gothic" w:cs="Arial"/>
          <w:i/>
          <w:iCs/>
        </w:rPr>
        <w:t>la esclavitud sexual, el embarazo forzado y la esterilización forzada, los delitos de naturaleza sexual además de la violación y el estupro, el abuso deshonesto, el incesto, entre otros. Sobre esto último la CIDH reitera que “la violencia sexual atenta contra la dignidad y constituye una violación del derecho a la integridad personal consagrado en el artículo 5 de la Convención Americana sobre Derechos Humanos”</w:t>
      </w:r>
      <w:r w:rsidR="00AD4A95" w:rsidRPr="000458B7">
        <w:rPr>
          <w:rStyle w:val="Refdenotaalpie"/>
          <w:rFonts w:ascii="Century Gothic" w:hAnsi="Century Gothic" w:cs="Arial"/>
        </w:rPr>
        <w:footnoteReference w:id="17"/>
      </w:r>
    </w:p>
    <w:p w14:paraId="474E54D5" w14:textId="2BA6A29A" w:rsidR="004C31A4" w:rsidRPr="000458B7" w:rsidRDefault="004C31A4" w:rsidP="003D2D23">
      <w:pPr>
        <w:spacing w:line="360" w:lineRule="auto"/>
        <w:jc w:val="both"/>
        <w:rPr>
          <w:rFonts w:ascii="Century Gothic" w:hAnsi="Century Gothic" w:cs="Arial"/>
          <w:bCs/>
        </w:rPr>
      </w:pPr>
    </w:p>
    <w:p w14:paraId="32B8A52B" w14:textId="1AD82A04" w:rsidR="00AD4A95" w:rsidRPr="000458B7" w:rsidRDefault="00390A11" w:rsidP="003D2D23">
      <w:pPr>
        <w:spacing w:line="360" w:lineRule="auto"/>
        <w:jc w:val="both"/>
        <w:rPr>
          <w:rFonts w:ascii="Century Gothic" w:hAnsi="Century Gothic" w:cs="Arial"/>
        </w:rPr>
      </w:pPr>
      <w:r w:rsidRPr="000458B7">
        <w:rPr>
          <w:rFonts w:ascii="Century Gothic" w:hAnsi="Century Gothic" w:cs="Arial"/>
        </w:rPr>
        <w:lastRenderedPageBreak/>
        <w:t>En</w:t>
      </w:r>
      <w:r w:rsidR="00AD4A95" w:rsidRPr="000458B7">
        <w:rPr>
          <w:rFonts w:ascii="Century Gothic" w:hAnsi="Century Gothic" w:cs="Arial"/>
        </w:rPr>
        <w:t xml:space="preserve"> base en lo anterior, los Estados parte deben de velar por que las leyes garanticen a las mujeres el pleno acceso a sus derechos humanos y a una vida libre de violencia en la que se respete su integridad y dignidad. A raíz de lo expuesto, resulta relevante analizar la regulación en torno al delito de estupro dentro de </w:t>
      </w:r>
      <w:r w:rsidR="00B0104E" w:rsidRPr="000458B7">
        <w:rPr>
          <w:rFonts w:ascii="Century Gothic" w:hAnsi="Century Gothic" w:cs="Arial"/>
        </w:rPr>
        <w:t>la legislación penal estatal</w:t>
      </w:r>
      <w:r w:rsidR="00AD4A95" w:rsidRPr="000458B7">
        <w:rPr>
          <w:rFonts w:ascii="Century Gothic" w:hAnsi="Century Gothic" w:cs="Arial"/>
        </w:rPr>
        <w:t>, a la luz de los estándares internacionales y de la realidad social como un elemento vinculado estrechamente al derecho a la igualdad entre mujeres y hombres, a la no discriminación contra las mujeres, y a una vida libre de violencia.</w:t>
      </w:r>
    </w:p>
    <w:p w14:paraId="4EA8154C" w14:textId="2145DB74" w:rsidR="00AD4A95" w:rsidRPr="000458B7" w:rsidRDefault="00AD4A95" w:rsidP="003D2D23">
      <w:pPr>
        <w:spacing w:line="360" w:lineRule="auto"/>
        <w:jc w:val="both"/>
        <w:rPr>
          <w:rFonts w:ascii="Century Gothic" w:hAnsi="Century Gothic" w:cs="Arial"/>
        </w:rPr>
      </w:pPr>
    </w:p>
    <w:p w14:paraId="1000B8A0" w14:textId="0690889A" w:rsidR="00AD4A95" w:rsidRPr="000458B7" w:rsidRDefault="00AD4A95" w:rsidP="003D2D23">
      <w:pPr>
        <w:spacing w:line="360" w:lineRule="auto"/>
        <w:jc w:val="both"/>
        <w:rPr>
          <w:rFonts w:ascii="Century Gothic" w:hAnsi="Century Gothic" w:cs="Arial"/>
        </w:rPr>
      </w:pPr>
      <w:r w:rsidRPr="000458B7">
        <w:rPr>
          <w:rFonts w:ascii="Century Gothic" w:hAnsi="Century Gothic" w:cs="Arial"/>
        </w:rPr>
        <w:t xml:space="preserve">El bloque de constitucionalidad implica la identificación de aquellas normas, principios, valores y reglas que, a pesar de no estar explícitamente </w:t>
      </w:r>
      <w:r w:rsidR="00B0104E" w:rsidRPr="000458B7">
        <w:rPr>
          <w:rFonts w:ascii="Century Gothic" w:hAnsi="Century Gothic" w:cs="Arial"/>
        </w:rPr>
        <w:t>d</w:t>
      </w:r>
      <w:r w:rsidRPr="000458B7">
        <w:rPr>
          <w:rFonts w:ascii="Century Gothic" w:hAnsi="Century Gothic" w:cs="Arial"/>
        </w:rPr>
        <w:t>escritas en la Constitución Política de los Estados Unidos Mexicanos, es el caso los derechos humanos contenidos en las convenciones y tratados internacionales</w:t>
      </w:r>
      <w:r w:rsidRPr="000458B7">
        <w:rPr>
          <w:rStyle w:val="Refdenotaalpie"/>
          <w:rFonts w:ascii="Century Gothic" w:hAnsi="Century Gothic" w:cs="Arial"/>
        </w:rPr>
        <w:footnoteReference w:id="18"/>
      </w:r>
      <w:r w:rsidRPr="000458B7">
        <w:rPr>
          <w:rFonts w:ascii="Century Gothic" w:hAnsi="Century Gothic" w:cs="Arial"/>
        </w:rPr>
        <w:t>. En este sentido, forman parte del bloque de constitucionalidad: la Convención para la Eliminación de Todas las Formas de Discriminación contra la Mujer (CEDAW) y la Convención Interamericana para Prevenir, Sancionar y Erradicar la Violencia contra las Mujeres (Convención de Belém do Pará),</w:t>
      </w:r>
      <w:r w:rsidR="00B0104E" w:rsidRPr="000458B7">
        <w:rPr>
          <w:rFonts w:ascii="Century Gothic" w:hAnsi="Century Gothic" w:cs="Arial"/>
        </w:rPr>
        <w:t xml:space="preserve"> la Convención sobre los Derechos del Niño,  las Observaciones finales sobre los informes periódicos del estado mexicano del Comité de los Derechos del Niño</w:t>
      </w:r>
      <w:r w:rsidRPr="000458B7">
        <w:rPr>
          <w:rFonts w:ascii="Century Gothic" w:hAnsi="Century Gothic" w:cs="Arial"/>
        </w:rPr>
        <w:t xml:space="preserve"> entre otros tratados.</w:t>
      </w:r>
    </w:p>
    <w:p w14:paraId="71D53FAE" w14:textId="1CC05E98" w:rsidR="00B0104E" w:rsidRPr="000458B7" w:rsidRDefault="00B0104E" w:rsidP="003D2D23">
      <w:pPr>
        <w:spacing w:line="360" w:lineRule="auto"/>
        <w:jc w:val="both"/>
        <w:rPr>
          <w:rFonts w:ascii="Century Gothic" w:hAnsi="Century Gothic" w:cs="Arial"/>
        </w:rPr>
      </w:pPr>
    </w:p>
    <w:p w14:paraId="1AF9A677" w14:textId="67E16FD0" w:rsidR="00B0104E" w:rsidRPr="000458B7" w:rsidRDefault="00B0104E" w:rsidP="003D2D23">
      <w:pPr>
        <w:spacing w:line="360" w:lineRule="auto"/>
        <w:jc w:val="both"/>
        <w:rPr>
          <w:rFonts w:ascii="Century Gothic" w:hAnsi="Century Gothic" w:cs="Arial"/>
        </w:rPr>
      </w:pPr>
      <w:r w:rsidRPr="000458B7">
        <w:rPr>
          <w:rFonts w:ascii="Century Gothic" w:hAnsi="Century Gothic" w:cs="Arial"/>
        </w:rPr>
        <w:t>En relación a lo anterior tenemos que la Comisión Nacional de Derechos Humanos también ha emitido una serie de opiniones destacando en relación al estupro que “…</w:t>
      </w:r>
      <w:r w:rsidRPr="000458B7">
        <w:rPr>
          <w:rFonts w:ascii="Century Gothic" w:hAnsi="Century Gothic" w:cs="Arial"/>
          <w:i/>
          <w:iCs/>
        </w:rPr>
        <w:t xml:space="preserve">se considera que el contexto social y nuestra </w:t>
      </w:r>
      <w:r w:rsidRPr="000458B7">
        <w:rPr>
          <w:rFonts w:ascii="Century Gothic" w:hAnsi="Century Gothic" w:cs="Arial"/>
          <w:i/>
          <w:iCs/>
        </w:rPr>
        <w:lastRenderedPageBreak/>
        <w:t>realidad actual ha rebasado a este delito, por lo que se debe de replantear este tipo penal, a luz de los estándares internacionales De acuerdo con la Comisión Nacional de Víctimas en su Diagnóstico cuantitativo sobre la atención de la violencia sexual en México, debido a que quienes pueden ser víctimas del delito de estupro son menores de edad, en éste, el bien jurídico que se protege es la seguridad sexual y el normal desarrollo de la persona</w:t>
      </w:r>
      <w:r w:rsidRPr="000458B7">
        <w:rPr>
          <w:rFonts w:ascii="Century Gothic" w:hAnsi="Century Gothic" w:cs="Arial"/>
        </w:rPr>
        <w:t>…”</w:t>
      </w:r>
      <w:r w:rsidRPr="000458B7">
        <w:rPr>
          <w:rStyle w:val="Refdenotaalpie"/>
          <w:rFonts w:ascii="Century Gothic" w:hAnsi="Century Gothic" w:cs="Arial"/>
        </w:rPr>
        <w:footnoteReference w:id="19"/>
      </w:r>
    </w:p>
    <w:p w14:paraId="75C56C2C" w14:textId="31D3BA43" w:rsidR="00B0104E" w:rsidRPr="000458B7" w:rsidRDefault="00B0104E" w:rsidP="003D2D23">
      <w:pPr>
        <w:spacing w:line="360" w:lineRule="auto"/>
        <w:jc w:val="both"/>
        <w:rPr>
          <w:rFonts w:ascii="Century Gothic" w:hAnsi="Century Gothic" w:cs="Arial"/>
        </w:rPr>
      </w:pPr>
    </w:p>
    <w:p w14:paraId="229D73EF" w14:textId="1534A7B2" w:rsidR="00B0104E" w:rsidRPr="000458B7" w:rsidRDefault="00B0104E" w:rsidP="003D2D23">
      <w:pPr>
        <w:spacing w:line="360" w:lineRule="auto"/>
        <w:jc w:val="both"/>
        <w:rPr>
          <w:rFonts w:ascii="Century Gothic" w:hAnsi="Century Gothic" w:cs="Arial"/>
        </w:rPr>
      </w:pPr>
      <w:r w:rsidRPr="000458B7">
        <w:rPr>
          <w:rFonts w:ascii="Century Gothic" w:hAnsi="Century Gothic" w:cs="Arial"/>
        </w:rPr>
        <w:t xml:space="preserve">Es entonces que al analizar los tipos penales que contempla nuestro codificación penal, el tipo penal de estupro contempla penalidades por mucho menores a los diversos tipos penales relacionados con los delitos sexuales, de ahí que resulte trascendente para tutelar el derechos de la infancia, como parte de un pleno y eficaz reconocimiento a las niñas, niños y adolescentes como personas, es entonces que la evolución de la </w:t>
      </w:r>
      <w:r w:rsidR="006E473D" w:rsidRPr="000458B7">
        <w:rPr>
          <w:rFonts w:ascii="Century Gothic" w:hAnsi="Century Gothic" w:cs="Arial"/>
        </w:rPr>
        <w:t>legislación deberá ser basada en la progresividad respecto a los derechos humanos.</w:t>
      </w:r>
    </w:p>
    <w:p w14:paraId="20122657" w14:textId="7355A6CD" w:rsidR="006E473D" w:rsidRPr="000458B7" w:rsidRDefault="006E473D" w:rsidP="003D2D23">
      <w:pPr>
        <w:spacing w:line="360" w:lineRule="auto"/>
        <w:jc w:val="both"/>
        <w:rPr>
          <w:rFonts w:ascii="Century Gothic" w:hAnsi="Century Gothic" w:cs="Arial"/>
        </w:rPr>
      </w:pPr>
    </w:p>
    <w:p w14:paraId="37ED0673" w14:textId="6A387760" w:rsidR="006E473D" w:rsidRPr="000458B7" w:rsidRDefault="006E473D" w:rsidP="003D2D23">
      <w:pPr>
        <w:spacing w:line="360" w:lineRule="auto"/>
        <w:jc w:val="both"/>
        <w:rPr>
          <w:rFonts w:ascii="Century Gothic" w:hAnsi="Century Gothic" w:cs="Arial"/>
        </w:rPr>
      </w:pPr>
      <w:r w:rsidRPr="000458B7">
        <w:rPr>
          <w:rFonts w:ascii="Century Gothic" w:hAnsi="Century Gothic" w:cs="Arial"/>
        </w:rPr>
        <w:t xml:space="preserve">Por lo cual se considera que al incrementar las penas mínima y máxima del tipo penal de estupro como ha sido recomendado por los distintos comités, es decir el comité CEDAW y el comité de los Derechos del Niños, resulta en beneficio </w:t>
      </w:r>
      <w:r w:rsidR="00FD2159" w:rsidRPr="000458B7">
        <w:rPr>
          <w:rFonts w:ascii="Century Gothic" w:hAnsi="Century Gothic" w:cs="Arial"/>
        </w:rPr>
        <w:t>para los adolescentes y la tutela efectiva de sus derechos</w:t>
      </w:r>
      <w:r w:rsidRPr="000458B7">
        <w:rPr>
          <w:rFonts w:ascii="Century Gothic" w:hAnsi="Century Gothic" w:cs="Arial"/>
        </w:rPr>
        <w:t>.</w:t>
      </w:r>
    </w:p>
    <w:p w14:paraId="41051AEB" w14:textId="77777777" w:rsidR="006E473D" w:rsidRPr="000458B7" w:rsidRDefault="006E473D" w:rsidP="003D2D23">
      <w:pPr>
        <w:spacing w:line="360" w:lineRule="auto"/>
        <w:jc w:val="both"/>
        <w:rPr>
          <w:rFonts w:ascii="Century Gothic" w:hAnsi="Century Gothic" w:cs="Arial"/>
          <w:bCs/>
        </w:rPr>
      </w:pPr>
    </w:p>
    <w:p w14:paraId="50E6C75E" w14:textId="6332FEF4" w:rsidR="00FD2159" w:rsidRPr="000458B7" w:rsidRDefault="00FD2159" w:rsidP="008F1B49">
      <w:pPr>
        <w:spacing w:line="360" w:lineRule="auto"/>
        <w:ind w:firstLine="708"/>
        <w:jc w:val="both"/>
        <w:rPr>
          <w:rFonts w:ascii="Century Gothic" w:hAnsi="Century Gothic" w:cs="Arial"/>
          <w:bCs/>
        </w:rPr>
      </w:pPr>
      <w:r w:rsidRPr="000458B7">
        <w:rPr>
          <w:rFonts w:ascii="Century Gothic" w:hAnsi="Century Gothic"/>
        </w:rPr>
        <w:t xml:space="preserve">En virtud de ello y, con fundamento en las consideraciones y preceptos constitucionales y legales que anteceden para sustentarlas, someto a consideración, el siguiente </w:t>
      </w:r>
      <w:r w:rsidRPr="000458B7">
        <w:rPr>
          <w:rFonts w:ascii="Century Gothic" w:hAnsi="Century Gothic" w:cs="Arial"/>
          <w:bCs/>
        </w:rPr>
        <w:t>proyecto</w:t>
      </w:r>
      <w:r w:rsidRPr="000458B7">
        <w:rPr>
          <w:rFonts w:ascii="Century Gothic" w:hAnsi="Century Gothic"/>
        </w:rPr>
        <w:t xml:space="preserve"> d</w:t>
      </w:r>
      <w:r w:rsidRPr="000458B7">
        <w:rPr>
          <w:rFonts w:ascii="Century Gothic" w:hAnsi="Century Gothic" w:cs="Arial"/>
          <w:bCs/>
        </w:rPr>
        <w:t>e</w:t>
      </w:r>
    </w:p>
    <w:p w14:paraId="4230457E" w14:textId="77777777" w:rsidR="00FD2159" w:rsidRPr="000458B7" w:rsidRDefault="00FD2159" w:rsidP="003D2D23">
      <w:pPr>
        <w:spacing w:line="360" w:lineRule="auto"/>
        <w:jc w:val="both"/>
        <w:rPr>
          <w:rFonts w:ascii="Century Gothic" w:hAnsi="Century Gothic" w:cs="Arial"/>
          <w:bCs/>
        </w:rPr>
      </w:pPr>
    </w:p>
    <w:p w14:paraId="3AADBE2B" w14:textId="0B00C344" w:rsidR="00853AD6" w:rsidRPr="000458B7" w:rsidRDefault="003D2D23" w:rsidP="003D2D23">
      <w:pPr>
        <w:spacing w:line="360" w:lineRule="auto"/>
        <w:jc w:val="center"/>
        <w:rPr>
          <w:rFonts w:ascii="Century Gothic" w:hAnsi="Century Gothic" w:cs="Arial"/>
          <w:b/>
          <w:bCs/>
        </w:rPr>
      </w:pPr>
      <w:r w:rsidRPr="000458B7">
        <w:rPr>
          <w:rFonts w:ascii="Century Gothic" w:hAnsi="Century Gothic" w:cs="Arial"/>
          <w:b/>
          <w:bCs/>
        </w:rPr>
        <w:lastRenderedPageBreak/>
        <w:t>DECRETO</w:t>
      </w:r>
      <w:r w:rsidR="009B5474" w:rsidRPr="000458B7">
        <w:rPr>
          <w:rFonts w:ascii="Century Gothic" w:hAnsi="Century Gothic" w:cs="Arial"/>
          <w:b/>
          <w:bCs/>
        </w:rPr>
        <w:t xml:space="preserve"> </w:t>
      </w:r>
    </w:p>
    <w:p w14:paraId="7C3F6B31" w14:textId="77777777" w:rsidR="0028328C" w:rsidRPr="000458B7" w:rsidRDefault="0028328C" w:rsidP="005B405A">
      <w:pPr>
        <w:spacing w:line="360" w:lineRule="auto"/>
        <w:jc w:val="both"/>
        <w:rPr>
          <w:rFonts w:ascii="Century Gothic" w:hAnsi="Century Gothic" w:cs="Arial"/>
          <w:lang w:val="es-ES_tradnl"/>
        </w:rPr>
      </w:pPr>
    </w:p>
    <w:p w14:paraId="28AF5748" w14:textId="6755A089" w:rsidR="008529AA" w:rsidRPr="00731742" w:rsidRDefault="003D2D23" w:rsidP="00761F50">
      <w:pPr>
        <w:spacing w:line="360" w:lineRule="auto"/>
        <w:jc w:val="both"/>
        <w:rPr>
          <w:rFonts w:ascii="Century Gothic" w:hAnsi="Century Gothic" w:cs="Arial"/>
          <w:lang w:val="es-ES_tradnl"/>
        </w:rPr>
      </w:pPr>
      <w:r w:rsidRPr="000458B7">
        <w:rPr>
          <w:rFonts w:ascii="Century Gothic" w:hAnsi="Century Gothic" w:cs="Arial"/>
          <w:b/>
          <w:bCs/>
          <w:lang w:val="es-ES_tradnl"/>
        </w:rPr>
        <w:t>ARTÍCULO PRIMERO:</w:t>
      </w:r>
      <w:r w:rsidR="00FD2159" w:rsidRPr="000458B7">
        <w:rPr>
          <w:rFonts w:ascii="Century Gothic" w:hAnsi="Century Gothic" w:cs="Arial"/>
          <w:b/>
          <w:bCs/>
          <w:lang w:val="es-ES_tradnl"/>
        </w:rPr>
        <w:t xml:space="preserve"> </w:t>
      </w:r>
      <w:r w:rsidR="00FD2159" w:rsidRPr="00731742">
        <w:rPr>
          <w:rFonts w:ascii="Century Gothic" w:hAnsi="Century Gothic" w:cs="Arial"/>
          <w:bCs/>
          <w:lang w:val="es-ES_tradnl"/>
        </w:rPr>
        <w:t xml:space="preserve">Se </w:t>
      </w:r>
      <w:r w:rsidR="00731742" w:rsidRPr="00731742">
        <w:rPr>
          <w:rFonts w:ascii="Century Gothic" w:hAnsi="Century Gothic" w:cs="Arial"/>
          <w:bCs/>
          <w:lang w:val="es-ES_tradnl"/>
        </w:rPr>
        <w:t>reforma</w:t>
      </w:r>
      <w:r w:rsidR="00FD2159" w:rsidRPr="00731742">
        <w:rPr>
          <w:rFonts w:ascii="Century Gothic" w:hAnsi="Century Gothic" w:cs="Arial"/>
          <w:bCs/>
          <w:lang w:val="es-ES_tradnl"/>
        </w:rPr>
        <w:t xml:space="preserve"> el contenido del </w:t>
      </w:r>
      <w:r w:rsidR="006E473D" w:rsidRPr="00731742">
        <w:rPr>
          <w:rFonts w:ascii="Century Gothic" w:hAnsi="Century Gothic" w:cs="Arial"/>
          <w:lang w:val="es-ES_tradnl"/>
        </w:rPr>
        <w:t>A</w:t>
      </w:r>
      <w:r w:rsidR="0074691E" w:rsidRPr="00731742">
        <w:rPr>
          <w:rFonts w:ascii="Century Gothic" w:hAnsi="Century Gothic" w:cs="Arial"/>
          <w:lang w:val="es-ES_tradnl"/>
        </w:rPr>
        <w:t xml:space="preserve">rtículo 177 del </w:t>
      </w:r>
      <w:r w:rsidR="00FD2159" w:rsidRPr="00731742">
        <w:rPr>
          <w:rFonts w:ascii="Century Gothic" w:hAnsi="Century Gothic" w:cs="Arial"/>
          <w:lang w:val="es-ES_tradnl"/>
        </w:rPr>
        <w:t>C</w:t>
      </w:r>
      <w:r w:rsidR="0074691E" w:rsidRPr="00731742">
        <w:rPr>
          <w:rFonts w:ascii="Century Gothic" w:hAnsi="Century Gothic" w:cs="Arial"/>
          <w:lang w:val="es-ES_tradnl"/>
        </w:rPr>
        <w:t xml:space="preserve">ódigo </w:t>
      </w:r>
      <w:r w:rsidR="00FD2159" w:rsidRPr="00731742">
        <w:rPr>
          <w:rFonts w:ascii="Century Gothic" w:hAnsi="Century Gothic" w:cs="Arial"/>
          <w:lang w:val="es-ES_tradnl"/>
        </w:rPr>
        <w:t>P</w:t>
      </w:r>
      <w:r w:rsidR="0074691E" w:rsidRPr="00731742">
        <w:rPr>
          <w:rFonts w:ascii="Century Gothic" w:hAnsi="Century Gothic" w:cs="Arial"/>
          <w:lang w:val="es-ES_tradnl"/>
        </w:rPr>
        <w:t xml:space="preserve">enal del </w:t>
      </w:r>
      <w:r w:rsidR="00FD2159" w:rsidRPr="00731742">
        <w:rPr>
          <w:rFonts w:ascii="Century Gothic" w:hAnsi="Century Gothic" w:cs="Arial"/>
          <w:lang w:val="es-ES_tradnl"/>
        </w:rPr>
        <w:t>E</w:t>
      </w:r>
      <w:r w:rsidR="0074691E" w:rsidRPr="00731742">
        <w:rPr>
          <w:rFonts w:ascii="Century Gothic" w:hAnsi="Century Gothic" w:cs="Arial"/>
          <w:lang w:val="es-ES_tradnl"/>
        </w:rPr>
        <w:t xml:space="preserve">stado de </w:t>
      </w:r>
      <w:r w:rsidR="00FD2159" w:rsidRPr="00731742">
        <w:rPr>
          <w:rFonts w:ascii="Century Gothic" w:hAnsi="Century Gothic" w:cs="Arial"/>
          <w:lang w:val="es-ES_tradnl"/>
        </w:rPr>
        <w:t>C</w:t>
      </w:r>
      <w:r w:rsidR="0074691E" w:rsidRPr="00731742">
        <w:rPr>
          <w:rFonts w:ascii="Century Gothic" w:hAnsi="Century Gothic" w:cs="Arial"/>
          <w:lang w:val="es-ES_tradnl"/>
        </w:rPr>
        <w:t xml:space="preserve">hihuahua, </w:t>
      </w:r>
      <w:r w:rsidR="00FD2159" w:rsidRPr="00731742">
        <w:rPr>
          <w:rFonts w:ascii="Century Gothic" w:hAnsi="Century Gothic" w:cs="Arial"/>
          <w:lang w:val="es-ES_tradnl"/>
        </w:rPr>
        <w:t>en lo referente a</w:t>
      </w:r>
      <w:r w:rsidR="00DD4023" w:rsidRPr="00731742">
        <w:rPr>
          <w:rFonts w:ascii="Century Gothic" w:hAnsi="Century Gothic" w:cs="Arial"/>
          <w:lang w:val="es-ES_tradnl"/>
        </w:rPr>
        <w:t>l</w:t>
      </w:r>
      <w:r w:rsidR="00FD2159" w:rsidRPr="00731742">
        <w:rPr>
          <w:rFonts w:ascii="Century Gothic" w:hAnsi="Century Gothic" w:cs="Arial"/>
          <w:lang w:val="es-ES_tradnl"/>
        </w:rPr>
        <w:t xml:space="preserve"> a pena del delito de estupro</w:t>
      </w:r>
      <w:r w:rsidR="00DD4023" w:rsidRPr="00731742">
        <w:rPr>
          <w:rFonts w:ascii="Century Gothic" w:hAnsi="Century Gothic" w:cs="Arial"/>
          <w:lang w:val="es-ES_tradnl"/>
        </w:rPr>
        <w:t>,</w:t>
      </w:r>
      <w:r w:rsidR="00FD2159" w:rsidRPr="00731742">
        <w:rPr>
          <w:rFonts w:ascii="Century Gothic" w:hAnsi="Century Gothic" w:cs="Arial"/>
          <w:lang w:val="es-ES_tradnl"/>
        </w:rPr>
        <w:t xml:space="preserve"> </w:t>
      </w:r>
      <w:r w:rsidR="0074691E" w:rsidRPr="00731742">
        <w:rPr>
          <w:rFonts w:ascii="Century Gothic" w:hAnsi="Century Gothic" w:cs="Arial"/>
          <w:lang w:val="es-ES_tradnl"/>
        </w:rPr>
        <w:t xml:space="preserve">para quedar </w:t>
      </w:r>
      <w:r w:rsidR="00FD2159" w:rsidRPr="00731742">
        <w:rPr>
          <w:rFonts w:ascii="Century Gothic" w:hAnsi="Century Gothic" w:cs="Arial"/>
          <w:lang w:val="es-ES_tradnl"/>
        </w:rPr>
        <w:t xml:space="preserve">redactado </w:t>
      </w:r>
      <w:r w:rsidR="0074691E" w:rsidRPr="00731742">
        <w:rPr>
          <w:rFonts w:ascii="Century Gothic" w:hAnsi="Century Gothic" w:cs="Arial"/>
          <w:lang w:val="es-ES_tradnl"/>
        </w:rPr>
        <w:t>de la siguiente manera</w:t>
      </w:r>
      <w:r w:rsidRPr="00731742">
        <w:rPr>
          <w:rFonts w:ascii="Century Gothic" w:hAnsi="Century Gothic" w:cs="Arial"/>
          <w:lang w:val="es-ES_tradnl"/>
        </w:rPr>
        <w:t xml:space="preserve">: </w:t>
      </w:r>
    </w:p>
    <w:p w14:paraId="28252C44" w14:textId="77777777" w:rsidR="00DD4023" w:rsidRPr="000458B7" w:rsidRDefault="00DD4023" w:rsidP="00761F50">
      <w:pPr>
        <w:spacing w:line="360" w:lineRule="auto"/>
        <w:jc w:val="both"/>
        <w:rPr>
          <w:rFonts w:ascii="Century Gothic" w:hAnsi="Century Gothic" w:cs="Arial"/>
          <w:lang w:val="es-ES_tradnl"/>
        </w:rPr>
      </w:pPr>
    </w:p>
    <w:p w14:paraId="3B790125" w14:textId="3C07BE75" w:rsidR="003D74AE" w:rsidRPr="000458B7" w:rsidRDefault="003D2D23" w:rsidP="0074691E">
      <w:pPr>
        <w:spacing w:line="360" w:lineRule="auto"/>
        <w:jc w:val="both"/>
        <w:rPr>
          <w:rFonts w:ascii="Century Gothic" w:hAnsi="Century Gothic" w:cs="Arial"/>
          <w:lang w:val="es-ES_tradnl"/>
        </w:rPr>
      </w:pPr>
      <w:r w:rsidRPr="000458B7">
        <w:rPr>
          <w:rFonts w:ascii="Century Gothic" w:hAnsi="Century Gothic" w:cs="Arial"/>
          <w:b/>
          <w:bCs/>
          <w:lang w:val="es-ES_tradnl"/>
        </w:rPr>
        <w:t xml:space="preserve">Artículo </w:t>
      </w:r>
      <w:r w:rsidR="0074691E" w:rsidRPr="000458B7">
        <w:rPr>
          <w:rFonts w:ascii="Century Gothic" w:hAnsi="Century Gothic" w:cs="Arial"/>
          <w:b/>
          <w:bCs/>
          <w:lang w:val="es-ES_tradnl"/>
        </w:rPr>
        <w:t>177</w:t>
      </w:r>
      <w:r w:rsidRPr="000458B7">
        <w:rPr>
          <w:rFonts w:ascii="Century Gothic" w:hAnsi="Century Gothic" w:cs="Arial"/>
          <w:b/>
          <w:bCs/>
          <w:lang w:val="es-ES_tradnl"/>
        </w:rPr>
        <w:t>.</w:t>
      </w:r>
      <w:r w:rsidRPr="000458B7">
        <w:rPr>
          <w:rFonts w:ascii="Century Gothic" w:hAnsi="Century Gothic" w:cs="Arial"/>
          <w:lang w:val="es-ES_tradnl"/>
        </w:rPr>
        <w:t xml:space="preserve"> </w:t>
      </w:r>
      <w:r w:rsidR="006E473D" w:rsidRPr="000458B7">
        <w:rPr>
          <w:rFonts w:ascii="Century Gothic" w:hAnsi="Century Gothic" w:cs="Arial"/>
          <w:lang w:val="es-ES_tradnl"/>
        </w:rPr>
        <w:t xml:space="preserve">A quien tenga copula con persona mayor de catorce y menor de dieciocho años, obteniendo su consentimiento por medio de cualquier tipo de engaño, se le impondrá de </w:t>
      </w:r>
      <w:r w:rsidR="006E473D" w:rsidRPr="000458B7">
        <w:rPr>
          <w:rFonts w:ascii="Century Gothic" w:hAnsi="Century Gothic" w:cs="Arial"/>
          <w:b/>
          <w:bCs/>
          <w:lang w:val="es-ES_tradnl"/>
        </w:rPr>
        <w:t>tres</w:t>
      </w:r>
      <w:r w:rsidR="006E473D" w:rsidRPr="000458B7">
        <w:rPr>
          <w:rFonts w:ascii="Century Gothic" w:hAnsi="Century Gothic" w:cs="Arial"/>
          <w:lang w:val="es-ES_tradnl"/>
        </w:rPr>
        <w:t xml:space="preserve"> a </w:t>
      </w:r>
      <w:r w:rsidR="006E473D" w:rsidRPr="000458B7">
        <w:rPr>
          <w:rFonts w:ascii="Century Gothic" w:hAnsi="Century Gothic" w:cs="Arial"/>
          <w:b/>
          <w:bCs/>
          <w:lang w:val="es-ES_tradnl"/>
        </w:rPr>
        <w:t>diez</w:t>
      </w:r>
      <w:r w:rsidR="006E473D" w:rsidRPr="000458B7">
        <w:rPr>
          <w:rFonts w:ascii="Century Gothic" w:hAnsi="Century Gothic" w:cs="Arial"/>
          <w:lang w:val="es-ES_tradnl"/>
        </w:rPr>
        <w:t xml:space="preserve"> años de prisión y multa de treinta a ochenta veces el Valor Diario De Unidad De Medida Y Actualización.</w:t>
      </w:r>
    </w:p>
    <w:p w14:paraId="1378C819" w14:textId="77777777" w:rsidR="00FD2159" w:rsidRPr="000458B7" w:rsidRDefault="00FD2159" w:rsidP="0074691E">
      <w:pPr>
        <w:spacing w:line="360" w:lineRule="auto"/>
        <w:jc w:val="both"/>
        <w:rPr>
          <w:rFonts w:ascii="Century Gothic" w:hAnsi="Century Gothic" w:cs="Arial"/>
          <w:lang w:val="es-ES_tradnl"/>
        </w:rPr>
      </w:pPr>
    </w:p>
    <w:p w14:paraId="4C74E9D8" w14:textId="77777777" w:rsidR="00FD2159" w:rsidRDefault="00FD2159" w:rsidP="00FD2159">
      <w:pPr>
        <w:spacing w:line="360" w:lineRule="auto"/>
        <w:jc w:val="both"/>
        <w:rPr>
          <w:rFonts w:ascii="Century Gothic" w:hAnsi="Century Gothic" w:cs="Arial"/>
        </w:rPr>
      </w:pPr>
      <w:r w:rsidRPr="000458B7">
        <w:rPr>
          <w:rFonts w:ascii="Century Gothic" w:hAnsi="Century Gothic" w:cs="Arial"/>
          <w:b/>
        </w:rPr>
        <w:t>ARTÍCULO SEGUNDO</w:t>
      </w:r>
      <w:r w:rsidRPr="000458B7">
        <w:rPr>
          <w:rFonts w:ascii="Century Gothic" w:hAnsi="Century Gothic" w:cs="Arial"/>
        </w:rPr>
        <w:t>.- El presente Decreto entrará en vigor al día siguiente de su publicación en el Periódico Oficial del Estado.</w:t>
      </w:r>
    </w:p>
    <w:p w14:paraId="069455C3" w14:textId="77777777" w:rsidR="000458B7" w:rsidRPr="000458B7" w:rsidRDefault="000458B7" w:rsidP="00FD2159">
      <w:pPr>
        <w:spacing w:line="360" w:lineRule="auto"/>
        <w:jc w:val="both"/>
        <w:rPr>
          <w:rFonts w:ascii="Century Gothic" w:hAnsi="Century Gothic" w:cs="Arial"/>
        </w:rPr>
      </w:pPr>
    </w:p>
    <w:p w14:paraId="3C3BEA32" w14:textId="77777777" w:rsidR="00FD2159" w:rsidRPr="000458B7" w:rsidRDefault="00FD2159" w:rsidP="00FD2159">
      <w:pPr>
        <w:autoSpaceDE w:val="0"/>
        <w:autoSpaceDN w:val="0"/>
        <w:adjustRightInd w:val="0"/>
        <w:spacing w:after="160" w:line="360" w:lineRule="auto"/>
        <w:ind w:right="-234"/>
        <w:jc w:val="both"/>
        <w:rPr>
          <w:rFonts w:ascii="Century Gothic" w:hAnsi="Century Gothic" w:cs="Arial"/>
          <w:color w:val="000000"/>
        </w:rPr>
      </w:pPr>
      <w:r w:rsidRPr="000458B7">
        <w:rPr>
          <w:rFonts w:ascii="Century Gothic" w:hAnsi="Century Gothic" w:cs="Arial"/>
          <w:b/>
          <w:bCs/>
          <w:color w:val="000000"/>
        </w:rPr>
        <w:t>Económico.</w:t>
      </w:r>
      <w:r w:rsidRPr="000458B7">
        <w:rPr>
          <w:rFonts w:ascii="Century Gothic" w:hAnsi="Century Gothic" w:cs="Arial"/>
          <w:color w:val="000000"/>
        </w:rPr>
        <w:t xml:space="preserve"> Aprobado que sea, túrnese a la Secretaría para que elabore la Minuta de Acuerdo correspondiente.  </w:t>
      </w:r>
    </w:p>
    <w:p w14:paraId="61945B20" w14:textId="5B0FAE76" w:rsidR="00FD2159" w:rsidRPr="000458B7" w:rsidRDefault="00FD2159" w:rsidP="00FD2159">
      <w:pPr>
        <w:autoSpaceDE w:val="0"/>
        <w:autoSpaceDN w:val="0"/>
        <w:adjustRightInd w:val="0"/>
        <w:spacing w:line="360" w:lineRule="auto"/>
        <w:ind w:right="-234"/>
        <w:jc w:val="both"/>
        <w:rPr>
          <w:rFonts w:ascii="Century Gothic" w:hAnsi="Century Gothic" w:cs="Arial"/>
          <w:color w:val="000000"/>
        </w:rPr>
      </w:pPr>
      <w:r w:rsidRPr="000458B7">
        <w:rPr>
          <w:rFonts w:ascii="Century Gothic" w:hAnsi="Century Gothic" w:cs="Arial"/>
          <w:b/>
          <w:bCs/>
          <w:color w:val="000000"/>
        </w:rPr>
        <w:t>D A D O</w:t>
      </w:r>
      <w:r w:rsidRPr="000458B7">
        <w:rPr>
          <w:rFonts w:ascii="Century Gothic" w:hAnsi="Century Gothic" w:cs="Arial"/>
          <w:color w:val="000000"/>
        </w:rPr>
        <w:t xml:space="preserve"> en </w:t>
      </w:r>
      <w:r w:rsidR="00731742">
        <w:rPr>
          <w:rFonts w:ascii="Century Gothic" w:hAnsi="Century Gothic" w:cs="Arial"/>
          <w:color w:val="000000"/>
        </w:rPr>
        <w:t>la Ciudad de</w:t>
      </w:r>
      <w:r w:rsidRPr="000458B7">
        <w:rPr>
          <w:rFonts w:ascii="Century Gothic" w:hAnsi="Century Gothic" w:cs="Arial"/>
          <w:color w:val="000000"/>
        </w:rPr>
        <w:t xml:space="preserve"> Chihuahua,</w:t>
      </w:r>
      <w:r w:rsidR="00731742">
        <w:rPr>
          <w:rFonts w:ascii="Century Gothic" w:hAnsi="Century Gothic" w:cs="Arial"/>
          <w:color w:val="000000"/>
        </w:rPr>
        <w:t xml:space="preserve"> Chihuahua,</w:t>
      </w:r>
      <w:r w:rsidRPr="000458B7">
        <w:rPr>
          <w:rFonts w:ascii="Century Gothic" w:hAnsi="Century Gothic" w:cs="Arial"/>
          <w:color w:val="000000"/>
        </w:rPr>
        <w:t xml:space="preserve"> a los </w:t>
      </w:r>
      <w:r w:rsidR="00731742">
        <w:rPr>
          <w:rFonts w:ascii="Century Gothic" w:hAnsi="Century Gothic" w:cs="Arial"/>
          <w:color w:val="000000"/>
        </w:rPr>
        <w:t xml:space="preserve">26 </w:t>
      </w:r>
      <w:r w:rsidRPr="000458B7">
        <w:rPr>
          <w:rFonts w:ascii="Century Gothic" w:hAnsi="Century Gothic" w:cs="Arial"/>
          <w:color w:val="000000"/>
        </w:rPr>
        <w:t xml:space="preserve">días del mes de </w:t>
      </w:r>
      <w:r w:rsidR="00731742">
        <w:rPr>
          <w:rFonts w:ascii="Century Gothic" w:hAnsi="Century Gothic" w:cs="Arial"/>
          <w:color w:val="000000"/>
        </w:rPr>
        <w:t>Agosto</w:t>
      </w:r>
      <w:r w:rsidRPr="000458B7">
        <w:rPr>
          <w:rFonts w:ascii="Century Gothic" w:hAnsi="Century Gothic" w:cs="Arial"/>
          <w:color w:val="000000"/>
        </w:rPr>
        <w:t xml:space="preserve"> del año dos mil veintiuno. </w:t>
      </w:r>
      <w:bookmarkStart w:id="0" w:name="_GoBack"/>
      <w:bookmarkEnd w:id="0"/>
    </w:p>
    <w:p w14:paraId="61E14A68" w14:textId="77777777" w:rsidR="00FD2159" w:rsidRPr="000458B7" w:rsidRDefault="00FD2159" w:rsidP="00FD2159">
      <w:pPr>
        <w:spacing w:line="360" w:lineRule="auto"/>
        <w:ind w:left="1428"/>
        <w:jc w:val="center"/>
        <w:rPr>
          <w:rFonts w:ascii="Century Gothic" w:hAnsi="Century Gothic" w:cs="Arial"/>
          <w:b/>
        </w:rPr>
      </w:pPr>
    </w:p>
    <w:p w14:paraId="1AF052BF" w14:textId="77777777" w:rsidR="00FD2159" w:rsidRPr="000458B7" w:rsidRDefault="00FD2159" w:rsidP="00FD2159">
      <w:pPr>
        <w:spacing w:line="360" w:lineRule="auto"/>
        <w:ind w:left="1428"/>
        <w:jc w:val="center"/>
        <w:rPr>
          <w:rFonts w:ascii="Century Gothic" w:hAnsi="Century Gothic" w:cs="Arial"/>
          <w:b/>
        </w:rPr>
      </w:pPr>
    </w:p>
    <w:p w14:paraId="4F12AE05" w14:textId="441C18F4" w:rsidR="00FD2159" w:rsidRPr="000458B7" w:rsidRDefault="00FD2159" w:rsidP="00731742">
      <w:pPr>
        <w:spacing w:line="360" w:lineRule="auto"/>
        <w:jc w:val="center"/>
        <w:rPr>
          <w:rFonts w:ascii="Century Gothic" w:hAnsi="Century Gothic" w:cs="Arial"/>
          <w:b/>
        </w:rPr>
      </w:pPr>
      <w:r w:rsidRPr="000458B7">
        <w:rPr>
          <w:rFonts w:ascii="Century Gothic" w:hAnsi="Century Gothic" w:cs="Arial"/>
          <w:b/>
        </w:rPr>
        <w:t>ATENTAMENTE</w:t>
      </w:r>
    </w:p>
    <w:p w14:paraId="1AAAE5CD" w14:textId="77777777" w:rsidR="00FD2159" w:rsidRPr="000458B7" w:rsidRDefault="00FD2159" w:rsidP="00731742">
      <w:pPr>
        <w:spacing w:line="360" w:lineRule="auto"/>
        <w:ind w:left="1428"/>
        <w:jc w:val="center"/>
        <w:rPr>
          <w:rFonts w:ascii="Century Gothic" w:hAnsi="Century Gothic" w:cs="Arial"/>
          <w:b/>
        </w:rPr>
      </w:pPr>
    </w:p>
    <w:p w14:paraId="293E9B87" w14:textId="43919C0B" w:rsidR="00FD2159" w:rsidRPr="000458B7" w:rsidRDefault="00731742" w:rsidP="00731742">
      <w:pPr>
        <w:spacing w:line="360" w:lineRule="auto"/>
        <w:jc w:val="center"/>
        <w:rPr>
          <w:rFonts w:ascii="Century Gothic" w:hAnsi="Century Gothic" w:cs="Arial"/>
          <w:b/>
        </w:rPr>
      </w:pPr>
      <w:r>
        <w:rPr>
          <w:rFonts w:ascii="Century Gothic" w:hAnsi="Century Gothic" w:cs="Arial"/>
          <w:b/>
        </w:rPr>
        <w:t>DIP. BLANCA GÁMEZ GUTIÉ</w:t>
      </w:r>
      <w:r w:rsidR="00FD2159" w:rsidRPr="000458B7">
        <w:rPr>
          <w:rFonts w:ascii="Century Gothic" w:hAnsi="Century Gothic" w:cs="Arial"/>
          <w:b/>
        </w:rPr>
        <w:t>RREZ.</w:t>
      </w:r>
    </w:p>
    <w:p w14:paraId="324D0056" w14:textId="77777777" w:rsidR="00FD2159" w:rsidRPr="000458B7" w:rsidRDefault="00FD2159" w:rsidP="00FD2159">
      <w:pPr>
        <w:autoSpaceDE w:val="0"/>
        <w:autoSpaceDN w:val="0"/>
        <w:adjustRightInd w:val="0"/>
        <w:spacing w:line="360" w:lineRule="auto"/>
        <w:ind w:right="-234"/>
        <w:jc w:val="both"/>
        <w:rPr>
          <w:rFonts w:ascii="Century Gothic" w:hAnsi="Century Gothic" w:cs="Arial"/>
          <w:color w:val="000000"/>
        </w:rPr>
      </w:pPr>
    </w:p>
    <w:p w14:paraId="7828B356" w14:textId="77777777" w:rsidR="00FD2159" w:rsidRPr="000458B7" w:rsidRDefault="00FD2159" w:rsidP="0074691E">
      <w:pPr>
        <w:spacing w:line="360" w:lineRule="auto"/>
        <w:jc w:val="both"/>
        <w:rPr>
          <w:rFonts w:ascii="Century Gothic" w:hAnsi="Century Gothic" w:cs="Arial"/>
          <w:lang w:val="es-ES_tradnl"/>
        </w:rPr>
      </w:pPr>
    </w:p>
    <w:p w14:paraId="42A53106" w14:textId="77777777" w:rsidR="008529AA" w:rsidRPr="000458B7" w:rsidRDefault="008529AA" w:rsidP="00761F50">
      <w:pPr>
        <w:spacing w:line="360" w:lineRule="auto"/>
        <w:jc w:val="both"/>
        <w:rPr>
          <w:rFonts w:ascii="Century Gothic" w:hAnsi="Century Gothic" w:cs="Arial"/>
          <w:lang w:val="es-ES_tradnl"/>
        </w:rPr>
      </w:pPr>
    </w:p>
    <w:p w14:paraId="27B5A2C7" w14:textId="77777777" w:rsidR="008E310B" w:rsidRPr="000458B7" w:rsidRDefault="008E310B" w:rsidP="006252BF">
      <w:pPr>
        <w:jc w:val="both"/>
        <w:rPr>
          <w:rFonts w:ascii="Century Gothic" w:hAnsi="Century Gothic" w:cs="Arial"/>
          <w:lang w:val="es-ES_tradnl"/>
        </w:rPr>
      </w:pPr>
    </w:p>
    <w:sectPr w:rsidR="008E310B" w:rsidRPr="000458B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58490" w14:textId="77777777" w:rsidR="00DC1C97" w:rsidRDefault="00DC1C97" w:rsidP="008E310B">
      <w:r>
        <w:separator/>
      </w:r>
    </w:p>
  </w:endnote>
  <w:endnote w:type="continuationSeparator" w:id="0">
    <w:p w14:paraId="436CC979" w14:textId="77777777" w:rsidR="00DC1C97" w:rsidRDefault="00DC1C97" w:rsidP="008E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3AA9F" w14:textId="77777777" w:rsidR="00DC1C97" w:rsidRDefault="00DC1C97" w:rsidP="008E310B">
      <w:r>
        <w:separator/>
      </w:r>
    </w:p>
  </w:footnote>
  <w:footnote w:type="continuationSeparator" w:id="0">
    <w:p w14:paraId="69782B5F" w14:textId="77777777" w:rsidR="00DC1C97" w:rsidRDefault="00DC1C97" w:rsidP="008E310B">
      <w:r>
        <w:continuationSeparator/>
      </w:r>
    </w:p>
  </w:footnote>
  <w:footnote w:id="1">
    <w:p w14:paraId="77F30442" w14:textId="2D4DDFEE" w:rsidR="00A46CA5" w:rsidRPr="00A46CA5" w:rsidRDefault="00A46CA5">
      <w:pPr>
        <w:pStyle w:val="Textonotapie"/>
        <w:rPr>
          <w:lang w:val="es-ES"/>
        </w:rPr>
      </w:pPr>
      <w:r>
        <w:rPr>
          <w:rStyle w:val="Refdenotaalpie"/>
        </w:rPr>
        <w:footnoteRef/>
      </w:r>
      <w:r>
        <w:t xml:space="preserve"> </w:t>
      </w:r>
      <w:r w:rsidR="009B5474" w:rsidRPr="009B5474">
        <w:t>https://documents-dds-ny.un.org/doc/UNDOC/GEN/G15/146/15/PDF/G1514615.pdf?OpenElement</w:t>
      </w:r>
    </w:p>
  </w:footnote>
  <w:footnote w:id="2">
    <w:p w14:paraId="5F3732FE" w14:textId="77777777" w:rsidR="003317B0" w:rsidRPr="007422E6" w:rsidRDefault="003317B0" w:rsidP="003317B0">
      <w:pPr>
        <w:pStyle w:val="Textonotapie"/>
        <w:rPr>
          <w:lang w:val="es-ES"/>
        </w:rPr>
      </w:pPr>
      <w:r>
        <w:rPr>
          <w:rStyle w:val="Refdenotaalpie"/>
        </w:rPr>
        <w:footnoteRef/>
      </w:r>
      <w:r>
        <w:t xml:space="preserve"> </w:t>
      </w:r>
      <w:r w:rsidRPr="007422E6">
        <w:t>https://www.inegi.org.mx/programas/enadid/2018/</w:t>
      </w:r>
    </w:p>
  </w:footnote>
  <w:footnote w:id="3">
    <w:p w14:paraId="63AC347B" w14:textId="77777777" w:rsidR="003317B0" w:rsidRPr="007422E6" w:rsidRDefault="003317B0" w:rsidP="003317B0">
      <w:pPr>
        <w:pStyle w:val="Textonotapie"/>
        <w:rPr>
          <w:lang w:val="es-ES"/>
        </w:rPr>
      </w:pPr>
      <w:r>
        <w:rPr>
          <w:rStyle w:val="Refdenotaalpie"/>
        </w:rPr>
        <w:footnoteRef/>
      </w:r>
      <w:r>
        <w:t xml:space="preserve"> Que habían tenido por lo menos una relación sexual durante el mes previo a la encuesta</w:t>
      </w:r>
    </w:p>
  </w:footnote>
  <w:footnote w:id="4">
    <w:p w14:paraId="60663656" w14:textId="77777777" w:rsidR="003317B0" w:rsidRPr="007422E6" w:rsidRDefault="003317B0" w:rsidP="003317B0">
      <w:pPr>
        <w:pStyle w:val="Textonotapie"/>
        <w:rPr>
          <w:lang w:val="es-ES"/>
        </w:rPr>
      </w:pPr>
      <w:r>
        <w:rPr>
          <w:rStyle w:val="Refdenotaalpie"/>
        </w:rPr>
        <w:footnoteRef/>
      </w:r>
      <w:r>
        <w:t xml:space="preserve"> INEGI, Estadísticas vitales. Mortalidad.</w:t>
      </w:r>
    </w:p>
  </w:footnote>
  <w:footnote w:id="5">
    <w:p w14:paraId="4C3F7169" w14:textId="77777777" w:rsidR="003317B0" w:rsidRPr="007422E6" w:rsidRDefault="003317B0" w:rsidP="003317B0">
      <w:pPr>
        <w:pStyle w:val="Textonotapie"/>
        <w:rPr>
          <w:lang w:val="es-ES"/>
        </w:rPr>
      </w:pPr>
      <w:r>
        <w:rPr>
          <w:rStyle w:val="Refdenotaalpie"/>
        </w:rPr>
        <w:footnoteRef/>
      </w:r>
      <w:r>
        <w:rPr>
          <w:rStyle w:val="Refdenotaalpie"/>
        </w:rPr>
        <w:footnoteRef/>
      </w:r>
      <w:r>
        <w:t xml:space="preserve"> INEGI, Estadísticas vitales. Natalidad. </w:t>
      </w:r>
    </w:p>
  </w:footnote>
  <w:footnote w:id="6">
    <w:p w14:paraId="38EE9FC3" w14:textId="77777777" w:rsidR="003317B0" w:rsidRPr="007422E6" w:rsidRDefault="003317B0" w:rsidP="003317B0">
      <w:pPr>
        <w:pStyle w:val="Textonotapie"/>
        <w:rPr>
          <w:lang w:val="es-ES"/>
        </w:rPr>
      </w:pPr>
      <w:r>
        <w:rPr>
          <w:rStyle w:val="Refdenotaalpie"/>
        </w:rPr>
        <w:footnoteRef/>
      </w:r>
      <w:r>
        <w:t xml:space="preserve"> INEGI, Encuesta Nacional sobre la Dinámica de las Relaciones en los Hogares 2016</w:t>
      </w:r>
    </w:p>
  </w:footnote>
  <w:footnote w:id="7">
    <w:p w14:paraId="46807243" w14:textId="3CEF7820" w:rsidR="00E926D1" w:rsidRPr="00E926D1" w:rsidRDefault="00E926D1">
      <w:pPr>
        <w:pStyle w:val="Textonotapie"/>
        <w:rPr>
          <w:lang w:val="es-ES"/>
        </w:rPr>
      </w:pPr>
      <w:r>
        <w:rPr>
          <w:rStyle w:val="Refdenotaalpie"/>
        </w:rPr>
        <w:footnoteRef/>
      </w:r>
      <w:r>
        <w:t xml:space="preserve"> </w:t>
      </w:r>
      <w:r w:rsidRPr="00E926D1">
        <w:t>https://www.unicef.org/mexico/media/1791/file/SITAN-UNICEF.pdf</w:t>
      </w:r>
    </w:p>
  </w:footnote>
  <w:footnote w:id="8">
    <w:p w14:paraId="7AB1ED39" w14:textId="51F1E80A" w:rsidR="00E926D1" w:rsidRPr="00E926D1" w:rsidRDefault="00E926D1">
      <w:pPr>
        <w:pStyle w:val="Textonotapie"/>
        <w:rPr>
          <w:lang w:val="es-ES"/>
        </w:rPr>
      </w:pPr>
      <w:r>
        <w:rPr>
          <w:rStyle w:val="Refdenotaalpie"/>
        </w:rPr>
        <w:footnoteRef/>
      </w:r>
      <w:r>
        <w:t xml:space="preserve"> Con información de la Dirección general de epidemiología de la Secretaría de Salud.</w:t>
      </w:r>
    </w:p>
  </w:footnote>
  <w:footnote w:id="9">
    <w:p w14:paraId="65CA6372" w14:textId="287E78C1" w:rsidR="00E926D1" w:rsidRPr="00E926D1" w:rsidRDefault="00E926D1">
      <w:pPr>
        <w:pStyle w:val="Textonotapie"/>
        <w:rPr>
          <w:lang w:val="es-ES"/>
        </w:rPr>
      </w:pPr>
      <w:r>
        <w:rPr>
          <w:rStyle w:val="Refdenotaalpie"/>
        </w:rPr>
        <w:footnoteRef/>
      </w:r>
      <w:r>
        <w:t xml:space="preserve"> INEGI (2015). Natalidad. Porcentaje de nacimientos registrados de madres adolescentes por entidad federativa, 2000 a 2014. Disponible en: http://www3.inegi.org.mx/sistemas/sisept/Default. aspx?t=mdemo29&amp;s=est&amp;c=17528</w:t>
      </w:r>
    </w:p>
  </w:footnote>
  <w:footnote w:id="10">
    <w:p w14:paraId="6220154F" w14:textId="725DB6F6" w:rsidR="00145838" w:rsidRPr="00145838" w:rsidRDefault="00145838">
      <w:pPr>
        <w:pStyle w:val="Textonotapie"/>
        <w:rPr>
          <w:lang w:val="es-ES"/>
        </w:rPr>
      </w:pPr>
      <w:r>
        <w:rPr>
          <w:rStyle w:val="Refdenotaalpie"/>
        </w:rPr>
        <w:footnoteRef/>
      </w:r>
      <w:r>
        <w:t xml:space="preserve"> 1 Instituto Nacional de Salud Pública y UNICEF México (2016). Encuesta nacional de niños, niñas y mujeres en México (ENIM) 2015 - Encuesta de Indicadores Múltiples por Conglomerados</w:t>
      </w:r>
    </w:p>
  </w:footnote>
  <w:footnote w:id="11">
    <w:p w14:paraId="6B03FB02" w14:textId="2A492473" w:rsidR="00145838" w:rsidRPr="00145838" w:rsidRDefault="00145838">
      <w:pPr>
        <w:pStyle w:val="Textonotapie"/>
        <w:rPr>
          <w:lang w:val="es-ES"/>
        </w:rPr>
      </w:pPr>
      <w:r>
        <w:rPr>
          <w:rStyle w:val="Refdenotaalpie"/>
        </w:rPr>
        <w:footnoteRef/>
      </w:r>
      <w:r>
        <w:t xml:space="preserve"> 2 Save the Children (2016). Estado de las madres en México: embarazo y maternidad en la adolescencia. México. p.6. Disponible en: https://www.savethechildren.mx/sites/savethechildren. mx/files/resources/Embarazo%20y%20Maternidad%20Adolescente.PDF</w:t>
      </w:r>
    </w:p>
  </w:footnote>
  <w:footnote w:id="12">
    <w:p w14:paraId="69317165" w14:textId="5ED6E731" w:rsidR="00145838" w:rsidRPr="00145838" w:rsidRDefault="00145838">
      <w:pPr>
        <w:pStyle w:val="Textonotapie"/>
        <w:rPr>
          <w:lang w:val="es-ES"/>
        </w:rPr>
      </w:pPr>
      <w:r>
        <w:rPr>
          <w:rStyle w:val="Refdenotaalpie"/>
        </w:rPr>
        <w:footnoteRef/>
      </w:r>
      <w:r>
        <w:t xml:space="preserve"> </w:t>
      </w:r>
      <w:r w:rsidRPr="00145838">
        <w:t>https://www.unicef.org/mexico/media/1791/file/SITAN-UNICEF.pdf</w:t>
      </w:r>
    </w:p>
  </w:footnote>
  <w:footnote w:id="13">
    <w:p w14:paraId="476E07DC" w14:textId="629B89F0" w:rsidR="00145838" w:rsidRPr="00145838" w:rsidRDefault="00145838">
      <w:pPr>
        <w:pStyle w:val="Textonotapie"/>
        <w:rPr>
          <w:lang w:val="es-ES"/>
        </w:rPr>
      </w:pPr>
      <w:r>
        <w:rPr>
          <w:rStyle w:val="Refdenotaalpie"/>
        </w:rPr>
        <w:footnoteRef/>
      </w:r>
      <w:r>
        <w:t xml:space="preserve"> Secretaría de Salud (2015). Estrategia Nacional para la Prevención del Embarazo en Adolescentes. México. Disponible en: http://www.gob.mx/cms/uploads/attachment/file/55979/ENAPEA_0215.pdf</w:t>
      </w:r>
    </w:p>
  </w:footnote>
  <w:footnote w:id="14">
    <w:p w14:paraId="6AAF76EF" w14:textId="20A04CF5" w:rsidR="003049C8" w:rsidRPr="003049C8" w:rsidRDefault="003049C8">
      <w:pPr>
        <w:pStyle w:val="Textonotapie"/>
        <w:rPr>
          <w:lang w:val="es-ES"/>
        </w:rPr>
      </w:pPr>
      <w:r>
        <w:rPr>
          <w:rStyle w:val="Refdenotaalpie"/>
        </w:rPr>
        <w:footnoteRef/>
      </w:r>
      <w:r>
        <w:t xml:space="preserve"> </w:t>
      </w:r>
      <w:r w:rsidRPr="003049C8">
        <w:t>https://undocs.org/sp/CEDAW/C/MEX/CO/7-8</w:t>
      </w:r>
    </w:p>
  </w:footnote>
  <w:footnote w:id="15">
    <w:p w14:paraId="56FB138C" w14:textId="38F6ADE7" w:rsidR="00F9231A" w:rsidRPr="00F9231A" w:rsidRDefault="00F9231A">
      <w:pPr>
        <w:pStyle w:val="Textonotapie"/>
        <w:rPr>
          <w:lang w:val="es-ES"/>
        </w:rPr>
      </w:pPr>
      <w:r>
        <w:rPr>
          <w:rStyle w:val="Refdenotaalpie"/>
        </w:rPr>
        <w:footnoteRef/>
      </w:r>
      <w:r>
        <w:t xml:space="preserve"> </w:t>
      </w:r>
      <w:r w:rsidRPr="00F9231A">
        <w:t>http://www.diputados.gob.mx/LeyesBiblio/pdf/1_280521.pdf</w:t>
      </w:r>
    </w:p>
  </w:footnote>
  <w:footnote w:id="16">
    <w:p w14:paraId="230DF37B" w14:textId="541F6729" w:rsidR="00A865B1" w:rsidRPr="00A865B1" w:rsidRDefault="00A865B1" w:rsidP="00A865B1">
      <w:pPr>
        <w:pStyle w:val="Textonotapie"/>
        <w:jc w:val="both"/>
        <w:rPr>
          <w:lang w:val="es-ES"/>
        </w:rPr>
      </w:pPr>
      <w:r>
        <w:rPr>
          <w:rStyle w:val="Refdenotaalpie"/>
        </w:rPr>
        <w:footnoteRef/>
      </w:r>
      <w:r>
        <w:t xml:space="preserve"> UNICEF, “Edades mínimas legales para la realización de los derechos de los y las adolescentes”, 2018, disponible en: https://www.unicef.org/lac/sites/unicef.org.lac/files/2018-07/2.DIG_edad_min_consent_sexualPDF_BAJA.pdf (consultado el 29 de mayo de 2020).</w:t>
      </w:r>
    </w:p>
  </w:footnote>
  <w:footnote w:id="17">
    <w:p w14:paraId="56A15E89" w14:textId="433448AE" w:rsidR="00AD4A95" w:rsidRPr="00AD4A95" w:rsidRDefault="00AD4A95" w:rsidP="00AD4A95">
      <w:pPr>
        <w:pStyle w:val="Textonotapie"/>
        <w:jc w:val="both"/>
        <w:rPr>
          <w:lang w:val="es-ES"/>
        </w:rPr>
      </w:pPr>
      <w:r>
        <w:rPr>
          <w:rStyle w:val="Refdenotaalpie"/>
        </w:rPr>
        <w:footnoteRef/>
      </w:r>
      <w:r>
        <w:t xml:space="preserve"> CIDH, Acceso a la justicia para mujeres víctimas de violencia sexual en Mesoamérica, Fondo de Población de las Naciones Unidas (UNFPA) y Agencia Española de Cooperación Internacional para el Desarrollo (AECID), 2011, disponible en: https://www.cidh.oas.org/pdf%20files/MESOAMERICA%202011%20ESP%20FINAL.pdf (consultado el 20 de mayo de 2020).</w:t>
      </w:r>
    </w:p>
  </w:footnote>
  <w:footnote w:id="18">
    <w:p w14:paraId="3D57B068" w14:textId="7089EEA4" w:rsidR="00AD4A95" w:rsidRPr="00AD4A95" w:rsidRDefault="00AD4A95" w:rsidP="00AD4A95">
      <w:pPr>
        <w:pStyle w:val="Textonotapie"/>
        <w:jc w:val="both"/>
        <w:rPr>
          <w:lang w:val="es-ES"/>
        </w:rPr>
      </w:pPr>
      <w:r>
        <w:rPr>
          <w:rStyle w:val="Refdenotaalpie"/>
        </w:rPr>
        <w:footnoteRef/>
      </w:r>
      <w:r>
        <w:t xml:space="preserve"> Rodríguez Manzo, G., et al., Bloque de constitucionalidad en México, Comisión de Derechos Humanos del Distrito Federal, Suprema Corte de Justicia de la Nación, Oficina en México del Alto Comisionado de las Naciones Unidas para los Derechos Humanos, 2013, p. 17, disponible en: https://cdhcm.org.mx/wpcontent/uploads/2015/05/2-Bloque-constitucionalidad.pdf (consultado el 7 de julio de 2020)</w:t>
      </w:r>
    </w:p>
  </w:footnote>
  <w:footnote w:id="19">
    <w:p w14:paraId="3B4F1A6F" w14:textId="0D523A50" w:rsidR="00B0104E" w:rsidRPr="00B0104E" w:rsidRDefault="00B0104E">
      <w:pPr>
        <w:pStyle w:val="Textonotapie"/>
        <w:rPr>
          <w:lang w:val="es-ES"/>
        </w:rPr>
      </w:pPr>
      <w:r>
        <w:rPr>
          <w:rStyle w:val="Refdenotaalpie"/>
        </w:rPr>
        <w:footnoteRef/>
      </w:r>
      <w:r>
        <w:t xml:space="preserve"> </w:t>
      </w:r>
      <w:r w:rsidRPr="00B0104E">
        <w:t>https://igualdaddegenero.cndh.org.mx/Content/doc/Observancia/Estupro.pdf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A7834" w14:textId="77777777" w:rsidR="006972D0" w:rsidRDefault="006972D0" w:rsidP="00B7393D">
    <w:pPr>
      <w:pStyle w:val="NormalWeb"/>
      <w:shd w:val="clear" w:color="auto" w:fill="FFFFFF"/>
      <w:spacing w:before="0" w:after="0"/>
      <w:ind w:firstLine="708"/>
      <w:jc w:val="right"/>
      <w:rPr>
        <w:rFonts w:ascii="Calibri" w:hAnsi="Calibri" w:cs="Calibri"/>
        <w:color w:val="000000"/>
        <w:sz w:val="22"/>
        <w:szCs w:val="22"/>
      </w:rPr>
    </w:pPr>
    <w:r>
      <w:rPr>
        <w:rFonts w:ascii="Monotype Corsiva" w:hAnsi="Monotype Corsiva" w:cs="Calibri"/>
        <w:i/>
        <w:iCs/>
        <w:color w:val="000000"/>
        <w:sz w:val="20"/>
        <w:szCs w:val="20"/>
        <w:bdr w:val="none" w:sz="0" w:space="0" w:color="auto" w:frame="1"/>
      </w:rPr>
      <w:t>"2021, Año del  Bicentenario de la Consumación de la Independencia de México "</w:t>
    </w:r>
  </w:p>
  <w:p w14:paraId="5142316A" w14:textId="77777777" w:rsidR="006972D0" w:rsidRDefault="006972D0" w:rsidP="00B7393D">
    <w:pPr>
      <w:pStyle w:val="NormalWeb"/>
      <w:shd w:val="clear" w:color="auto" w:fill="FFFFFF"/>
      <w:spacing w:before="0" w:after="0"/>
      <w:jc w:val="right"/>
      <w:rPr>
        <w:rFonts w:ascii="Monotype Corsiva" w:hAnsi="Monotype Corsiva" w:cs="Calibri"/>
        <w:i/>
        <w:iCs/>
        <w:color w:val="000000"/>
        <w:sz w:val="20"/>
        <w:szCs w:val="20"/>
        <w:bdr w:val="none" w:sz="0" w:space="0" w:color="auto" w:frame="1"/>
      </w:rPr>
    </w:pPr>
    <w:r>
      <w:rPr>
        <w:rFonts w:ascii="Monotype Corsiva" w:hAnsi="Monotype Corsiva" w:cs="Calibri"/>
        <w:i/>
        <w:iCs/>
        <w:color w:val="000000"/>
        <w:sz w:val="20"/>
        <w:szCs w:val="20"/>
        <w:bdr w:val="none" w:sz="0" w:space="0" w:color="auto" w:frame="1"/>
      </w:rPr>
      <w:t>“2021, Año de las Culturas del Norte”</w:t>
    </w:r>
  </w:p>
  <w:p w14:paraId="693372CF" w14:textId="77777777" w:rsidR="006972D0" w:rsidRDefault="006972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565F9"/>
    <w:multiLevelType w:val="hybridMultilevel"/>
    <w:tmpl w:val="0BAABC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BF"/>
    <w:rsid w:val="000458B7"/>
    <w:rsid w:val="00055087"/>
    <w:rsid w:val="00076B86"/>
    <w:rsid w:val="00087767"/>
    <w:rsid w:val="000B0A21"/>
    <w:rsid w:val="000B57E6"/>
    <w:rsid w:val="000F2236"/>
    <w:rsid w:val="0011120E"/>
    <w:rsid w:val="00145838"/>
    <w:rsid w:val="001C232E"/>
    <w:rsid w:val="001C2560"/>
    <w:rsid w:val="001C335B"/>
    <w:rsid w:val="001C62FE"/>
    <w:rsid w:val="00222E7B"/>
    <w:rsid w:val="002268A8"/>
    <w:rsid w:val="00233B1F"/>
    <w:rsid w:val="002355FA"/>
    <w:rsid w:val="00240729"/>
    <w:rsid w:val="0028328C"/>
    <w:rsid w:val="002D10D5"/>
    <w:rsid w:val="002D2860"/>
    <w:rsid w:val="002E0E57"/>
    <w:rsid w:val="002F6BA2"/>
    <w:rsid w:val="0030093F"/>
    <w:rsid w:val="003049C8"/>
    <w:rsid w:val="0032573E"/>
    <w:rsid w:val="00331724"/>
    <w:rsid w:val="003317B0"/>
    <w:rsid w:val="00334302"/>
    <w:rsid w:val="00390A11"/>
    <w:rsid w:val="003D2D23"/>
    <w:rsid w:val="003D74AE"/>
    <w:rsid w:val="003F7E1B"/>
    <w:rsid w:val="00403C6B"/>
    <w:rsid w:val="00464BD1"/>
    <w:rsid w:val="00474F84"/>
    <w:rsid w:val="004A47E1"/>
    <w:rsid w:val="004C31A4"/>
    <w:rsid w:val="005874FD"/>
    <w:rsid w:val="005918B0"/>
    <w:rsid w:val="005B405A"/>
    <w:rsid w:val="006252BF"/>
    <w:rsid w:val="00661B5E"/>
    <w:rsid w:val="00670608"/>
    <w:rsid w:val="006972D0"/>
    <w:rsid w:val="006E473D"/>
    <w:rsid w:val="00710D06"/>
    <w:rsid w:val="00731742"/>
    <w:rsid w:val="007422E6"/>
    <w:rsid w:val="0074691E"/>
    <w:rsid w:val="00761F50"/>
    <w:rsid w:val="007E30BD"/>
    <w:rsid w:val="008529AA"/>
    <w:rsid w:val="00853AD6"/>
    <w:rsid w:val="0086502F"/>
    <w:rsid w:val="008B4ED9"/>
    <w:rsid w:val="008E310B"/>
    <w:rsid w:val="008F1B49"/>
    <w:rsid w:val="00925BCC"/>
    <w:rsid w:val="0099205A"/>
    <w:rsid w:val="00992FDC"/>
    <w:rsid w:val="00995D69"/>
    <w:rsid w:val="0099614D"/>
    <w:rsid w:val="009B5474"/>
    <w:rsid w:val="009F69B3"/>
    <w:rsid w:val="00A23ADC"/>
    <w:rsid w:val="00A26524"/>
    <w:rsid w:val="00A3793D"/>
    <w:rsid w:val="00A413A9"/>
    <w:rsid w:val="00A454A1"/>
    <w:rsid w:val="00A46CA5"/>
    <w:rsid w:val="00A766FD"/>
    <w:rsid w:val="00A80690"/>
    <w:rsid w:val="00A865B1"/>
    <w:rsid w:val="00AB7003"/>
    <w:rsid w:val="00AD4A95"/>
    <w:rsid w:val="00B0104E"/>
    <w:rsid w:val="00B3396F"/>
    <w:rsid w:val="00B7393D"/>
    <w:rsid w:val="00C33415"/>
    <w:rsid w:val="00C845B3"/>
    <w:rsid w:val="00CF0DC6"/>
    <w:rsid w:val="00CF25F0"/>
    <w:rsid w:val="00D01480"/>
    <w:rsid w:val="00D35947"/>
    <w:rsid w:val="00D444EC"/>
    <w:rsid w:val="00D7616D"/>
    <w:rsid w:val="00D87267"/>
    <w:rsid w:val="00DC1C97"/>
    <w:rsid w:val="00DD4023"/>
    <w:rsid w:val="00DD51C8"/>
    <w:rsid w:val="00DF06DB"/>
    <w:rsid w:val="00E41875"/>
    <w:rsid w:val="00E670A2"/>
    <w:rsid w:val="00E926D1"/>
    <w:rsid w:val="00EB2540"/>
    <w:rsid w:val="00ED24A8"/>
    <w:rsid w:val="00ED7B3D"/>
    <w:rsid w:val="00F61548"/>
    <w:rsid w:val="00F9231A"/>
    <w:rsid w:val="00FD2159"/>
    <w:rsid w:val="00FF0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CE8C"/>
  <w15:chartTrackingRefBased/>
  <w15:docId w15:val="{82CA08BB-BF59-6A47-9547-45315C3E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E310B"/>
    <w:rPr>
      <w:sz w:val="20"/>
      <w:szCs w:val="20"/>
    </w:rPr>
  </w:style>
  <w:style w:type="character" w:customStyle="1" w:styleId="TextonotapieCar">
    <w:name w:val="Texto nota pie Car"/>
    <w:basedOn w:val="Fuentedeprrafopredeter"/>
    <w:link w:val="Textonotapie"/>
    <w:uiPriority w:val="99"/>
    <w:semiHidden/>
    <w:rsid w:val="008E310B"/>
    <w:rPr>
      <w:sz w:val="20"/>
      <w:szCs w:val="20"/>
    </w:rPr>
  </w:style>
  <w:style w:type="character" w:styleId="Refdenotaalpie">
    <w:name w:val="footnote reference"/>
    <w:basedOn w:val="Fuentedeprrafopredeter"/>
    <w:uiPriority w:val="99"/>
    <w:semiHidden/>
    <w:unhideWhenUsed/>
    <w:rsid w:val="008E310B"/>
    <w:rPr>
      <w:vertAlign w:val="superscript"/>
    </w:rPr>
  </w:style>
  <w:style w:type="character" w:styleId="Hipervnculo">
    <w:name w:val="Hyperlink"/>
    <w:basedOn w:val="Fuentedeprrafopredeter"/>
    <w:uiPriority w:val="99"/>
    <w:unhideWhenUsed/>
    <w:rsid w:val="008E310B"/>
    <w:rPr>
      <w:color w:val="0563C1" w:themeColor="hyperlink"/>
      <w:u w:val="single"/>
    </w:rPr>
  </w:style>
  <w:style w:type="character" w:customStyle="1" w:styleId="Mencinsinresolver1">
    <w:name w:val="Mención sin resolver1"/>
    <w:basedOn w:val="Fuentedeprrafopredeter"/>
    <w:uiPriority w:val="99"/>
    <w:semiHidden/>
    <w:unhideWhenUsed/>
    <w:rsid w:val="008E310B"/>
    <w:rPr>
      <w:color w:val="605E5C"/>
      <w:shd w:val="clear" w:color="auto" w:fill="E1DFDD"/>
    </w:rPr>
  </w:style>
  <w:style w:type="paragraph" w:styleId="NormalWeb">
    <w:name w:val="Normal (Web)"/>
    <w:basedOn w:val="Normal"/>
    <w:uiPriority w:val="99"/>
    <w:unhideWhenUsed/>
    <w:rsid w:val="008529AA"/>
    <w:pPr>
      <w:spacing w:before="100" w:beforeAutospacing="1" w:after="100" w:afterAutospacing="1"/>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A23ADC"/>
    <w:rPr>
      <w:color w:val="954F72" w:themeColor="followedHyperlink"/>
      <w:u w:val="single"/>
    </w:rPr>
  </w:style>
  <w:style w:type="paragraph" w:styleId="Prrafodelista">
    <w:name w:val="List Paragraph"/>
    <w:basedOn w:val="Normal"/>
    <w:uiPriority w:val="34"/>
    <w:qFormat/>
    <w:rsid w:val="0028328C"/>
    <w:pPr>
      <w:ind w:left="720"/>
      <w:contextualSpacing/>
    </w:pPr>
  </w:style>
  <w:style w:type="paragraph" w:styleId="Encabezado">
    <w:name w:val="header"/>
    <w:basedOn w:val="Normal"/>
    <w:link w:val="EncabezadoCar"/>
    <w:uiPriority w:val="99"/>
    <w:unhideWhenUsed/>
    <w:rsid w:val="00853AD6"/>
    <w:pPr>
      <w:tabs>
        <w:tab w:val="center" w:pos="4419"/>
        <w:tab w:val="right" w:pos="8838"/>
      </w:tabs>
    </w:pPr>
  </w:style>
  <w:style w:type="character" w:customStyle="1" w:styleId="EncabezadoCar">
    <w:name w:val="Encabezado Car"/>
    <w:basedOn w:val="Fuentedeprrafopredeter"/>
    <w:link w:val="Encabezado"/>
    <w:uiPriority w:val="99"/>
    <w:rsid w:val="00853AD6"/>
  </w:style>
  <w:style w:type="paragraph" w:styleId="Piedepgina">
    <w:name w:val="footer"/>
    <w:basedOn w:val="Normal"/>
    <w:link w:val="PiedepginaCar"/>
    <w:uiPriority w:val="99"/>
    <w:unhideWhenUsed/>
    <w:rsid w:val="00853AD6"/>
    <w:pPr>
      <w:tabs>
        <w:tab w:val="center" w:pos="4419"/>
        <w:tab w:val="right" w:pos="8838"/>
      </w:tabs>
    </w:pPr>
  </w:style>
  <w:style w:type="character" w:customStyle="1" w:styleId="PiedepginaCar">
    <w:name w:val="Pie de página Car"/>
    <w:basedOn w:val="Fuentedeprrafopredeter"/>
    <w:link w:val="Piedepgina"/>
    <w:uiPriority w:val="99"/>
    <w:rsid w:val="00853AD6"/>
  </w:style>
  <w:style w:type="character" w:styleId="Refdecomentario">
    <w:name w:val="annotation reference"/>
    <w:basedOn w:val="Fuentedeprrafopredeter"/>
    <w:uiPriority w:val="99"/>
    <w:semiHidden/>
    <w:unhideWhenUsed/>
    <w:rsid w:val="00B7393D"/>
    <w:rPr>
      <w:sz w:val="16"/>
      <w:szCs w:val="16"/>
    </w:rPr>
  </w:style>
  <w:style w:type="paragraph" w:styleId="Textocomentario">
    <w:name w:val="annotation text"/>
    <w:basedOn w:val="Normal"/>
    <w:link w:val="TextocomentarioCar"/>
    <w:uiPriority w:val="99"/>
    <w:semiHidden/>
    <w:unhideWhenUsed/>
    <w:rsid w:val="00B7393D"/>
    <w:rPr>
      <w:sz w:val="20"/>
      <w:szCs w:val="20"/>
    </w:rPr>
  </w:style>
  <w:style w:type="character" w:customStyle="1" w:styleId="TextocomentarioCar">
    <w:name w:val="Texto comentario Car"/>
    <w:basedOn w:val="Fuentedeprrafopredeter"/>
    <w:link w:val="Textocomentario"/>
    <w:uiPriority w:val="99"/>
    <w:semiHidden/>
    <w:rsid w:val="00B7393D"/>
    <w:rPr>
      <w:sz w:val="20"/>
      <w:szCs w:val="20"/>
    </w:rPr>
  </w:style>
  <w:style w:type="paragraph" w:styleId="Asuntodelcomentario">
    <w:name w:val="annotation subject"/>
    <w:basedOn w:val="Textocomentario"/>
    <w:next w:val="Textocomentario"/>
    <w:link w:val="AsuntodelcomentarioCar"/>
    <w:uiPriority w:val="99"/>
    <w:semiHidden/>
    <w:unhideWhenUsed/>
    <w:rsid w:val="00B7393D"/>
    <w:rPr>
      <w:b/>
      <w:bCs/>
    </w:rPr>
  </w:style>
  <w:style w:type="character" w:customStyle="1" w:styleId="AsuntodelcomentarioCar">
    <w:name w:val="Asunto del comentario Car"/>
    <w:basedOn w:val="TextocomentarioCar"/>
    <w:link w:val="Asuntodelcomentario"/>
    <w:uiPriority w:val="99"/>
    <w:semiHidden/>
    <w:rsid w:val="00B7393D"/>
    <w:rPr>
      <w:b/>
      <w:bCs/>
      <w:sz w:val="20"/>
      <w:szCs w:val="20"/>
    </w:rPr>
  </w:style>
  <w:style w:type="paragraph" w:styleId="Textodeglobo">
    <w:name w:val="Balloon Text"/>
    <w:basedOn w:val="Normal"/>
    <w:link w:val="TextodegloboCar"/>
    <w:uiPriority w:val="99"/>
    <w:semiHidden/>
    <w:unhideWhenUsed/>
    <w:rsid w:val="00B739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57098">
      <w:bodyDiv w:val="1"/>
      <w:marLeft w:val="0"/>
      <w:marRight w:val="0"/>
      <w:marTop w:val="0"/>
      <w:marBottom w:val="0"/>
      <w:divBdr>
        <w:top w:val="none" w:sz="0" w:space="0" w:color="auto"/>
        <w:left w:val="none" w:sz="0" w:space="0" w:color="auto"/>
        <w:bottom w:val="none" w:sz="0" w:space="0" w:color="auto"/>
        <w:right w:val="none" w:sz="0" w:space="0" w:color="auto"/>
      </w:divBdr>
      <w:divsChild>
        <w:div w:id="1100102177">
          <w:marLeft w:val="0"/>
          <w:marRight w:val="0"/>
          <w:marTop w:val="0"/>
          <w:marBottom w:val="0"/>
          <w:divBdr>
            <w:top w:val="none" w:sz="0" w:space="0" w:color="auto"/>
            <w:left w:val="none" w:sz="0" w:space="0" w:color="auto"/>
            <w:bottom w:val="none" w:sz="0" w:space="0" w:color="auto"/>
            <w:right w:val="none" w:sz="0" w:space="0" w:color="auto"/>
          </w:divBdr>
          <w:divsChild>
            <w:div w:id="1019506627">
              <w:marLeft w:val="0"/>
              <w:marRight w:val="0"/>
              <w:marTop w:val="0"/>
              <w:marBottom w:val="0"/>
              <w:divBdr>
                <w:top w:val="none" w:sz="0" w:space="0" w:color="auto"/>
                <w:left w:val="none" w:sz="0" w:space="0" w:color="auto"/>
                <w:bottom w:val="none" w:sz="0" w:space="0" w:color="auto"/>
                <w:right w:val="none" w:sz="0" w:space="0" w:color="auto"/>
              </w:divBdr>
              <w:divsChild>
                <w:div w:id="18813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50896">
      <w:bodyDiv w:val="1"/>
      <w:marLeft w:val="0"/>
      <w:marRight w:val="0"/>
      <w:marTop w:val="0"/>
      <w:marBottom w:val="0"/>
      <w:divBdr>
        <w:top w:val="none" w:sz="0" w:space="0" w:color="auto"/>
        <w:left w:val="none" w:sz="0" w:space="0" w:color="auto"/>
        <w:bottom w:val="none" w:sz="0" w:space="0" w:color="auto"/>
        <w:right w:val="none" w:sz="0" w:space="0" w:color="auto"/>
      </w:divBdr>
      <w:divsChild>
        <w:div w:id="543715971">
          <w:marLeft w:val="0"/>
          <w:marRight w:val="0"/>
          <w:marTop w:val="0"/>
          <w:marBottom w:val="0"/>
          <w:divBdr>
            <w:top w:val="none" w:sz="0" w:space="0" w:color="auto"/>
            <w:left w:val="none" w:sz="0" w:space="0" w:color="auto"/>
            <w:bottom w:val="none" w:sz="0" w:space="0" w:color="auto"/>
            <w:right w:val="none" w:sz="0" w:space="0" w:color="auto"/>
          </w:divBdr>
          <w:divsChild>
            <w:div w:id="627056499">
              <w:marLeft w:val="0"/>
              <w:marRight w:val="0"/>
              <w:marTop w:val="0"/>
              <w:marBottom w:val="0"/>
              <w:divBdr>
                <w:top w:val="none" w:sz="0" w:space="0" w:color="auto"/>
                <w:left w:val="none" w:sz="0" w:space="0" w:color="auto"/>
                <w:bottom w:val="none" w:sz="0" w:space="0" w:color="auto"/>
                <w:right w:val="none" w:sz="0" w:space="0" w:color="auto"/>
              </w:divBdr>
              <w:divsChild>
                <w:div w:id="1946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173">
      <w:bodyDiv w:val="1"/>
      <w:marLeft w:val="0"/>
      <w:marRight w:val="0"/>
      <w:marTop w:val="0"/>
      <w:marBottom w:val="0"/>
      <w:divBdr>
        <w:top w:val="none" w:sz="0" w:space="0" w:color="auto"/>
        <w:left w:val="none" w:sz="0" w:space="0" w:color="auto"/>
        <w:bottom w:val="none" w:sz="0" w:space="0" w:color="auto"/>
        <w:right w:val="none" w:sz="0" w:space="0" w:color="auto"/>
      </w:divBdr>
      <w:divsChild>
        <w:div w:id="1024134033">
          <w:marLeft w:val="0"/>
          <w:marRight w:val="0"/>
          <w:marTop w:val="0"/>
          <w:marBottom w:val="0"/>
          <w:divBdr>
            <w:top w:val="none" w:sz="0" w:space="0" w:color="auto"/>
            <w:left w:val="none" w:sz="0" w:space="0" w:color="auto"/>
            <w:bottom w:val="none" w:sz="0" w:space="0" w:color="auto"/>
            <w:right w:val="none" w:sz="0" w:space="0" w:color="auto"/>
          </w:divBdr>
          <w:divsChild>
            <w:div w:id="609972810">
              <w:marLeft w:val="0"/>
              <w:marRight w:val="0"/>
              <w:marTop w:val="0"/>
              <w:marBottom w:val="0"/>
              <w:divBdr>
                <w:top w:val="none" w:sz="0" w:space="0" w:color="auto"/>
                <w:left w:val="none" w:sz="0" w:space="0" w:color="auto"/>
                <w:bottom w:val="none" w:sz="0" w:space="0" w:color="auto"/>
                <w:right w:val="none" w:sz="0" w:space="0" w:color="auto"/>
              </w:divBdr>
              <w:divsChild>
                <w:div w:id="8080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1910">
      <w:bodyDiv w:val="1"/>
      <w:marLeft w:val="0"/>
      <w:marRight w:val="0"/>
      <w:marTop w:val="0"/>
      <w:marBottom w:val="0"/>
      <w:divBdr>
        <w:top w:val="none" w:sz="0" w:space="0" w:color="auto"/>
        <w:left w:val="none" w:sz="0" w:space="0" w:color="auto"/>
        <w:bottom w:val="none" w:sz="0" w:space="0" w:color="auto"/>
        <w:right w:val="none" w:sz="0" w:space="0" w:color="auto"/>
      </w:divBdr>
      <w:divsChild>
        <w:div w:id="1477409099">
          <w:marLeft w:val="0"/>
          <w:marRight w:val="0"/>
          <w:marTop w:val="0"/>
          <w:marBottom w:val="0"/>
          <w:divBdr>
            <w:top w:val="none" w:sz="0" w:space="0" w:color="auto"/>
            <w:left w:val="none" w:sz="0" w:space="0" w:color="auto"/>
            <w:bottom w:val="none" w:sz="0" w:space="0" w:color="auto"/>
            <w:right w:val="none" w:sz="0" w:space="0" w:color="auto"/>
          </w:divBdr>
          <w:divsChild>
            <w:div w:id="1117913490">
              <w:marLeft w:val="0"/>
              <w:marRight w:val="0"/>
              <w:marTop w:val="0"/>
              <w:marBottom w:val="0"/>
              <w:divBdr>
                <w:top w:val="none" w:sz="0" w:space="0" w:color="auto"/>
                <w:left w:val="none" w:sz="0" w:space="0" w:color="auto"/>
                <w:bottom w:val="none" w:sz="0" w:space="0" w:color="auto"/>
                <w:right w:val="none" w:sz="0" w:space="0" w:color="auto"/>
              </w:divBdr>
              <w:divsChild>
                <w:div w:id="2368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4209-5AD6-4208-B29D-907CBBD4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3862</Words>
  <Characters>21243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Villagrán Pérez</dc:creator>
  <cp:keywords/>
  <dc:description/>
  <cp:lastModifiedBy>Hector Alejandro Aguilar Guerra</cp:lastModifiedBy>
  <cp:revision>2</cp:revision>
  <cp:lastPrinted>2021-08-26T19:54:00Z</cp:lastPrinted>
  <dcterms:created xsi:type="dcterms:W3CDTF">2021-08-26T20:18:00Z</dcterms:created>
  <dcterms:modified xsi:type="dcterms:W3CDTF">2021-08-26T20:18:00Z</dcterms:modified>
</cp:coreProperties>
</file>