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A4" w:rsidRPr="00084DE6" w:rsidRDefault="00981CA4" w:rsidP="00717A94">
      <w:pPr>
        <w:spacing w:after="0" w:line="240" w:lineRule="auto"/>
        <w:rPr>
          <w:rFonts w:ascii="Arial" w:hAnsi="Arial" w:cs="Arial"/>
          <w:b/>
          <w:sz w:val="24"/>
          <w:szCs w:val="24"/>
        </w:rPr>
      </w:pPr>
      <w:bookmarkStart w:id="0" w:name="_GoBack"/>
      <w:bookmarkEnd w:id="0"/>
      <w:r w:rsidRPr="00084DE6">
        <w:rPr>
          <w:rFonts w:ascii="Arial" w:hAnsi="Arial" w:cs="Arial"/>
          <w:b/>
          <w:sz w:val="24"/>
          <w:szCs w:val="24"/>
        </w:rPr>
        <w:t>HONORABLE CONGRESO DEL ESTADO DE CHIHUAHUA</w:t>
      </w:r>
    </w:p>
    <w:p w:rsidR="00981CA4" w:rsidRPr="00084DE6" w:rsidRDefault="00981CA4" w:rsidP="00717A94">
      <w:pPr>
        <w:spacing w:after="0" w:line="240" w:lineRule="auto"/>
        <w:rPr>
          <w:rFonts w:ascii="Arial" w:hAnsi="Arial" w:cs="Arial"/>
          <w:b/>
          <w:sz w:val="24"/>
          <w:szCs w:val="24"/>
        </w:rPr>
      </w:pPr>
      <w:r w:rsidRPr="00084DE6">
        <w:rPr>
          <w:rFonts w:ascii="Arial" w:hAnsi="Arial" w:cs="Arial"/>
          <w:b/>
          <w:sz w:val="24"/>
          <w:szCs w:val="24"/>
        </w:rPr>
        <w:t>P R E S E N T E.-</w:t>
      </w:r>
    </w:p>
    <w:p w:rsidR="00981CA4" w:rsidRPr="00084DE6" w:rsidRDefault="00981CA4" w:rsidP="00717A94">
      <w:pPr>
        <w:spacing w:after="0" w:line="360" w:lineRule="auto"/>
        <w:rPr>
          <w:rFonts w:ascii="Arial" w:hAnsi="Arial" w:cs="Arial"/>
          <w:sz w:val="24"/>
          <w:szCs w:val="24"/>
        </w:rPr>
      </w:pPr>
    </w:p>
    <w:p w:rsidR="00DB2759" w:rsidRPr="00627B26" w:rsidRDefault="00981CA4" w:rsidP="00DB2759">
      <w:pPr>
        <w:spacing w:after="0" w:line="360" w:lineRule="auto"/>
        <w:jc w:val="both"/>
        <w:rPr>
          <w:rFonts w:ascii="Arial" w:eastAsia="Bookman Old Style" w:hAnsi="Arial" w:cs="Arial"/>
          <w:sz w:val="24"/>
          <w:szCs w:val="24"/>
        </w:rPr>
      </w:pPr>
      <w:r w:rsidRPr="00084DE6">
        <w:rPr>
          <w:rFonts w:ascii="Arial" w:hAnsi="Arial" w:cs="Arial"/>
          <w:sz w:val="24"/>
          <w:szCs w:val="24"/>
        </w:rPr>
        <w:t xml:space="preserve">El suscrito </w:t>
      </w:r>
      <w:r w:rsidRPr="00084DE6">
        <w:rPr>
          <w:rFonts w:ascii="Arial" w:hAnsi="Arial" w:cs="Arial"/>
          <w:b/>
          <w:sz w:val="24"/>
          <w:szCs w:val="24"/>
        </w:rPr>
        <w:t>Omar Bazán Flores</w:t>
      </w:r>
      <w:r w:rsidRPr="00084DE6">
        <w:rPr>
          <w:rFonts w:ascii="Arial" w:hAnsi="Arial" w:cs="Arial"/>
          <w:sz w:val="24"/>
          <w:szCs w:val="24"/>
        </w:rPr>
        <w:t xml:space="preserve">, Diputado de la LXVI Legislatura del Honorable Congreso del Estado, integrante al grupo parlamentario del Partido Revolucionario Institucional, </w:t>
      </w:r>
      <w:r w:rsidRPr="00084DE6">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00342194" w:rsidRPr="00084DE6">
        <w:rPr>
          <w:rFonts w:ascii="Arial" w:hAnsi="Arial" w:cs="Arial"/>
          <w:b/>
          <w:sz w:val="24"/>
          <w:szCs w:val="24"/>
        </w:rPr>
        <w:t xml:space="preserve">Iniciativa con carácter de Decreto </w:t>
      </w:r>
      <w:r w:rsidR="00F730D7" w:rsidRPr="00084DE6">
        <w:rPr>
          <w:rFonts w:ascii="Arial" w:hAnsi="Arial" w:cs="Arial"/>
          <w:b/>
          <w:sz w:val="24"/>
          <w:szCs w:val="24"/>
        </w:rPr>
        <w:t xml:space="preserve">con el propósito de </w:t>
      </w:r>
      <w:r w:rsidR="00084DE6" w:rsidRPr="00084DE6">
        <w:rPr>
          <w:rFonts w:ascii="Arial" w:hAnsi="Arial" w:cs="Arial"/>
          <w:b/>
          <w:bCs/>
        </w:rPr>
        <w:t xml:space="preserve">reformar </w:t>
      </w:r>
      <w:r w:rsidR="00DB2759" w:rsidRPr="00846387">
        <w:rPr>
          <w:rFonts w:ascii="Arial" w:eastAsia="Bookman Old Style" w:hAnsi="Arial" w:cs="Arial"/>
          <w:b/>
          <w:bCs/>
          <w:sz w:val="24"/>
          <w:szCs w:val="24"/>
        </w:rPr>
        <w:t>los artículos 4º párrafos 5º y 6º y artículo 27 fracción XX de la Constitución de los Estados Unidos Mexicanos para incorporar en los derechos humanos a un medio ambiente sano y acceso al agua el uso sustentable de la misma en especial para su uso agrícola, a fin preservar los acuíferos como presupuesto indispensable para optimizar el ejercicio efectivo de esos derechos</w:t>
      </w:r>
      <w:r w:rsidR="00DB2759" w:rsidRPr="00627B26">
        <w:rPr>
          <w:rFonts w:ascii="Arial" w:eastAsia="Bookman Old Style" w:hAnsi="Arial" w:cs="Arial"/>
          <w:sz w:val="24"/>
          <w:szCs w:val="24"/>
        </w:rPr>
        <w:t>, solicitando que en caso de ser aprobada se eleve ante el H. CONGRESO DE LA UNIÓN, como iniciativa de Ley propuesta por la Sexagésima Sexta Legislatura del Poder Legislativo del Estado de Chihuahua, por lo que me permito someter ante Ustedes la siguiente:</w:t>
      </w:r>
    </w:p>
    <w:p w:rsidR="00DB2759" w:rsidRPr="00627B26" w:rsidRDefault="00DB2759" w:rsidP="00DB2759">
      <w:pPr>
        <w:spacing w:after="0" w:line="360" w:lineRule="auto"/>
        <w:jc w:val="both"/>
        <w:rPr>
          <w:rFonts w:ascii="Arial" w:eastAsia="Bookman Old Style" w:hAnsi="Arial" w:cs="Arial"/>
          <w:sz w:val="24"/>
          <w:szCs w:val="24"/>
        </w:rPr>
      </w:pPr>
    </w:p>
    <w:p w:rsidR="00DB2759" w:rsidRPr="00627B26" w:rsidRDefault="00DB2759" w:rsidP="00DB2759">
      <w:pPr>
        <w:spacing w:after="0" w:line="360" w:lineRule="auto"/>
        <w:jc w:val="center"/>
        <w:rPr>
          <w:rFonts w:ascii="Arial" w:eastAsia="Bookman Old Style" w:hAnsi="Arial" w:cs="Arial"/>
          <w:b/>
          <w:bCs/>
          <w:sz w:val="24"/>
          <w:szCs w:val="24"/>
        </w:rPr>
      </w:pPr>
      <w:r w:rsidRPr="00627B26">
        <w:rPr>
          <w:rFonts w:ascii="Arial" w:eastAsia="Bookman Old Style" w:hAnsi="Arial" w:cs="Arial"/>
          <w:b/>
          <w:bCs/>
          <w:sz w:val="24"/>
          <w:szCs w:val="24"/>
        </w:rPr>
        <w:t>EXPOSICIÓN DE MOTIVOS</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Es muy claro que enfrentamos una escasez de agua cíclica y recurrente desde que tengo memoria, pero el deterioro de las aguas superficiales y de los acuíferos ha sido en los recientes años un evidente desastre.</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lastRenderedPageBreak/>
        <w:t>El uso irracional del agua en el sector agrícola ha participado de forma importante en este resultado, debido a que durante muchos años las técnicas utilizadas para regar no eran eficientes y carecían del objetivo directo de ahorro de agua.</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calentamiento global que ha provocado una desfase en nuestro ciclos de lluvias y nuestra clara dependencia en las cuencas hidrologías del país, en especial la que corresponde a Chihuahua, la del Río Bravo de las aguas “broncas”, que no nos permiten captarlas adecuadamente, sino solo por escurrimientos pluviales aunado a la ampliación de las zonas urbanas y pavimentación de lechos de ríos y arroyos que evitan la absorción de humedad en el subsuelo, está provocando el conflicto y competencia del acceso del agua para el uso doméstico con el requerido para el uso agrícola, que cada vez es más intensivo.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Pese a que en nuestro marco jurídico constitucional y secundario, encontramos normas que protegen el derecho humano al acceso al agua y disposiciones relativas a su uso agrícola, no se encuentran vinculadas en el contexto de defensa al medio ambiente y su uso sustentable, sino todavía dentro del contexto de justicia social con un matiz de sostenibilidad incipiente derivado del espíritu del Constituyente de 1917 y del rezago social al que respondía el momento post revolucionario, por lo que a mi parecer, se deben generar disposiciones atrevidas, con obligaciones ineludibles para la autoridad a fin de que mediante políticas públicas efectivas se logre un usos racional del agua para uso agrícola con ahorro medible en beneficio directo de la preservación de los acuíferos.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El Constituyente reformador de 1917 tenía una visión sobre las aguas propia del marco jurídico patrimonial vigente de aquella época en el derecho civil, que permitía </w:t>
      </w:r>
      <w:r w:rsidRPr="00627B26">
        <w:rPr>
          <w:rFonts w:ascii="Arial" w:hAnsi="Arial" w:cs="Arial"/>
          <w:sz w:val="24"/>
          <w:szCs w:val="24"/>
        </w:rPr>
        <w:lastRenderedPageBreak/>
        <w:t>su apropiación por particulares, a la fecha así regulado en el Código Civil del Estado de forma anacrónica.</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el texto original del artículo 27 fracción XVIII de la Constitución de los Estados Unidos Mexicanos se establecía los siguiente:</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Artículo 27 </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XVIII.- Se declaran revisables todos los contratos y concesiones hechos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la exposición de motivos del proyecto presentado por el presidente Venustiano Carranza Garza se manifestaba lo siguiente en relación con el tema, denotando esta visión patrimonialista a que aludo:</w:t>
      </w:r>
    </w:p>
    <w:p w:rsidR="00DB2759" w:rsidRPr="00627B26" w:rsidRDefault="00DB2759" w:rsidP="00DB2759">
      <w:pPr>
        <w:spacing w:line="360" w:lineRule="auto"/>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El artículo 27 de la Constitución de 1857 faculta para ocupar la propiedad de las personas sin el consentimiento de ellas y previa indemnización, cuando así lo exija la utilidad pública. Esta facultad es, a juicio del Gobierno de mi cargo, suficiente para adquirir tierras y repartirlas en la forma que se estime conveniente entre el pueblo que quiera dedicarse a los trabajos agrícolas, fundando así la pequeña propiedad; que debe fomentarse a medida que las públicas necesidades lo exijan.</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“La única reforma que con motivo de este artículo se propone, es que la declaración de utilidad sea hecha por la autoridad administrativa correspondiente, quedando sólo a la autoridad judicial la facultad de intervenir para fijar el justo valor de la cosa de cuya expropiación se trata.</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“El artículo en cuestión, además de dejar en vigor la prohibición de las Leyes de Reforma sobre la capacidad de las corporaciones civiles y eclesiásticas para adquirir bienes raíces, establece también la incapacidad en las sociedades anónimas, civiles y comerciales, para poseer y administrar bienes raíces, exceptuando de esa incapacidad a las instituciones de beneficencia pública y privada, únicamente por lo que hace a los bienes raíces estrictamente indispensables y que se destinen de una manera inmediata y directa al objeto de dichas instituciones, facultándolas para que puedan tener sobre los mismos bienes raíces capitales impuestos e intereses, los que no serán mayores, en ningún caso, del que se fije como legal y por un término que no exceda de diez años.</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“La necesidad de esta reforma se impone por sí sola, pues nadie ignora que el clero, incapacitado para adquirir bienes raíces, ha burlado la prohibición de la ley, cubriéndose de sociedades anónimas; y como por otra parte, estas sociedades han emprendido en la República la empresa de adquirir grandes extensiones de tierra, se hace necesario poner a este mal un correctivo pronto y eficaz, porque, de lo contrario, no tardaría el territorio nacional en ir a parar, de hecho o de una manera ficticia, en manos de extranjeros.</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“En otra parte se os consulta la necesidad de que todo extranjero, al adquirir bienes raíces en el país, renuncie expresamente a su nacionalidad, con relación a dichos bienes, sometiéndose en cuanto a ellos, de una manera completa y absoluta, a las leyes mexicanas, cosa que no sería fácil de conseguir respecto de las sociedades, las que, por otra parte, constituyen, como se acaba de indicar. una amenaza seria de monopolización de la propiedad territorial de la República.</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“Finalmente, el artículo en cuestión establece la prohibición expresa de que las instituciones de beneficencia privada puedan estar a cargo de corporaciones religiosas y de los ministros de los cultos, pues de lo contrario, se abriría nuevamente la puerta al abuso.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“Con estas reformas al artículo 27 con la que se consulta para el artículo 28 a fin de combatir eficazmente los monopolios y asegurar en todos los ramos de la actividad humana la libre concurrencia, la que es indispensable para asegurar la vida y el desarrollo de los pueblos, y con la facultad que en la reforma de la fracción XX del artículo 72 se confiere al Poder Legislativo federal, para expedir leyes sobre el Trabajo, en las que se implantarán todas las instituciones del progreso social en favor de la clase obrera y de todos los trabajadores; con la limitación del número de horas y trabajo, de manera que el operario no agote sus energías y sí tenga tiempo para el descanso y el solaz y para atender al cultivo de su espíritu, para que pueda frecuentar el trato de sus vecinos, el que engendra simpatías y determina hábitos de cooperación para el logro de la obra común; con las responsabilidades de los empresarios para los casos de accidentes; . con los seguros para los casos de enfermedad y de vejez; con la fijación del salario mínimo bastante para subvenir a las necesidades primordiales del individuo y de la familia, y para asegurar y mejorar su situación; ...”</w:t>
      </w:r>
    </w:p>
    <w:p w:rsidR="00DB2759" w:rsidRPr="00627B26" w:rsidRDefault="00DB2759" w:rsidP="00DB2759">
      <w:pPr>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Como puede advertirse el debate se iniciaba en relación a las tierras y aguas de la nación, sobre su apropiación por una sola persona en perjuicio de los demás y la intención era repartir las tierras y aguas para que sobre la actividad agrícola hubiera libre concurrencia, pero el abastecimiento agrícola del agua no se percibía al menos en el proyecto como un problema real de sustentabilidad, aunque si se avizoraba la intención de generar bienestar colectivo con la actividad agrícola, es decir, productividad para el campesino y bienestar para la sociedad que vería satisfechas sus necesidades alimentarias, por lo que podemos decir que ello constituye un antecedente de la sostenibilidad como interés colectivo de la sociedad.</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Lo anterior se confirma si acudimos al análisis de los debates sobre el artículo 27 del proyecto, en los que se pone en evidencia que sí existía un problema de sustentabilidad, pero que no se alcanzaba todavía a perfilar como el gran problema que se nos presenta ahora en el siglo XXI, sino que se trataba todavía de problemas domésticos que atentaban contra la justicia social directamente, pero no se revelaba la importancia colectiva que con el tiempo adquiriría.</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Después de la lectura del artículo 27 del proyecto, se puso a consideración de los diputados Constituyentes y en la intervención de Luis T. Navarro, quien era originario de Villa de Gigedo, Coahuila, egresado de la Escuela Nacional de Ingenieros y que perteneció al grupo renovador, fue uno de los dos que votaron contra la aceptación de la renuncia de Madero y Pino Suárez, cuando Victoriano Huerta disolvió la Cámara y apresó a los diputados maderistas, Navarro logró escaparse y fue a operar en el campo zapatista, y posteriormente se incorporó a las fuerzas constitucionalistas a las órdenes de los generales Alejo González y Cándido Aguilar. Electo diputado al Congreso Constituyente, tomó parte activa en los trabajos de comisiones, aunque sin formar parte de ellas, principalmente en las de los artículos 27 y 123 resultando interesante su visión radical que si no hacemos algo, podría ser el futuro: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Articulo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Está a discusión.</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El C. presidente: Tiene la palabra el ciudadano Navarro Luis T.</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 El C.Navarro Luis T.: Señores diputados: He pedido la palabra en contra del primer párrafo del artículo 27, precisamente porque yo quiero ser más radical todavía que la Comisión. En ese artículo se dice que la nación ha tenido y tiene el derecho sobre la tierra, pero lo ha sido y lo seguirá siendo para la formación de la pequeña propiedad. Como es bien sabido por todos nosotros, desde el tiempo de la dominación española la nación tenía, pues, el derecho sobre todas las tierras; pero todos los Gobiernos que habido en México, desde la conquista hasta nuestros días, la mayor parte de ellos han sido ilegales, puesto que si comparamos todos esos tiempos en que hubo Gobiernos legales, venimos a la conclusión de que la mayoría, el noventa por ciento de las tierras enajenadas, fueron acaparadas por unos cuantos individuos o lo han sido por Gobiernos legítimos. De manera que la nación, en estas Instituto Nacional de Estudios Históricos de las Revoluciones de México condiciones, no tenía derecho para enajenar esas tierras que deben volver al dominio de la nación, para que de aquí en adelante las vaya enajenando en pequeños pedazos de terreno, para que no se pueda crear nuevamente la gran propiedad de unos cuantos privilegios. Y esto debe ser así, porque de otra manera, si se deja como en otras fracciones de este artículo, verán ustedes que se pueden considerar como propiedades legítimamente adquiridas, aquellas poseídas a nombre, a título propio de dominio, por más de diez años, de lo que resulta que la mayoría de los terrenos quedarían en manos de los científicos, lo que es completamente contrario a los principios de la revolución. Hemos visto por dolorosa experiencia, que siempre que ha habido movimientos armados en la República, a su triunfo, todos los ricos, los científicos, los convenencieros, se han unido a los jefes de los movimientos o a los que están cerca de ellos, para valerse de ellos y así salvar sus derechos y conservar en su poder las tierras que legítimamente corresponden al pueblo. Para no cansar vuestra atención, voy a citar tan sólo dos casos verdaderamente típicos, que probablemente son conocidos por algunos diputados. </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En el Estado de Guanajuato existe una hacienda llamada “La Sauceda”, si mal no recuerdo; un peón de esa hacienda, que es ahora uno de los principales dueños de la finca; ese individuo se hizo jefe de una cuadrilla de bandidos, de una partida de rurales que fueron a incendiar los pueblos que estaban en esa hacienda para así poder adueñarse de los terrenos y justificar que habían tenido la posesión pacifica; todas las quejas que representaron los indios, no fueron oídas en la mayoría de los casos; para evitar que los indios siguieran quejándose con las autoridades y demostrar que pacíficamente habían poseído esos terrenos, consejeros jurídicos de este individuo, que por sus crímenes fueron declarados herederos únicos de esos terrenos, aconsejaron que destruyeran las milpas y arrancaran las casas, y él mismo horrorizado, contó que hace poco, al ir a arrancar uno de esos jacales de los infelices indios, encontró que estaba suspendida del techo una cuna con un niño recién nacido que fue destrozado al levantar el jacal. Así les arrancaron las milpas en estos lugares y muchos de los indios  hicieron viaje hasta México para poner su queja ante la Suprema Corte de Justicia de la Nación.</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Un C. diputado, interrumpiendo: ¿Cómo se llama ese asesino?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 El C. Navarro, continuando: Un momento...no recuerdo en este momento. Para evitar que los indios pudieran reclamar sus derechos, se han usado procedimientos poco escrupulosos; no muy lejos de la capital de la República, a unos diez y seis kilómetros, en la población de Tlalpan, han sido robados los terrenos de los indios, y los dueños de esos terrenos han venido a ser los gachupines, que tuvieron siempre autoridades serviles que se prestaron para todas sus combinaciones; así lograron hacerse de esos terrenos. En la época del señor Madero, como la revolución había ofrecido devolver los ejidos del pueblo, los dueños de esos terrenos se acercaron a personalidades influyentes de la política del señor Madero, para evitar que esos terrenos fueran devueltos. En tiempo de las tiranías, les quitaron a los habitantes del pueblo de Santa Ursula el agua que poseían desde tiempo inmemorial, y para zanjar dificultades, el Gobierno del señor Madero consideró conveniente introducir el agua de otra parte, para que el pueblo tuviese agua y completar así la otra cantidad de agua que les faltaba, con el objeto de que las fábricas, para las que se había aprovechado esa agua, no suspendiesen sus trabajos. </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Cuando el Gobierno de la Convención estuvo en México, entonces se le dio posesión al pueblo de Tlalpan de esas tierras, y de esas aguas; pero al volver las fuerzas constitucionalistas, los Instituto Nacional de Estudios Históricos de las Revoluciones de México dueños de aquéllas estudiaron la manera de consolidar el derecho de propiedad que pretendían tener, y para encontrar la manera de conseguirlo, formaron una sociedad anónima en la cual mezclaron a algunos revolucionarios honrados, sorprendiéndolos y logrando que esa negociación pasara a manos de algunos revolucionarios honrados que, estoy seguro, de haber conocido los antecedentes, no habrían entrado en él, porque no puedo creer que sea de otra manera, puesto que ellos han luchado siempre por el bienestar del pueblo. El socio principal de esa negociación, actualmente no sólo se ha adueñado de los terrenos de los indígenas, sino que ha acabado de robarse también el agua. El socio principal que probablemente fue sorprendido por los dueños de esa negociación, lo es el señor general Pesqueíra que está aquí presente, a quien suplico diga si es cierto que es el principal socio de la “Fama Montañesa”.</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El C. Pesqueira: No es verdad.</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El C. Navarro: Pero sí es usted socio.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El C. Pesqueira: Sí, soy socio.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 El C. Navarro: Es verdaderamente triste que revolucionarios honrados sean sorprendidos para entrar en negocios en que se robe, puede decirse, o se les quite cuando menos el derecho a los pueblos; por eso yo pido que se ponga una taxativa a esos abusos, que la nación sea la única dueña de los terrenos, y que no los venda, sino que dé nada más la posesión a los que puedan trabajarlos. De otra manera, a la larga, volverán todas esas tierras a formar las grandes propiedades, y la pequeña propiedad volverá a ser acaparada por unas cuantas manos. Está plenamente comprobado que esos terrenos son del pueblo y también que esas aguas son del pueblo; y precisamente porque hay esa ley de que se pueden vender esos terrenos, los han adquirido unos cuantos terratenientes, los cuales han sido sorprendidos por los españoles, por los gachupines, que viéndose sorprendidos en sus derechos, los han querido vender a los hombres de la revolución; así, pues, juzgo conveniente consignar en la Constitución una párrafo que diga que la nación tiene el derecho o ha tenido el derecho de vender; en último caso, yo pediría a la Comisión que reformara este inciso diciendo: Que la nación es la única dueña de los terrenos de la República, de las tierras, aguas y bosques, pero que de aquí en adelante ella se reserva el derecho de vender y que las propiedades adquiridas por medio de despojos, por medio de infamias, deben desaparecer de nuestra Constitución, y que en lo sucesivo todo el que quiera adquirir un pedazo de terreno, deberá adquirirlo conforme a las bases que establezcamos aquí; de esa manera, cuando nuestros indios puedan hacer una casa y sepan que nadie se las podrá arrancar porque no la podrán vender, entonces habrán desaparecido las revoluciones en México. </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Existe en la República el problema agrario desde hace mucho tiempo; la mayor parte de las revoluciones han sido originadas precisamente por la escasez de terrenos para que los individuos puedan cultivar un pedazo de tierra. El día que todos los mexicanos de la República hayan logrado tener una pequeña parcela donde poder hacer sus casas que dejar a sus hijos, entonces cesarán las revoluciones, porque cuando alguno se presente a nuestro indio y le proponga levantarse en armas, éste preferirá vivir en su pequeña choza a ir a exponer su vida en combates, en revoluciones que a la larga resultan estériles puesto que hemos visto con profunda tristeza, no ahora, sino desde tiempo inmemorial, desde la guerra de independencia, tenemos que Iturbide no fue al Sur a unirse Instituto Nacional de Estudios Históricos de las Revoluciones de México con Guerrero, sino cuando vio que lo podía derrotar, y se fue a unir con todos los científicos para traicionar al pueblo cuando estuvieran en el poder. Por esa razón, todos los pueblos desconfían ya de todas las revoluciones, y prefieren mejor irse a las montañas y estar en rebeldía constante, a tener que venir a las poblaciones después del triunfo de la revolución para ser despojados de sus terrenos, precisamente porque los más pícaros, una vez que triunfa un movimiento revolucionario, se cuelan en él como víboras y van a sorprender a los revolucionarios, a solicitar su apoyo para robarse así lo que corresponde legítimamente al pueblo. (Aplausos.) Podría citaros muchísimos casos de movimientos verificados en la República, pero para no cansar vuestra atención, voy a limitarme a citar un solo caso de revolución que hasta la fecha no se ha podido dominar, porque en el fondo de ella hay, como en todas, un principio de justicia. Me quiero referir al problema del Estado de Morelos. Pocos, sin duda, de los que se encuentran en esta honorable Asamblea, han tenido ocasión, como yo, de estar en contacto íntimo, no sólo con los revolucionarios, sino con todas las clases sociales de Morelos. </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 xml:space="preserve">Cuando el cuartelazo de Huerta, era yo diputado al Congreso de la Unión, y, por lo mismo, era uno de los perseguidos por el tirano, no sólo por ser diputado, sino porque formaba parte de los redactores de una publicación que existía en México y que atacó duramente a Huerta. Quise salir para el Norte, porque allá estaban mis amigos; pero no pude hacerlo, porque cuando arreglé mi viaje para Veracruz, “La Tribuna” publicaba la noticia de mi marcha; al día siguiente, “El País” dio a luz un telegrama de su corresponsal, dando la falsa noticia de que me había embarcado para la Habana. Se quería hacerme aparecer como que ya no estaba en el país, probablemente para asesinarme; entonces, no teniendo otra salida y estando en esa época el movimiento del Sur en contra de Huerta, opté por salir por el rumbo del Sur para llegar hasta Guanajuato, para unirme con el general Cándido N. Salimos del Estado de México y de allí pasamos al Estado de Michoacán, y habiendo sufrido una derrota, quedé con siete individuos únicamente y tuve que regresar al Estado de Morelos; allí tuve ocasión de ver a principales revolucionarios, y, sobre todo, de estar en contacto íntimo con el pueblo, porque todos los revolucionarios allí son sumamente desconfiados; al principio, y durante mucho tiempo y por más de seis meses, no quisieron admitirme en sus filas, creían que yo era uno de tantos que iban allí a hacerse de elementos y luego los traicionaban. Por esa circunstancia, tuve más bien que hacer una vida de simple soldado de los campamentos, o como ellos llaman, pacíficos; así, tuve ocasión de estar cerca del pueblo y de conocer que ha sido muy calumniado. Generalmente, los habitantes del Estado de Morelos están levantados en armas, porque en los pueblos no tienen absolutamente un pedazo de terreno. En el pueblo de Jonacatepec, a ocho metros de distancia de la última calle, comienza la hacienda de Santa Clara; de manera que los infelices indios prefieren estar en las montañas, porque allí disponen de todo el terreno que quieren para sembrar, aun en las serranías más escarpadas, en los bosques donde encuentran un pedacito de terreno, allí plantan una mata de maíz y allí están viviendo, y es curioso ver que los revolucionarios del sur andan por todas partes del estado de Morelos y respetan precisamente a los pequeños propietarios; así se explica que cuando llegan a un pequeño poblado los respetan, les dan provisiones y les dan señales, indicaciones, en dónde se encuentra el enemigo; no tienen fe en los demás gobiernos que han ido a combatir al Estado de Morelos, porque han ido a quemarles sus casas y a destruirles sus pueblos, y los infelices, en estas circunstancias, no Instituto Nacional de Estudios Históricos de las Revoluciones de México tienen otro recurso que irse con los zapatistas; por eso, es por lo que ha crecido la revolución en el Estado de Morelos. Pues bien, señores, yo tuve ocasión de ver que ese pueblo de trabajadores está cansado de la guerra, y si tuvieran la seguridad de que se le diera un pedazo de terreno para sembrar y un lugar donde construir su casa, dejaría las armas y se sometería al Gobierno que realmente le diera garantías; pero, repito, desgraciadamente todos los gobiernos, inclusive el nuestro, han cometido el error de permitir que se arrasen esos miserables pueblos, y así, en lugar de atraerse a los elementos pacíficos que pudieran volver al buen camino, han hecho que éstos aumenten las filas del enemigo. </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En los momentos actuales, en el Estado de Morelos, hay revolucionarios honrados, de principios e ideales, pero hay también muchos bandidos, entre quienes se cuentan los rateros de México y todos los individuos que han ido a gastar lo que se han robado.”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Como se puede apreciar ya se presentaban los conflictos por el agua, pero el eje más importante era la tenencia de la tierra, en fin, el problema era la apropiación por acaparadores, de tierras y aguas, usando simulaciones y subterfugios de todos tipos, no muy alejados de lo que sucede en la actualidad, a tal grado que la propuesta de Luis T. Navarro era eliminar la propiedad privada, para solo reconocer la posesión temporal. Él falleció en 1961, ya entrado el siglo 20 y desde luego su voz habrá parecido profecía, pues el acaparamiento de las tierras y aguas continuó, solo cambio de manos, pero a su fallecimiento, no surgía la problemática del agua como un factor de seguridad colectiva y nacional, que ahora nos pone en riesgo a todos, no solo como un desequilibrio de la distribución de la riqueza, sino como una razón de supervivencia colectiva, visión que surge hasta 1987 y que si no se sientan las bases para el ahorro efectivo del agua, no pasará mucho tiempo cuando la palabras de Navarro se conviertan en realidad, el Estado controlando el acceso al agua de manera drástica y con merma a nuestras libertades.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El concepto de desarrollo sustentable se gesta a partir de la publicación del informe </w:t>
      </w:r>
      <w:r w:rsidRPr="00627B26">
        <w:rPr>
          <w:rFonts w:ascii="Arial" w:hAnsi="Arial" w:cs="Arial"/>
          <w:i/>
          <w:iCs/>
          <w:sz w:val="24"/>
          <w:szCs w:val="24"/>
        </w:rPr>
        <w:t>“Nuestro Futuro Común”</w:t>
      </w:r>
      <w:r w:rsidRPr="00627B26">
        <w:rPr>
          <w:rFonts w:ascii="Arial" w:hAnsi="Arial" w:cs="Arial"/>
          <w:sz w:val="24"/>
          <w:szCs w:val="24"/>
        </w:rPr>
        <w:t>, en 1987 con motivo de la preparación para la Conferencia Mundial de las Naciones Unidas sobre Medio Ambiente y Desarrollo, efectuada en Río de Janeiro, Brasil, en 1992.</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Sustentabilidad significa satisfacer las necesidades de la generación presente sin comprometer la capacidad de las generaciones futuras de satisfacer sus propias necesidades. Para lograrla hay que tomar en cuenta los factores implícitos en esta definición, que son: bienestar, desarrollo, medio ambiente y futuro.</w:t>
      </w:r>
    </w:p>
    <w:p w:rsidR="00DB2759" w:rsidRPr="00627B26" w:rsidRDefault="00DB2759" w:rsidP="00DB2759">
      <w:pPr>
        <w:spacing w:line="360" w:lineRule="auto"/>
        <w:jc w:val="both"/>
        <w:rPr>
          <w:rFonts w:ascii="Arial" w:hAnsi="Arial" w:cs="Arial"/>
          <w:i/>
          <w:iCs/>
          <w:sz w:val="24"/>
          <w:szCs w:val="24"/>
        </w:rPr>
      </w:pPr>
      <w:r w:rsidRPr="00627B26">
        <w:rPr>
          <w:rFonts w:ascii="Arial" w:hAnsi="Arial" w:cs="Arial"/>
          <w:sz w:val="24"/>
          <w:szCs w:val="24"/>
        </w:rPr>
        <w:t xml:space="preserve">La Comisión Mundial para el Medio Ambiente y el Desarrollo, establecida por las Naciones Unidas en 1983, definió el desarrollo sustentable como el </w:t>
      </w:r>
      <w:r w:rsidRPr="00627B26">
        <w:rPr>
          <w:rFonts w:ascii="Arial" w:hAnsi="Arial" w:cs="Arial"/>
          <w:i/>
          <w:iCs/>
          <w:sz w:val="24"/>
          <w:szCs w:val="24"/>
        </w:rPr>
        <w:t>“desarrollo que satisface las necesidades del presente sin comprometer las capacidades que tienen las futuras generaciones para satisfacer sus propias necesidades”.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desarrollo sustentable involucra pasar de un desarrollo pensado en términos cuantitativos -basado en el crecimiento económico- a uno de tipo cualitativo, donde se establecen estrechas vinculaciones entre aspectos económicos, sociales y ambientales, en un renovado marco institucional democrático y participativo, idóneo para aprovechar las oportunidades que supone favorecer los tres ámbitos, sin que el avance de uno signifique ir en deterioro de otro.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Como parte del programa de trabajo sobre Indicadores de Desarrollo Sustentable, adoptado por la Comisión sobre Desarrollo Sustentable (CDS) en 1995, se generó un conjunto de 58 indicadores, con una guía de estimación revisada para cada uno de ellos.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término desarrollo sustentable se aplica al desarrollo socio-económico y fue formalizado por primera vez en el documento conocido como Informe Brundtland (1987), producto de los trabajos de la Comisión Mundial de Medio Ambiente y Desarrollo de Naciones Unidas.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El desarrollo sustentable no se enfoca exclusivamente en las cuestiones ambientales sino de manera general en las políticas de desarrollo sustentable que afectan a tres áreas: económica, ambiental y social. En apoyo a esto, varios textos de las Naciones Unidas, incluyendo el Documento Final de la Cumbre Mundial de 2005, se refieren a los tres componentes del desarrollo sustentable, que son el desarrollo económico, el desarrollo social y la protección del medio ambiente, como “pilares interdependientes que se refuerzan mutuamente”.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concepto de Desarrollo Sostenible, comenzó a formularse en los años setenta bajo el término de “eco-desarrollo” y fue perfilándose a lo largo de las dos siguientes décadas. Se basa, en la comprobación, de que en la naturaleza nada crece indefinidamente, sino que, al alcanzar determinados umbrales máximos, en todo proceso se produce el colapso y la degradación y las componentes degradadas o fragmentadas pasan a formar parte de nuevos procesos de desarrollo.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La Declaración Universal sobre la Diversidad Cultural (UNESCO, 2001) profundiza aún más en el concepto al afirmar que </w:t>
      </w:r>
      <w:r w:rsidRPr="00627B26">
        <w:rPr>
          <w:rFonts w:ascii="Arial" w:hAnsi="Arial" w:cs="Arial"/>
          <w:i/>
          <w:iCs/>
          <w:sz w:val="24"/>
          <w:szCs w:val="24"/>
        </w:rPr>
        <w:t xml:space="preserve">“… la diversidad cultural es tan necesaria para el género humano como la diversidad biológica para los organismos vivos”; </w:t>
      </w:r>
      <w:r w:rsidRPr="00627B26">
        <w:rPr>
          <w:rFonts w:ascii="Arial" w:hAnsi="Arial" w:cs="Arial"/>
          <w:sz w:val="24"/>
          <w:szCs w:val="24"/>
        </w:rPr>
        <w:t>Se convierte en</w:t>
      </w:r>
      <w:r w:rsidRPr="00627B26">
        <w:rPr>
          <w:rFonts w:ascii="Arial" w:hAnsi="Arial" w:cs="Arial"/>
          <w:i/>
          <w:iCs/>
          <w:sz w:val="24"/>
          <w:szCs w:val="24"/>
        </w:rPr>
        <w:t xml:space="preserve"> “una de las raíces del desarrollo entendido no sólo en términos de crecimiento económico, sino también como un medio para lograr un balance más satisfactorio intelectual, afectivo, moral y espiritual”.</w:t>
      </w:r>
      <w:r w:rsidRPr="00627B26">
        <w:rPr>
          <w:rFonts w:ascii="Arial" w:hAnsi="Arial" w:cs="Arial"/>
          <w:sz w:val="24"/>
          <w:szCs w:val="24"/>
        </w:rPr>
        <w:t xml:space="preserve"> En esta visión, la diversidad cultural es el cuarto ámbito de la política de desarrollo sostenible.</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“desarrollo verde” generalmente es diferenciado del desarrollo sostenible en que el desarrollo verde puede ser visto en el sentido de dar prioridad a lo que algunos pueden considerar “sostenibilidad ambiental” sobre la “sostenibilidad económica y cultural”.</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este sentido la seguridad y abasto del agua se puede traducir y tener impacto en las dos vertientes de sustentabilidad o sostenibilidad pues tiene un impacto ambiental, pero también social y económico.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“Día Cero” del agua se conoce como el momento en que una ciudad, región o país se quedará sin el recurso suficiente para satisfacer plenamente las necesidades principales para subsistir o desarrollarse. El “Día Cero” del agua significaría una gran crisis del agua en una región.</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De acuerdo con el Instituto de Recursos Mundiales (WRI, por sus siglas en inglés), cuando la falta de agua afecta no sólo para hacer los quehaceres y aseos diarios, sino también en lo económico, se le conoce como estrés hídrico, es decir, cuando la demanda de agua potable es más alta que la cantidad que hay disponible, los estados en México que tienen más riesgo de quedarse sin agua de acuerdo con sus puntajes, donde (0-1) es un riesgo bajo, (1-2) es un riesgo medio bajo, (2-3) es un riesgo medio alto, (3-4) es un riesgo alto y (4-5) es un riesgo extremadamente alto.</w:t>
      </w:r>
    </w:p>
    <w:p w:rsidR="00DB2759" w:rsidRPr="00627B26" w:rsidRDefault="00DB2759" w:rsidP="00DB275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704"/>
        <w:gridCol w:w="2693"/>
        <w:gridCol w:w="1310"/>
      </w:tblGrid>
      <w:tr w:rsidR="00DB2759" w:rsidRPr="00627B26" w:rsidTr="00DF0F98">
        <w:trPr>
          <w:jc w:val="center"/>
        </w:trPr>
        <w:tc>
          <w:tcPr>
            <w:tcW w:w="704" w:type="dxa"/>
          </w:tcPr>
          <w:p w:rsidR="00DB2759" w:rsidRPr="00627B26" w:rsidRDefault="00DB2759" w:rsidP="00DF0F98">
            <w:pPr>
              <w:rPr>
                <w:rFonts w:ascii="Arial" w:hAnsi="Arial" w:cs="Arial"/>
                <w:sz w:val="24"/>
                <w:szCs w:val="24"/>
              </w:rPr>
            </w:pP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ENTIDAD </w:t>
            </w: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PUNTAJE</w:t>
            </w: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Tamaulipas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4.11</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2</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Jalisco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4.22</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3</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Morelos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4.33</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4</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Nuevo León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4.44</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5</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Sinaloa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4.47</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6</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Sonora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4.60</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7</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Zacatecas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4.63</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8</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Chihuahua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4.63</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9</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Hidalgo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4.63</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10</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Querétaro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4.71</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11</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Estado de México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4.76</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12</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Aguascalientes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4.81</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13</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Ciudad de México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4.90</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14</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Guanajuato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4.94</w:t>
            </w:r>
          </w:p>
          <w:p w:rsidR="00DB2759" w:rsidRPr="00627B26" w:rsidRDefault="00DB2759" w:rsidP="00DF0F98">
            <w:pPr>
              <w:rPr>
                <w:rFonts w:ascii="Arial" w:hAnsi="Arial" w:cs="Arial"/>
                <w:sz w:val="24"/>
                <w:szCs w:val="24"/>
              </w:rPr>
            </w:pPr>
          </w:p>
        </w:tc>
      </w:tr>
      <w:tr w:rsidR="00DB2759" w:rsidRPr="00627B26" w:rsidTr="00DF0F98">
        <w:trPr>
          <w:jc w:val="center"/>
        </w:trPr>
        <w:tc>
          <w:tcPr>
            <w:tcW w:w="704" w:type="dxa"/>
          </w:tcPr>
          <w:p w:rsidR="00DB2759" w:rsidRPr="00627B26" w:rsidRDefault="00DB2759" w:rsidP="00DF0F98">
            <w:pPr>
              <w:rPr>
                <w:rFonts w:ascii="Arial" w:hAnsi="Arial" w:cs="Arial"/>
                <w:sz w:val="24"/>
                <w:szCs w:val="24"/>
              </w:rPr>
            </w:pPr>
            <w:r w:rsidRPr="00627B26">
              <w:rPr>
                <w:rFonts w:ascii="Arial" w:hAnsi="Arial" w:cs="Arial"/>
                <w:sz w:val="24"/>
                <w:szCs w:val="24"/>
              </w:rPr>
              <w:t>15</w:t>
            </w:r>
          </w:p>
        </w:tc>
        <w:tc>
          <w:tcPr>
            <w:tcW w:w="2693" w:type="dxa"/>
          </w:tcPr>
          <w:p w:rsidR="00DB2759" w:rsidRPr="00627B26" w:rsidRDefault="00DB2759" w:rsidP="00DF0F98">
            <w:pPr>
              <w:rPr>
                <w:rFonts w:ascii="Arial" w:hAnsi="Arial" w:cs="Arial"/>
                <w:sz w:val="24"/>
                <w:szCs w:val="24"/>
              </w:rPr>
            </w:pPr>
            <w:r w:rsidRPr="00627B26">
              <w:rPr>
                <w:rFonts w:ascii="Arial" w:hAnsi="Arial" w:cs="Arial"/>
                <w:sz w:val="24"/>
                <w:szCs w:val="24"/>
              </w:rPr>
              <w:t xml:space="preserve">Baja California Sur </w:t>
            </w:r>
          </w:p>
          <w:p w:rsidR="00DB2759" w:rsidRPr="00627B26" w:rsidRDefault="00DB2759" w:rsidP="00DF0F98">
            <w:pPr>
              <w:rPr>
                <w:rFonts w:ascii="Arial" w:hAnsi="Arial" w:cs="Arial"/>
                <w:sz w:val="24"/>
                <w:szCs w:val="24"/>
              </w:rPr>
            </w:pPr>
          </w:p>
        </w:tc>
        <w:tc>
          <w:tcPr>
            <w:tcW w:w="567" w:type="dxa"/>
          </w:tcPr>
          <w:p w:rsidR="00DB2759" w:rsidRPr="00627B26" w:rsidRDefault="00DB2759" w:rsidP="00DF0F98">
            <w:pPr>
              <w:rPr>
                <w:rFonts w:ascii="Arial" w:hAnsi="Arial" w:cs="Arial"/>
                <w:sz w:val="24"/>
                <w:szCs w:val="24"/>
              </w:rPr>
            </w:pPr>
            <w:r w:rsidRPr="00627B26">
              <w:rPr>
                <w:rFonts w:ascii="Arial" w:hAnsi="Arial" w:cs="Arial"/>
                <w:sz w:val="24"/>
                <w:szCs w:val="24"/>
              </w:rPr>
              <w:t>5.00</w:t>
            </w:r>
          </w:p>
          <w:p w:rsidR="00DB2759" w:rsidRPr="00627B26" w:rsidRDefault="00DB2759" w:rsidP="00DF0F98">
            <w:pPr>
              <w:rPr>
                <w:rFonts w:ascii="Arial" w:hAnsi="Arial" w:cs="Arial"/>
                <w:sz w:val="24"/>
                <w:szCs w:val="24"/>
              </w:rPr>
            </w:pPr>
          </w:p>
        </w:tc>
      </w:tr>
    </w:tbl>
    <w:p w:rsidR="00DB2759" w:rsidRPr="00627B26" w:rsidRDefault="00DB2759" w:rsidP="00DB2759">
      <w:pPr>
        <w:jc w:val="both"/>
        <w:rPr>
          <w:rFonts w:ascii="Arial" w:hAnsi="Arial" w:cs="Arial"/>
          <w:sz w:val="24"/>
          <w:szCs w:val="24"/>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No obstante lo anterior en una concepción patrimonialista y un tanto alejados a la evolución derecho humanista del acceso al agua, nuestra codificación civil, cito el Código Civil Federal de 1932 que bajo una perspectiva anterior a la cuarta y quinta generación de los derechos humanos regula la apropiación del agua por exclusión, en los artículos 838, 933, 934, 935, 936 y 937 a los que me voy a referir y desde luego que en una conceptualización de apropiación ubica el tema en los derechos reales, es decir el dueño del terreno, se puede apropiar de las aguas.</w:t>
      </w:r>
    </w:p>
    <w:p w:rsidR="00DB2759" w:rsidRPr="00627B26" w:rsidRDefault="00DB2759" w:rsidP="00DB2759">
      <w:pPr>
        <w:pStyle w:val="Textosinformato"/>
        <w:spacing w:line="360" w:lineRule="auto"/>
        <w:ind w:firstLine="289"/>
        <w:jc w:val="both"/>
        <w:rPr>
          <w:rFonts w:ascii="Arial" w:eastAsia="MS Mincho" w:hAnsi="Arial" w:cs="Arial"/>
          <w:b/>
          <w:bCs/>
          <w:i/>
          <w:iCs/>
          <w:sz w:val="24"/>
          <w:szCs w:val="24"/>
          <w:lang w:val="es-MX"/>
        </w:rPr>
      </w:pP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r w:rsidRPr="00627B26">
        <w:rPr>
          <w:rFonts w:ascii="Arial" w:eastAsia="MS Mincho" w:hAnsi="Arial" w:cs="Arial"/>
          <w:b/>
          <w:bCs/>
          <w:i/>
          <w:iCs/>
          <w:sz w:val="24"/>
          <w:szCs w:val="24"/>
          <w:lang w:val="es-MX"/>
        </w:rPr>
        <w:t xml:space="preserve">Artículo 838.- </w:t>
      </w:r>
      <w:r w:rsidRPr="00627B26">
        <w:rPr>
          <w:rFonts w:ascii="Arial" w:eastAsia="MS Mincho" w:hAnsi="Arial" w:cs="Arial"/>
          <w:i/>
          <w:iCs/>
          <w:sz w:val="24"/>
          <w:szCs w:val="24"/>
          <w:lang w:val="es-MX"/>
        </w:rPr>
        <w:t>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rsidR="00DB2759" w:rsidRPr="00627B26" w:rsidRDefault="00DB2759" w:rsidP="00DB2759">
      <w:pPr>
        <w:spacing w:line="360" w:lineRule="auto"/>
        <w:rPr>
          <w:rFonts w:ascii="Arial" w:hAnsi="Arial" w:cs="Arial"/>
          <w:i/>
          <w:iCs/>
          <w:sz w:val="24"/>
          <w:szCs w:val="24"/>
        </w:rPr>
      </w:pPr>
    </w:p>
    <w:p w:rsidR="00DB2759" w:rsidRPr="00627B26" w:rsidRDefault="00DB2759" w:rsidP="00DB2759">
      <w:pPr>
        <w:spacing w:line="360" w:lineRule="auto"/>
        <w:jc w:val="both"/>
        <w:rPr>
          <w:rFonts w:ascii="Arial" w:hAnsi="Arial" w:cs="Arial"/>
          <w:i/>
          <w:iCs/>
          <w:sz w:val="24"/>
          <w:szCs w:val="24"/>
        </w:rPr>
      </w:pPr>
      <w:r w:rsidRPr="00627B26">
        <w:rPr>
          <w:rFonts w:ascii="Arial" w:hAnsi="Arial" w:cs="Arial"/>
          <w:sz w:val="24"/>
          <w:szCs w:val="24"/>
        </w:rPr>
        <w:t xml:space="preserve">El artículo anterior por exclusión indica que las aguas no contempladas en el párrafo  quinto del artículo 27 de la Constitución si pueden apropiarse, pero entonces cuáles, pues todos los afluentes de nuestro ríos, </w:t>
      </w:r>
      <w:r w:rsidRPr="00627B26">
        <w:rPr>
          <w:rFonts w:ascii="Arial" w:eastAsia="MS Mincho" w:hAnsi="Arial" w:cs="Arial"/>
          <w:sz w:val="24"/>
          <w:szCs w:val="24"/>
        </w:rPr>
        <w:t xml:space="preserve"> sus afluentes directos o indirectos, desde el punto del cauce en que se inicien las primeras aguas permanentes, intermitentes o torrenciales, hasta su desembocadura en el mar, lagos, lagunas o esteros de propiedad nacional, de tal manera que prácticamente en una región como Chihuahua, cualquier arroyo donde corre agua hacia un río aunque intermitente o simplemente torrencial en época de lluvias, es propiedad de la nación por lo que se refiere a las aguas superficiales.</w:t>
      </w:r>
    </w:p>
    <w:p w:rsidR="00DB2759" w:rsidRPr="00627B26" w:rsidRDefault="00DB2759" w:rsidP="00DB2759">
      <w:pPr>
        <w:pStyle w:val="Textosinformato"/>
        <w:spacing w:line="360" w:lineRule="auto"/>
        <w:ind w:left="708"/>
        <w:jc w:val="center"/>
        <w:rPr>
          <w:rFonts w:ascii="Arial" w:eastAsia="MS Mincho" w:hAnsi="Arial" w:cs="Arial"/>
          <w:b/>
          <w:bCs/>
          <w:i/>
          <w:iCs/>
          <w:sz w:val="24"/>
          <w:szCs w:val="24"/>
          <w:lang w:val="es-MX"/>
        </w:rPr>
      </w:pPr>
      <w:r w:rsidRPr="00627B26">
        <w:rPr>
          <w:rFonts w:ascii="Arial" w:eastAsia="MS Mincho" w:hAnsi="Arial" w:cs="Arial"/>
          <w:b/>
          <w:bCs/>
          <w:i/>
          <w:iCs/>
          <w:sz w:val="24"/>
          <w:szCs w:val="24"/>
          <w:lang w:val="es-MX"/>
        </w:rPr>
        <w:t>CAPITULO V</w:t>
      </w:r>
    </w:p>
    <w:p w:rsidR="00DB2759" w:rsidRPr="00627B26" w:rsidRDefault="00DB2759" w:rsidP="00DB2759">
      <w:pPr>
        <w:pStyle w:val="Textosinformato"/>
        <w:spacing w:line="360" w:lineRule="auto"/>
        <w:ind w:left="708"/>
        <w:jc w:val="center"/>
        <w:rPr>
          <w:rFonts w:ascii="Arial" w:eastAsia="MS Mincho" w:hAnsi="Arial" w:cs="Arial"/>
          <w:b/>
          <w:bCs/>
          <w:i/>
          <w:iCs/>
          <w:sz w:val="24"/>
          <w:szCs w:val="24"/>
          <w:lang w:val="es-MX"/>
        </w:rPr>
      </w:pPr>
      <w:r w:rsidRPr="00627B26">
        <w:rPr>
          <w:rFonts w:ascii="Arial" w:eastAsia="MS Mincho" w:hAnsi="Arial" w:cs="Arial"/>
          <w:b/>
          <w:bCs/>
          <w:i/>
          <w:iCs/>
          <w:sz w:val="24"/>
          <w:szCs w:val="24"/>
          <w:lang w:val="es-MX"/>
        </w:rPr>
        <w:t>Del dominio de las aguas</w:t>
      </w: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bookmarkStart w:id="1" w:name="Artículo_933"/>
      <w:r w:rsidRPr="00627B26">
        <w:rPr>
          <w:rFonts w:ascii="Arial" w:eastAsia="MS Mincho" w:hAnsi="Arial" w:cs="Arial"/>
          <w:b/>
          <w:bCs/>
          <w:i/>
          <w:iCs/>
          <w:sz w:val="24"/>
          <w:szCs w:val="24"/>
          <w:lang w:val="es-MX"/>
        </w:rPr>
        <w:t>Artículo 933</w:t>
      </w:r>
      <w:bookmarkEnd w:id="1"/>
      <w:r w:rsidRPr="00627B26">
        <w:rPr>
          <w:rFonts w:ascii="Arial" w:eastAsia="MS Mincho" w:hAnsi="Arial" w:cs="Arial"/>
          <w:b/>
          <w:bCs/>
          <w:i/>
          <w:iCs/>
          <w:sz w:val="24"/>
          <w:szCs w:val="24"/>
          <w:lang w:val="es-MX"/>
        </w:rPr>
        <w:t xml:space="preserve">.- </w:t>
      </w:r>
      <w:r w:rsidRPr="00627B26">
        <w:rPr>
          <w:rFonts w:ascii="Arial" w:eastAsia="MS Mincho" w:hAnsi="Arial" w:cs="Arial"/>
          <w:i/>
          <w:iCs/>
          <w:sz w:val="24"/>
          <w:szCs w:val="24"/>
          <w:lang w:val="es-MX"/>
        </w:rPr>
        <w:t>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r w:rsidRPr="00627B26">
        <w:rPr>
          <w:rFonts w:ascii="Arial" w:eastAsia="MS Mincho" w:hAnsi="Arial" w:cs="Arial"/>
          <w:i/>
          <w:iCs/>
          <w:sz w:val="24"/>
          <w:szCs w:val="24"/>
          <w:lang w:val="es-MX"/>
        </w:rPr>
        <w:t>El dominio del dueño de un predio sobre las aguas de que trata este artículo, no perjudica los derechos que legítimamente hayan podido adquirir a su aprovechamiento los de los predios inferiores.</w:t>
      </w:r>
    </w:p>
    <w:p w:rsidR="00DB2759" w:rsidRPr="00627B26" w:rsidRDefault="00DB2759" w:rsidP="00DB2759">
      <w:pPr>
        <w:pStyle w:val="Textosinformato"/>
        <w:spacing w:line="360" w:lineRule="auto"/>
        <w:ind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firstLine="289"/>
        <w:jc w:val="both"/>
        <w:rPr>
          <w:rFonts w:ascii="Arial" w:eastAsia="MS Mincho" w:hAnsi="Arial" w:cs="Arial"/>
          <w:b/>
          <w:bCs/>
          <w:i/>
          <w:iCs/>
          <w:sz w:val="24"/>
          <w:szCs w:val="24"/>
          <w:lang w:val="es-MX"/>
        </w:rPr>
      </w:pPr>
      <w:bookmarkStart w:id="2" w:name="Artículo_934"/>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 xml:space="preserve">Este artículo hace referencia al alumbramiento de aguas del subsuelo o captación de aguas pluviales, mediante construcción de aljibes o presas, como un mecanismo válido de apropiación, para lo cual habría que aplicarle lo previsto en el primer párrafo del artículo 27 de la Constitución, la prevención general de que las aguas son de propiedad originaria de la nación, para luego señalar que en relación a las del subsuelo su alumbramiento se puede limitar y que en todo caso se requiere de concesión para su aprovechamiento, para concluir que no es posible apropiárselas como se señala en el artículo 933 del Código Civil Federal, mismo comentario aplica para lo previsto en el artículo 934 del mismo ordenamiento civil que más adelante se inserta; por lo que respecta a las presas,  no es posible que se obstruyan las afluentes directas o indirectas de los ríos, sean intermitentes o constantes, de tal manera, que prácticamente dicha referencia es a los conocidos como </w:t>
      </w:r>
      <w:r w:rsidRPr="00627B26">
        <w:rPr>
          <w:rFonts w:ascii="Arial" w:eastAsia="MS Mincho" w:hAnsi="Arial" w:cs="Arial"/>
          <w:i/>
          <w:iCs/>
          <w:sz w:val="24"/>
          <w:szCs w:val="24"/>
          <w:lang w:val="es-MX"/>
        </w:rPr>
        <w:t>“presones”</w:t>
      </w:r>
      <w:r w:rsidRPr="00627B26">
        <w:rPr>
          <w:rFonts w:ascii="Arial" w:eastAsia="MS Mincho" w:hAnsi="Arial" w:cs="Arial"/>
          <w:sz w:val="24"/>
          <w:szCs w:val="24"/>
          <w:lang w:val="es-MX"/>
        </w:rPr>
        <w:t xml:space="preserve"> captación de escurrimiento de lluvias de las laderas de los cerros para uso ganadero, pues desde luego no es lícito interrumpir la afluente de un río construyendo una presa ya que esa agua invariablemente es propiedad de la nación, por lo que tampoco se pueden hacer obras para desviar el curso de los ríos y afluentes de ninguna manera, resultando que no es aplicable el artículo 935 del Código Civil Federal.</w:t>
      </w:r>
    </w:p>
    <w:p w:rsidR="00DB2759" w:rsidRPr="00627B26" w:rsidRDefault="00DB2759" w:rsidP="00DB2759">
      <w:pPr>
        <w:pStyle w:val="Textosinformato"/>
        <w:spacing w:line="360" w:lineRule="auto"/>
        <w:ind w:firstLine="289"/>
        <w:jc w:val="both"/>
        <w:rPr>
          <w:rFonts w:ascii="Arial" w:eastAsia="MS Mincho" w:hAnsi="Arial" w:cs="Arial"/>
          <w:b/>
          <w:bCs/>
          <w:i/>
          <w:iCs/>
          <w:sz w:val="24"/>
          <w:szCs w:val="24"/>
          <w:lang w:val="es-MX"/>
        </w:rPr>
      </w:pP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r w:rsidRPr="00627B26">
        <w:rPr>
          <w:rFonts w:ascii="Arial" w:eastAsia="MS Mincho" w:hAnsi="Arial" w:cs="Arial"/>
          <w:b/>
          <w:bCs/>
          <w:i/>
          <w:iCs/>
          <w:sz w:val="24"/>
          <w:szCs w:val="24"/>
          <w:lang w:val="es-MX"/>
        </w:rPr>
        <w:t>Artículo 934</w:t>
      </w:r>
      <w:bookmarkEnd w:id="2"/>
      <w:r w:rsidRPr="00627B26">
        <w:rPr>
          <w:rFonts w:ascii="Arial" w:eastAsia="MS Mincho" w:hAnsi="Arial" w:cs="Arial"/>
          <w:b/>
          <w:bCs/>
          <w:i/>
          <w:iCs/>
          <w:sz w:val="24"/>
          <w:szCs w:val="24"/>
          <w:lang w:val="es-MX"/>
        </w:rPr>
        <w:t xml:space="preserve">.- </w:t>
      </w:r>
      <w:r w:rsidRPr="00627B26">
        <w:rPr>
          <w:rFonts w:ascii="Arial" w:eastAsia="MS Mincho" w:hAnsi="Arial" w:cs="Arial"/>
          <w:i/>
          <w:iCs/>
          <w:sz w:val="24"/>
          <w:szCs w:val="24"/>
          <w:lang w:val="es-MX"/>
        </w:rPr>
        <w:t>Si alguno perforase pozo o hiciere obras de captación de aguas subterráneas en su propiedad, aunque por esto disminuya el agua del abierto en fundo ajeno, no está obligado a indemnizar; pero debe tenerse en cuenta lo dispuesto en el artículo 840.</w:t>
      </w: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bookmarkStart w:id="3" w:name="Artículo_935"/>
      <w:r w:rsidRPr="00627B26">
        <w:rPr>
          <w:rFonts w:ascii="Arial" w:eastAsia="MS Mincho" w:hAnsi="Arial" w:cs="Arial"/>
          <w:b/>
          <w:bCs/>
          <w:i/>
          <w:iCs/>
          <w:sz w:val="24"/>
          <w:szCs w:val="24"/>
          <w:lang w:val="es-MX"/>
        </w:rPr>
        <w:t>Artículo 935</w:t>
      </w:r>
      <w:bookmarkEnd w:id="3"/>
      <w:r w:rsidRPr="00627B26">
        <w:rPr>
          <w:rFonts w:ascii="Arial" w:eastAsia="MS Mincho" w:hAnsi="Arial" w:cs="Arial"/>
          <w:b/>
          <w:bCs/>
          <w:i/>
          <w:iCs/>
          <w:sz w:val="24"/>
          <w:szCs w:val="24"/>
          <w:lang w:val="es-MX"/>
        </w:rPr>
        <w:t xml:space="preserve">.- </w:t>
      </w:r>
      <w:r w:rsidRPr="00627B26">
        <w:rPr>
          <w:rFonts w:ascii="Arial" w:eastAsia="MS Mincho" w:hAnsi="Arial" w:cs="Arial"/>
          <w:i/>
          <w:iCs/>
          <w:sz w:val="24"/>
          <w:szCs w:val="24"/>
          <w:lang w:val="es-MX"/>
        </w:rPr>
        <w:t>El propietario de las aguas no podrá desviar su curso de modo que cause daño a un tercero.</w:t>
      </w: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bookmarkStart w:id="4" w:name="Artículo_936"/>
      <w:r w:rsidRPr="00627B26">
        <w:rPr>
          <w:rFonts w:ascii="Arial" w:eastAsia="MS Mincho" w:hAnsi="Arial" w:cs="Arial"/>
          <w:b/>
          <w:bCs/>
          <w:i/>
          <w:iCs/>
          <w:sz w:val="24"/>
          <w:szCs w:val="24"/>
          <w:lang w:val="es-MX"/>
        </w:rPr>
        <w:t>Artículo 936</w:t>
      </w:r>
      <w:bookmarkEnd w:id="4"/>
      <w:r w:rsidRPr="00627B26">
        <w:rPr>
          <w:rFonts w:ascii="Arial" w:eastAsia="MS Mincho" w:hAnsi="Arial" w:cs="Arial"/>
          <w:b/>
          <w:bCs/>
          <w:i/>
          <w:iCs/>
          <w:sz w:val="24"/>
          <w:szCs w:val="24"/>
          <w:lang w:val="es-MX"/>
        </w:rPr>
        <w:t xml:space="preserve">.- </w:t>
      </w:r>
      <w:r w:rsidRPr="00627B26">
        <w:rPr>
          <w:rFonts w:ascii="Arial" w:eastAsia="MS Mincho" w:hAnsi="Arial" w:cs="Arial"/>
          <w:i/>
          <w:iCs/>
          <w:sz w:val="24"/>
          <w:szCs w:val="24"/>
          <w:lang w:val="es-MX"/>
        </w:rPr>
        <w:t>El uso y aprovechamiento de las aguas de dominio público se regirá por la ley especial respectiva.</w:t>
      </w:r>
    </w:p>
    <w:p w:rsidR="00DB2759" w:rsidRPr="00627B26" w:rsidRDefault="00DB2759" w:rsidP="00DB2759">
      <w:pPr>
        <w:pStyle w:val="Textosinformato"/>
        <w:spacing w:line="360" w:lineRule="auto"/>
        <w:ind w:left="578"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Básicamente este último artículo es el único realmente aplicable, al caso resultaría aplicable la Ley de Aguas Nacionales que es reglamentaria del artículo 27 de la Constitución Política de los Estados Unidos Mexicanos en esa materia y señala en su artículo 1º que es de observancia general en todo el territorio nacional, sus disposiciones son de orden público e interés social y tiene por objeto regular la explotación, uso o aprovechamiento de las aguas nacionales, su distribución y control, así como la preservación de su cantidad y calidad para lograr su desarrollo integral sustentable y luego en el artículo 2º establece que sus disposiciones son aplicables a todas las aguas nacionales, sean superficiales o del subsuelo, resultando evidente, que la apropiación de las aguas como derecho patrimonial queda superada para pasar a formar parte del entorno social como derecho humano de acceso al agua, sin embargo la fracción XVII del artículo 73 de la Constitución de los Estados Unidos Mexicanos no habla de aguas nacionales, sino de aguas de jurisdicción federal, por lo que existe controversia en relación a si realmente se tarta de una ley general válida.</w:t>
      </w:r>
    </w:p>
    <w:p w:rsidR="00DB2759" w:rsidRPr="00627B26" w:rsidRDefault="00DB2759" w:rsidP="00DB2759">
      <w:pPr>
        <w:pStyle w:val="Textosinformato"/>
        <w:spacing w:line="360" w:lineRule="auto"/>
        <w:ind w:firstLine="289"/>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708" w:firstLine="289"/>
        <w:jc w:val="both"/>
        <w:rPr>
          <w:rFonts w:ascii="Arial" w:eastAsia="MS Mincho" w:hAnsi="Arial" w:cs="Arial"/>
          <w:i/>
          <w:iCs/>
          <w:sz w:val="24"/>
          <w:szCs w:val="24"/>
          <w:lang w:val="es-MX"/>
        </w:rPr>
      </w:pPr>
      <w:bookmarkStart w:id="5" w:name="Artículo_937"/>
      <w:r w:rsidRPr="00627B26">
        <w:rPr>
          <w:rFonts w:ascii="Arial" w:eastAsia="MS Mincho" w:hAnsi="Arial" w:cs="Arial"/>
          <w:b/>
          <w:bCs/>
          <w:i/>
          <w:iCs/>
          <w:sz w:val="24"/>
          <w:szCs w:val="24"/>
          <w:lang w:val="es-MX"/>
        </w:rPr>
        <w:t>Artículo 937</w:t>
      </w:r>
      <w:bookmarkEnd w:id="5"/>
      <w:r w:rsidRPr="00627B26">
        <w:rPr>
          <w:rFonts w:ascii="Arial" w:eastAsia="MS Mincho" w:hAnsi="Arial" w:cs="Arial"/>
          <w:b/>
          <w:bCs/>
          <w:i/>
          <w:iCs/>
          <w:sz w:val="24"/>
          <w:szCs w:val="24"/>
          <w:lang w:val="es-MX"/>
        </w:rPr>
        <w:t xml:space="preserve">.- </w:t>
      </w:r>
      <w:r w:rsidRPr="00627B26">
        <w:rPr>
          <w:rFonts w:ascii="Arial" w:eastAsia="MS Mincho" w:hAnsi="Arial" w:cs="Arial"/>
          <w:i/>
          <w:iCs/>
          <w:sz w:val="24"/>
          <w:szCs w:val="24"/>
          <w:lang w:val="es-MX"/>
        </w:rP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DB2759" w:rsidRPr="00627B26" w:rsidRDefault="00DB2759" w:rsidP="00DB2759">
      <w:pPr>
        <w:spacing w:line="360" w:lineRule="auto"/>
        <w:rPr>
          <w:rFonts w:ascii="Arial" w:hAnsi="Arial" w:cs="Arial"/>
          <w:i/>
          <w:iCs/>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Desde luego que se pueden establecer convenios entre particulares para el aprovechamiento del agua, pero ello deberá ser dentro del marco permitido por la Ley de Aguas Nacionales, insisto, no como una libre disposición de un derecho de carácter patrimonial.</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Esta regulación de nuestras codificaciones civiles, me parece anacrónica y resulta curioso advertir que en el derecho romano, sobre las cosas se identificaba como la cosa misma, rei vindicatio. Las que pertenecían a una persona formaban su bona o su patrimontium. Por ello, existía una distinción entre las cosas que podían ser objeto de apropiación individual in nostro patrimonio y los otros extra nostrum patrimontium. El resto de las cosas pertenecían a las sociedades humanas (mercados, teatros), a los dioses (cosas sagradas), y a la naturaleza (los animales salvajes). Otra de las divisiones hechas en el derecho romano es entre la res extra commercium y res in comercio. Las cosas fuera del comercio son aquellas que por su naturaleza o su afectación están fuera de forma absoluta de los actos de la vida jurídica, y en particular, no son susceptibles de ser alienadas. Las cosas comunes (res comunes) están fuera del comercio, y el agua se consideraba como una cosa común.</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Código Civil vigente en materia federal entró en vigor en 1932, como consecuencia de las modificaciones a la legislación secundaria derivada de la promulgación de la Constitución Política de 1917. En el contenido del referido código encontramos las conquistas sociales derivadas del movimiento revolucionario de 1910, sin embargo, los juristas comisionados a la redacción del referido ordenamiento legal fueron formados conforme a las corrientes liberales del siglo XIX y encontramos un Código Civil que conjuga instituciones jurídicas derivadas de un sistema patrimonialista que todavía no acogía los principios socialistas de la Constitución del 17, por el contrario bajo la influencia de la tesis estadounidense liberal, se sostiene que la protección de las riquezas naturales es necesariamente reforzada por el derecho de la propiedad privada, pues el comportamiento de cada individuo con el libre acceso a los recursos comunes lleva a la destrucción del mismo, y sólo la apropiación privada permite una adecuada gestión y racionalización que facilita la preservación de los recursos naturales, lo cual no deja de tener sentido, sin embargo este principio es la base de la sobreexplotación de los recursos naturales, para la obtención de máxima utilidad, sin importar el daño al medio ambiente que perturba el derecho de los demás y que nos está llevando a la crisis del “día cero”.</w:t>
      </w: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La Declaración de Independencia de las trece Colonias Inglesas de América y la Declaración de los Derechos del Hombre derivada de la Revolución francesa, constituyen la primera generación de derechos humanos que brindan protección a la persona en lo individual, surgen los derechos humanos de primera generación: la libertad, la igualdad, la propiedad y la seguridad jurídica frente al autoritarismo de la monarquía.</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La segunda generación de derechos humanos, también llamados derechos sociales surgen a finales del siglo XIX pero se desarrolla a principios del siglo XX, destacándose el movimiento revolucionario de 1910 como uno de los hechos históricos que reflejó dichos derechos en la Constitución Política de los Estados Unidos Mexicanos de 1917 por primera vez, en la cual se incluyeron los derechos del trabajo, de seguridad social y agrario.</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La tercera generación, los derechos programáticos, derivan de la conclusión de la Segunda Guerra Mundial, imponiendo obligaciones al Estado para el desarrollo social, nace el derecho a la vivienda, a la salud, a la educación, el de los consumidores y empieza a entreverse el derecho a un medio ambiente sano.</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 xml:space="preserve">La cuarta generación de derechos humanos brota a finales de la década de los setenta y durante los años ochenta del siglo XX, incluye el derecho a la información, a la participación social, alimentación, desarrollo y se consolida el derecho al medio ambiente sano. </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 xml:space="preserve">La quinta generación de los derechos humanos se compone de elementos tendentes a darle a efectividad a todos los demás e integrarlos en las políticas públicas, el desarrollo sustentable, la paz, la felicidad, derecho intergeneracional, situación en la cual las futuras generaciones tienen el derecho a una herencia adecuada que les permita un nivel de vida no menor al de la generación actual, transgénero, eutanasia, clonación, por citar algunos ejemplos, es evidente que en nuestra era los derechos humanos y sus significados son el tema y eje en el que gira la actividad pública, su evolución en los últimos cincuenta años, la discusión filosófica, política y jurídica sobre los derechos ha sido copiosa. </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No solo en México sino a nivel mundial es clara e inequívoca la tendencia a categorizar el acceso al agua como un derecho humano, por lo que la gestión de los recursos hídricos es un tema de seguridad nacional, pero contextualizado en el marco del acceso al agua como derecho humano, siendo ilustrativo lo señalado en la siguiente tesis:</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AGUA POTABLE. COMO DERECHO HUMANO, LA PREFERENCIA DE SU USO DOMÉSTICO Y PÚBLICO URBANO ES UNA CUESTIÓN DE SEGURIDAD NACIONAL.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PRIMER TRIBUNAL COLEGIADO EN MATERIAS ADMINISTRATIVA Y DE TRABAJO DEL DÉCIMO PRIMER CIRCUITO.</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Amparo directo 740/2011. Petronilo Pantoja Espinoza. 1 de marzo de 2012. Unanimidad de votos. Ponente: Juan García Orozco. Secretario: Víctor Ruiz Contreras.</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 xml:space="preserve">Época: Décima Época Registro: 2001560 Instancia: Tribunales Colegiados de Circuito Tipo de Tesis: Aislada Fuente: Semanario Judicial de la Federación y su Gaceta Libro XII, Septiembre de 2012, Tomo 3 Materia(s): Constitucional, Común Tesis: XI.1o.A.T.1 K (10a.) Página: 1502 </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El cuidado y gestión del líquido vital por parte de los gobiernos, no solo debe ser en cuanto a su uso adecuado y eficiente, sino a que el control del servicio y acceso para los diferentes usos, doméstico, industrial o agrícola esté a cargo del Estado mediante entes en donde converja la participación ciudadana efectiva, no propiciar su privatización, ni provocar o poner en riesgo su abasto, ya que no se puede lucrar con una de las mayores fuentes de vida que tenemos los seres humanos.</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El 28 de julio del 2010, la Asamblea General de las Naciones Unidas reconoció “el derecho al agua potable y el saneamiento como un derecho humano esencial para el pleno disfrute de la vida y de todos los derechos humanos”:</w:t>
      </w:r>
    </w:p>
    <w:p w:rsidR="00DB2759" w:rsidRPr="00627B26" w:rsidRDefault="00DB2759" w:rsidP="00DB2759">
      <w:pPr>
        <w:pStyle w:val="Textosinformato"/>
        <w:spacing w:line="360" w:lineRule="auto"/>
        <w:ind w:left="708"/>
        <w:jc w:val="both"/>
        <w:rPr>
          <w:rFonts w:ascii="Arial" w:eastAsia="MS Mincho" w:hAnsi="Arial" w:cs="Arial"/>
          <w:i/>
          <w:iCs/>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i/>
          <w:iCs/>
          <w:sz w:val="24"/>
          <w:szCs w:val="24"/>
          <w:lang w:val="es-MX"/>
        </w:rPr>
      </w:pPr>
      <w:r w:rsidRPr="00627B26">
        <w:rPr>
          <w:rFonts w:ascii="Arial" w:eastAsia="MS Mincho" w:hAnsi="Arial" w:cs="Arial"/>
          <w:i/>
          <w:iCs/>
          <w:sz w:val="24"/>
          <w:szCs w:val="24"/>
          <w:lang w:val="es-MX"/>
        </w:rPr>
        <w:t xml:space="preserve">64/292. El derecho humano al agua y el saneamiento </w:t>
      </w:r>
    </w:p>
    <w:p w:rsidR="00DB2759" w:rsidRPr="00627B26" w:rsidRDefault="00DB2759" w:rsidP="00DB2759">
      <w:pPr>
        <w:pStyle w:val="Textosinformato"/>
        <w:spacing w:line="360" w:lineRule="auto"/>
        <w:ind w:left="708"/>
        <w:jc w:val="both"/>
        <w:rPr>
          <w:rFonts w:ascii="Arial" w:eastAsia="MS Mincho" w:hAnsi="Arial" w:cs="Arial"/>
          <w:i/>
          <w:iCs/>
          <w:sz w:val="24"/>
          <w:szCs w:val="24"/>
          <w:lang w:val="es-MX"/>
        </w:rPr>
      </w:pPr>
      <w:r w:rsidRPr="00627B26">
        <w:rPr>
          <w:rFonts w:ascii="Arial" w:eastAsia="MS Mincho" w:hAnsi="Arial" w:cs="Arial"/>
          <w:i/>
          <w:iCs/>
          <w:sz w:val="24"/>
          <w:szCs w:val="24"/>
          <w:lang w:val="es-MX"/>
        </w:rPr>
        <w:t>La Asamblea General, Recordando sus resoluciones 54/175, de 17 de diciembre de 1999, relativa al derecho al desarrollo, 55/196, de 20 de diciembre de 2000, en que proclamó 2003 Año Internacional del Agua Dulce, 58/217, de 23 de diciembre de 2003, en que proclamó el Decenio Internacional para la Acción, “El agua, fuente de vida” (2005-2015), 59/228, de 22 de diciembre de 2004, 61/192, de 20 de diciembre de 2006, en que proclamó 2008 Año Internacional del Saneamiento, y 64/198, de 21 de diciembre de 2009, relativa al examen amplio de mitad de período de las actividades del Decenio Internacional para la Acción, “El agua, fuente de vida”, el Programa 21, de junio de 1992,17 el Programa de Hábitat, de 1996,18 el Plan de Acción de Mar del Plata, de 1977, aprobado por la Conferencia de las Naciones Unidas sobre el Agua,19 y la Declaración de Río sobre el Medio Ambiente y el Desarrollo, de junio de 1992,20 Recordando también la Declaración Universal de Derechos Humanos, el Pacto Internacional de Derechos Económicos, Sociales y Culturales, el Pacto Internacional de Derechos Civiles y Políticos, la Convención Internacional sobre la Elimina ción de todas las Formas de Discriminación Racial, la Convención sobre la eliminación de todas las formas de discriminación contra la mujer, la Convención sobre los Derechos del Niño, la Convención sobre los derechos de las personas con discapacidad y el Convenio de Ginebra relativo a la protección debida a las personas civiles en tiempo de guerra, de 12 de agosto de 1949, Recordando además todas las resoluciones anteriores del Consejo de Derechos Humanos relativas a los derechos humanos y el acceso al agua potable y el saneamiento, incluidas las resoluciones del Consejo 7/22, de 28 de marzo de 2008,21 y 12/8, de 1o. de octubre de 2009, relativas al derecho humano al agua potable y el saneamiento, el Comentario General núm. 15 (2002) del Comité de Derechos Económicos, Sociales y Culturales relativo al derecho al agua (artículos 11 y 12 del Pacto Internacional de Derechos Económicos, Sociales y Culturales), y el informe de la Alta Comisionada  de las Naciones Unidas para los Derechos Humanos sobre el alcance y el contenido de las obligaciones pertinentes en materia de derechos humanos relacionadas con el acceso equitativo al agua potable y el saneamiento que imponen los instrumentos internacionales de derechos humanos, así como el informe de la experta independiente sobre la cuestión de las obligaciones de derechos humanos relacionadas con el acceso al agua potable y el saneamiento, Profundamente preocupada porque aproximadamente 884 millones de personas carecen de acceso a agua potable y más de 2.600 millones de personas no tienen acceso a saneamiento básico, y alarmada porque cada año fallecen aproximadamente 1,5 millones de niños menores de 5 años y se pierden 443 millones de días lectivos a consecuencia de enfermedades relacionadas con el agua y el saneamiento, Reconociendo la importancia de disponer de agua potable y saneamiento en condiciones equitativas como componente esencial del disfrute de todos los derechos humanos, Reafirmando la responsabilidad de los Estados de promover y proteger todos los derechos humanos, que son universales, indivisibles, interdependientes y están relacionados entre sí, y que deben tratarse de forma global y de manera justa y equitativa y en pie de igualdad y recibir la misma atención, Teniendo presente el compromiso contraído por la comunidad internacional de cumplir plenamente los Objetivos de Desarrollo del Milenio y destacando, en este contexto, la determinación de los Jefes de Estado y de Gobierno, expresada en la Declaración del Milenio, de reducir a la mitad para 2015 el porcentaje de personas que carezcan de acceso a agua potable o no puedan costearlo y, según lo convenido en el Plan de Aplicación de las Decisiones de la Cumbre Mundial sobre el Desarrollo Sostenible (“Plan de Aplicación de las Decisiones de Johannesburgo”), reducir a la mitad para 2015 el porcentaje de personas que no tengan acceso a servicios básicos de saneamiento, 1. Reconoce que el derecho al agua potable y el saneamiento es un derecho humano esencial para el pleno disfrute de la vida y de todos los derechos humanos; 2. Exhorta a los Estados y las organizaciones internacionales a que proporcionen recursos financieros y propicien el aumento de la capacidad y la transferencia de tecnología por medio de la asistencia y la cooperación internacionales, en particular a los países en desarrollo, a fin de intensificar los esfuerzos por proporcionar a toda la población un acceso económico al agua potable y el saneamiento; 3. Acoge con beneplácito la decisión del Consejo de Derechos Humanos de pedir a la experta independiente sobre las obligaciones de derechos humanos relacionadas con el acceso al agua potable y el saneamiento que presente un informe anual a la Asamblea General, y alienta a la experta independiente a que siga trabajando en todos los aspectos de su mandato y a que, en consulta con todos los organismos, fondos y programas pertinentes de las Naciones Unidas, incluya en el informe que le presente en su sexagésimo sexto período de sesiones las principales dificultades relacionadas con el ejercicio del derecho humano al agua potable y el saneamiento y su efecto en la consecución de los Objetivos de Desarrollo del Milenio. 108a. sesión plenaria, 28 de julio de 2010.</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jc w:val="both"/>
        <w:rPr>
          <w:rFonts w:ascii="Arial" w:eastAsia="MS Mincho" w:hAnsi="Arial" w:cs="Arial"/>
          <w:sz w:val="24"/>
          <w:szCs w:val="24"/>
          <w:lang w:val="es-MX"/>
        </w:rPr>
      </w:pPr>
      <w:r w:rsidRPr="00627B26">
        <w:rPr>
          <w:rFonts w:ascii="Arial" w:eastAsia="MS Mincho" w:hAnsi="Arial" w:cs="Arial"/>
          <w:sz w:val="24"/>
          <w:szCs w:val="24"/>
          <w:lang w:val="es-MX"/>
        </w:rPr>
        <w:t>Es por ello que nuestra Constitución Política de los Estados Unidos Mexicanos, en el artículo 4º, párrafo sexto, reconoció el derecho al acceso, disposición y saneamiento del agua para consumo personal o doméstico, y exhorta a los Estados y las organizaciones internacionales a que proporcionen recursos financieros, a fin de intensificar los esfuerzos por proporcionar a toda la población un acceso económico al agua potable y el saneamiento, claro mandato a que no se utilice con fines comerciales o privados, resultando pues que es el Estado Mexicano el encargado de garantizar que los gobernados tengan acceso al agua de manera suficiente, salubre, aceptable y asequible. Como se puede apreciar, es facultad exclusiva del Estado velar por el cumplimiento de este precepto constitucional, pero desde luego si la obligación es del Estado, el derecho es del ciudadano, visto como el derecho humano de acceso al agua y entonces debe ser llamado ineludiblemente a gestionar el recurso, es decir, la participación ciudadana en la gestión hídrica es obligatoria.</w:t>
      </w:r>
    </w:p>
    <w:p w:rsidR="00DB2759" w:rsidRPr="00627B26" w:rsidRDefault="00DB2759" w:rsidP="00DB2759">
      <w:pPr>
        <w:pStyle w:val="Textosinformato"/>
        <w:spacing w:line="360" w:lineRule="auto"/>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DERECHO FUNDAMENTAL DE ACCESO AL AGUA. LA COMISIÓN ESTATAL DE AGUAS DE QUERÉTARO ES LA AUTORIDAD OBLIGADA A GARANTIZARLO, MEDIANTE LOS CONTRATOS CELEBRADOS CON LOS USUARIOS, EN UNA RELACIÓN DE SUPRA A SUBORDINACIÓN. El artículo 4o., párrafo sexto, de la Constitución Política de los Estados Unidos Mexicanos elevó a la categoría de derecho fundamental el acceso al agua y obligó al Estado a garantizarlo, a partir de su reforma publicada en el Diario Oficial de la Federación el 8 de febrero de 2012. Por su parte, los artículos 402, 472, párrafos primero y quinto, y 439, párrafo primero, en relación con los diversos 419 a 426 y 441 del Código Urbano del Estado de Querétaro edifican un marco legal que permite considerar a la Comisión Estatal de Aguas de la entidad, como la autoridad obligada a garantizar ese derecho fundamental, derivado de la relación jurídica de asimetría que guarda con el usuario; esto es, de supra a subordinación, cuando emite actos sustentados en los contratos que ambos celebren. Sin que se oponga a lo anterior, la tesis de jurisprudencia P./J. 92/2001, del Pleno de la Suprema Corte de Justicia de la Nación, de rubro: "AGUA POTABLE. CUANDO EL ESTADO PRESTA EL SERVICIO MEDIANTE CONTRATOS ADMINISTRATIVOS DE ADHESIÓN, LA RELACIÓN JURÍDICA ENTRE LAS PARTES NO CORRESPONDE A LA DE SUPRA A SUBORDINACIÓN QUE EXISTE ENTRE UNA AUTORIDAD Y UN GOBERNADO, SINO A UNA RELACIÓN DE COORDINACIÓN VOLUNTARIA ENTRE EL PRESTADOR DEL SERVICIO Y EL PARTICULAR.", al haberse aprobado ésta el 3 de julio de 2001; es decir, con anterioridad a la reforma constitucional indicada y a la diversa difundida en el señalado medio el 6 y 10 de junio de 2011, que implicó la ampliación del espectro de autoridad para efectos del juicio de amparo y vinculó a las autoridades a proteger los derechos fundamentales, entre ellos, el de acceso al agua, pues las condiciones normativas e interpretativas imperantes al emitirse dicho criterio, aún no se sujetaban a la progresividad del actual marco constitucional en materia de derechos humanos. Máxime que el Alto Tribunal del País ya puso de manifiesto que el concepto de autoridad sufrió una adaptación funcional que corresponde con una visión más amplia del derecho internacional de los derechos humanos y su vinculación con el nuevo contexto constitucional, como se obtiene de la línea jurisprudencial que desarrolló desde finales de la Novena Época y, decididamente, en la Décima, al precisar la dimensión autoritativa de las atribuciones y facultades que despliegan entes y corporaciones dentro del Estado, dejando de lado el tradicional concepto de fuerza pública, como elemento sustancial del acto de autoridad, precedente que, a la postre, se tradujo en el actual enunciado del artículo 5o., fracción II, de la Ley de Amparo.</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TRIBUNAL COLEGIADO EN MATERIAS PENAL Y ADMINISTRATIVA DEL VIGÉSIMO SEGUNDO CIRCUITO.</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Amparo en revisión 1/2017. 1 de junio de 2017. Unanimidad de votos. Ponente: Mauricio Barajas Villa. Secretario: Samuel Olvera López.</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Nota: La tesis de jurisprudencia P./J. 92/2001 citada, aparece publicada en el Semanario Judicial de la Federación y su Gaceta, Novena Época, Tomo XIV, julio de 2001, página 693.</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Esta tesis se publicó el viernes 24 de agosto de 2018 a las 10:32 horas en el Semanario Judicial de la Federación.</w:t>
      </w: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p>
    <w:p w:rsidR="00DB2759" w:rsidRPr="00627B26" w:rsidRDefault="00DB2759" w:rsidP="00DB2759">
      <w:pPr>
        <w:pStyle w:val="Textosinformato"/>
        <w:spacing w:line="360" w:lineRule="auto"/>
        <w:ind w:left="708"/>
        <w:jc w:val="both"/>
        <w:rPr>
          <w:rFonts w:ascii="Arial" w:eastAsia="MS Mincho" w:hAnsi="Arial" w:cs="Arial"/>
          <w:sz w:val="24"/>
          <w:szCs w:val="24"/>
          <w:lang w:val="es-MX"/>
        </w:rPr>
      </w:pPr>
      <w:r w:rsidRPr="00627B26">
        <w:rPr>
          <w:rFonts w:ascii="Arial" w:eastAsia="MS Mincho" w:hAnsi="Arial" w:cs="Arial"/>
          <w:sz w:val="24"/>
          <w:szCs w:val="24"/>
          <w:lang w:val="es-MX"/>
        </w:rPr>
        <w:t xml:space="preserve">Época: Décima Época Registro: 2017667 Instancia: Tribunales Colegiados de Circuito Tipo de Tesis: Aislada Fuente: Gaceta del Semanario Judicial de la Federación Libro 57, Agosto de 2018, Tomo III Materia(s): Constitucional Tesis: XXII.P.A.19 A (10a.) Página: 2685 </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Así en el artículo 4º de la Constitución de los Estados Unidos Mexicanos en sus párrafos 5º  y 6º  se reconoce el derecho a un medio ambiente sano y el derecho al acceso al agua, pero desvinculados, sin las interfases de resguardo entre ambos por su clara interdependencia.</w:t>
      </w:r>
    </w:p>
    <w:p w:rsidR="00DB2759" w:rsidRPr="00627B26" w:rsidRDefault="00DB2759" w:rsidP="00DB2759">
      <w:pPr>
        <w:spacing w:line="360" w:lineRule="auto"/>
        <w:jc w:val="both"/>
        <w:rPr>
          <w:rFonts w:ascii="Arial" w:hAnsi="Arial" w:cs="Arial"/>
          <w:i/>
          <w:iCs/>
          <w:sz w:val="24"/>
          <w:szCs w:val="24"/>
        </w:rPr>
      </w:pP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Artículo 4o.-</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ind w:left="708"/>
        <w:jc w:val="both"/>
        <w:rPr>
          <w:rFonts w:ascii="Arial" w:hAnsi="Arial" w:cs="Arial"/>
          <w:i/>
          <w:iCs/>
          <w:sz w:val="24"/>
          <w:szCs w:val="24"/>
        </w:rPr>
      </w:pPr>
    </w:p>
    <w:p w:rsidR="00DB2759" w:rsidRPr="00627B26" w:rsidRDefault="00DB2759" w:rsidP="00DB2759">
      <w:pPr>
        <w:pStyle w:val="Texto"/>
        <w:spacing w:after="0" w:line="360" w:lineRule="auto"/>
        <w:ind w:left="708"/>
        <w:rPr>
          <w:bCs/>
          <w:i/>
          <w:iCs/>
          <w:color w:val="000000"/>
          <w:sz w:val="24"/>
          <w:szCs w:val="24"/>
        </w:rPr>
      </w:pPr>
      <w:r w:rsidRPr="00627B26">
        <w:rPr>
          <w:bCs/>
          <w:i/>
          <w:iCs/>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DB2759" w:rsidRPr="00627B26" w:rsidRDefault="00DB2759" w:rsidP="00DB2759">
      <w:pPr>
        <w:pStyle w:val="Texto"/>
        <w:spacing w:after="0" w:line="360" w:lineRule="auto"/>
        <w:ind w:left="708"/>
        <w:rPr>
          <w:bCs/>
          <w:i/>
          <w:iCs/>
          <w:color w:val="000000"/>
          <w:sz w:val="24"/>
          <w:szCs w:val="24"/>
        </w:rPr>
      </w:pPr>
    </w:p>
    <w:p w:rsidR="00DB2759" w:rsidRPr="00627B26" w:rsidRDefault="00DB2759" w:rsidP="00DB2759">
      <w:pPr>
        <w:pStyle w:val="Texto"/>
        <w:spacing w:after="0" w:line="360" w:lineRule="auto"/>
        <w:ind w:left="708"/>
        <w:rPr>
          <w:bCs/>
          <w:i/>
          <w:iCs/>
          <w:color w:val="000000"/>
          <w:sz w:val="24"/>
          <w:szCs w:val="24"/>
        </w:rPr>
      </w:pPr>
      <w:r w:rsidRPr="00627B26">
        <w:rPr>
          <w:bCs/>
          <w:i/>
          <w:iCs/>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B2759" w:rsidRPr="00627B26" w:rsidRDefault="00DB2759" w:rsidP="00DB2759">
      <w:pPr>
        <w:spacing w:line="360" w:lineRule="auto"/>
        <w:ind w:left="708"/>
        <w:jc w:val="both"/>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En ese sentido no se la ha dado plena eficacia a este derecho humano debido al acotamiento constitucional que a mi juicio restringe el reseñado acceso al agua, fuera del contexto general de su escasez provocado por el atentado generalizado en contra del medio ambiente que ha perjudicado de manera fatal los mantos acuíferos, de tal manera que no basta declarar que todos tenemos derecho al agua de forma asequible, cuando no existe disponibilidad del vital líquido por el daño medio ambiental grave que se ha sufrido en el entorno ya no solo del país, sino  del planeta.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Uso indiscriminado de combustibles fósiles, tala inmoderada, explotación abusiva de mantos acuíferos y escasez de lluvias, por poner un ejemplo de cómo todo se interrelaciona y tiene impacto finalmente en la falta de agua para sobrevivir y daño irreparable al planeta, más allá del interés propio del ser humano, sino de la naturaleza misma, como ya ha sido reconocido por la Suprema Corte de Justicia de la Nación:</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DERECHO HUMANO A UN MEDIO AMBIENTE SANO. SU NÚCLEO ESENCIAL. El derecho a vivir en un medio ambiente sano es un auténtico derecho humano que entraña la facultad de toda persona, como parte de una colectividad, de exigir la protección efectiva del medio ambiente en el que se desarrolla, pero además protege a la naturaleza por el valor que tiene en sí misma, lo que implica que su núcleo esencial de protección incluso va más allá de los objetivos más inmediatos de los seres humanos. En este sentido, este derecho humano se fundamenta en la idea de solidaridad que entraña un análisis de interés legítimo y no de derechos subjetivos y de libertades, incluso, en este contexto, la idea de obligación prevalece sobre la de derecho, pues estamos ante responsabilidades colectivas más que prerrogativas individuales. El paradigma ambiental se basa en una idea de interacción compleja entre el hombre y la naturaleza que toma en cuenta los efectos individuales y colectivos, presentes y futuros de la acción humana.</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Amparo en revisión 307/2016. Liliana Cristina Cruz Piña y otra. 14 de noviembre de 2018. Cinco votos de los Ministros Arturo Zaldívar Lelo de Larrea, José Ramón Cossío Díaz, Jorge Mario Pardo Rebolledo, Alfredo Gutiérrez Ortiz Mena y Norma Lucía Piña Hernández. Ponente: Norma Lucía Piña Hernández. Secretarios: Eduardo Aranda Martínez y Natalia Reyes Heroles Scharrer.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Esta tesis se publicó el viernes 07 de diciembre de 2018 a las 10:19  horas  en el Semanario Judicial de la Federación.</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Registro digital: 2018636 Instancia: Primera Sala Décima Época Materias(s): Constitucional Tesis: 1a. CCLXXXIX/2018 (10a.) Fuente: Gaceta del Semanario Judicial de la Federación. Libro 61, Diciembre de 2018, Tomo I, página 309 Tipo: Aislada</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DERECHO HUMANO A UN MEDIO AMBIENTE SANO. LA VULNERACIÓN A CUALQUIERA DE SUS DOS DIMENSIONES CONSTITUYE UNA VIOLACIÓN A AQUÉL.  El derecho humano a un medio ambiente sano posee una doble dimensión, la primera denominada objetiva o ecologista, que preserva al medio ambiente como un bien jurídico en sí mismo, no obstante su interdependencia con otros múltiples derechos humanos. Esta dimensión protege a la naturaleza y al medio ambiente no solamente por su utilidad para el ser humano o por los efectos que su degradación podría causar en otros derechos de las personas, como la salud, la vida o la integridad personal, sino por su importancia para los demás organismos vivos con quienes se comparte el planeta, también merecedores de protección en sí mismos. La segunda dimensión, la subjetiva o antropocéntrica, es aquella conforme a la cual la protección del derecho a un medio ambiente sano constituye una garantía para la realización y vigencia de los demás derechos reconocidos en favor de la persona, por lo que la vulneración a cualquiera de estas dos dimensiones constituye una violación al derecho humano al medio ambiente, sin que sea necesaria la afectación de otro derecho fundamental.</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Amparo en revisión 307/2016. Liliana Cristina Cruz Piña y otra. 14 de noviembre de 2018. Cinco votos de los Ministros Arturo Zaldívar Lelo de Larrea, José Ramón Cossío Díaz, Jorge Mario Pardo Rebolledo, Alfredo Gutiérrez Ortiz Mena y Norma Lucía Piña Hernández. Ponente: Norma Lucía Piña Hernández. Secretarios: Eduardo Aranda Martínez y Natalia Reyes Heroles Scharrer.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Esta tesis se publicó el viernes 07 de diciembre de 2018 a las 10:19  horas  en el Semanario Judicial de la Federación.</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Registro digital: 2018633 Instancia: Primera Sala Décima Época Materias(s): Constitucional Tesis: 1a. CCLXXXVIII/2018 (10a.) Fuente: Gaceta del Semanario Judicial de la Federación. Libro 61, Diciembre de 2018, Tomo I, página 308 Tipo: Aislada</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No obstante lo claro de la conceptualización jurisdiccional de los derechos humanos a un medio ambiente sano y acceso al agua, esa interdependencia queda desprotegida debido a que no se reconoce de forma expresa el uso del agua en los diferentes contextos como algo relevante y superlativo, que persiga como objetivo salvaguardar los mantos acuíferos y demás fuentes de agua, pues sin ello, no habrá disponibilidad para consumo personal y doméstico y por tanto la protección constitucional y reconocimiento de dichos derechos es poco eficiente en la práctica.</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el actual artículo 27 de la Constitución de los Estados Unidos Mexicanos, fracción XX se menciona una vertiente de sostenibilidad económica, al señalar que se promoverá el uso óptimo de la tierra, pero totalmente desvinculada a la protección medio ambiental y uso racional y eficiente del agua:</w:t>
      </w:r>
    </w:p>
    <w:p w:rsidR="00DB2759" w:rsidRPr="00627B26" w:rsidRDefault="00DB2759" w:rsidP="00DB2759">
      <w:pPr>
        <w:spacing w:line="360" w:lineRule="auto"/>
        <w:ind w:firstLine="289"/>
        <w:jc w:val="both"/>
        <w:rPr>
          <w:rFonts w:ascii="Arial" w:hAnsi="Arial" w:cs="Arial"/>
          <w:i/>
          <w:iCs/>
          <w:sz w:val="24"/>
          <w:szCs w:val="24"/>
        </w:rPr>
      </w:pPr>
      <w:bookmarkStart w:id="6" w:name="Artículo_27"/>
      <w:r w:rsidRPr="00627B26">
        <w:rPr>
          <w:rFonts w:ascii="Arial" w:hAnsi="Arial" w:cs="Arial"/>
          <w:b/>
          <w:i/>
          <w:iCs/>
          <w:sz w:val="24"/>
          <w:szCs w:val="24"/>
        </w:rPr>
        <w:t>Artículo 27</w:t>
      </w:r>
      <w:bookmarkEnd w:id="6"/>
      <w:r w:rsidRPr="00627B26">
        <w:rPr>
          <w:rFonts w:ascii="Arial" w:hAnsi="Arial" w:cs="Arial"/>
          <w:b/>
          <w:i/>
          <w:iCs/>
          <w:sz w:val="24"/>
          <w:szCs w:val="24"/>
        </w:rPr>
        <w:t>.</w:t>
      </w:r>
      <w:r w:rsidRPr="00627B26">
        <w:rPr>
          <w:rFonts w:ascii="Arial" w:hAnsi="Arial" w:cs="Arial"/>
          <w:i/>
          <w:iCs/>
          <w:sz w:val="24"/>
          <w:szCs w:val="24"/>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DB2759" w:rsidRPr="00627B26" w:rsidRDefault="00DB2759" w:rsidP="00DB2759">
      <w:pPr>
        <w:spacing w:line="360" w:lineRule="auto"/>
        <w:jc w:val="both"/>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ind w:left="856" w:hanging="567"/>
        <w:jc w:val="both"/>
        <w:rPr>
          <w:rFonts w:ascii="Arial" w:hAnsi="Arial" w:cs="Arial"/>
          <w:b/>
          <w:bCs/>
          <w:i/>
          <w:iCs/>
          <w:sz w:val="24"/>
          <w:szCs w:val="24"/>
        </w:rPr>
      </w:pPr>
    </w:p>
    <w:p w:rsidR="00DB2759" w:rsidRPr="00627B26" w:rsidRDefault="00DB2759" w:rsidP="00DB2759">
      <w:pPr>
        <w:spacing w:line="360" w:lineRule="auto"/>
        <w:ind w:left="856" w:hanging="567"/>
        <w:jc w:val="both"/>
        <w:rPr>
          <w:rFonts w:ascii="Arial" w:hAnsi="Arial" w:cs="Arial"/>
          <w:i/>
          <w:iCs/>
          <w:sz w:val="24"/>
          <w:szCs w:val="24"/>
        </w:rPr>
      </w:pPr>
      <w:r w:rsidRPr="00627B26">
        <w:rPr>
          <w:rFonts w:ascii="Arial" w:hAnsi="Arial" w:cs="Arial"/>
          <w:b/>
          <w:bCs/>
          <w:i/>
          <w:iCs/>
          <w:sz w:val="24"/>
          <w:szCs w:val="24"/>
        </w:rPr>
        <w:t xml:space="preserve">XX. </w:t>
      </w:r>
      <w:r w:rsidRPr="00627B26">
        <w:rPr>
          <w:rFonts w:ascii="Arial" w:hAnsi="Arial" w:cs="Arial"/>
          <w:b/>
          <w:bCs/>
          <w:i/>
          <w:iCs/>
          <w:sz w:val="24"/>
          <w:szCs w:val="24"/>
        </w:rPr>
        <w:tab/>
      </w:r>
      <w:r w:rsidRPr="00627B26">
        <w:rPr>
          <w:rFonts w:ascii="Arial" w:hAnsi="Arial" w:cs="Arial"/>
          <w:i/>
          <w:iCs/>
          <w:sz w:val="24"/>
          <w:szCs w:val="24"/>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DB2759" w:rsidRPr="00627B26" w:rsidRDefault="00DB2759" w:rsidP="00DB2759">
      <w:pPr>
        <w:spacing w:line="360" w:lineRule="auto"/>
        <w:ind w:left="856" w:hanging="567"/>
        <w:jc w:val="both"/>
        <w:rPr>
          <w:rFonts w:ascii="Arial" w:hAnsi="Arial" w:cs="Arial"/>
          <w:i/>
          <w:iCs/>
          <w:sz w:val="24"/>
          <w:szCs w:val="24"/>
        </w:rPr>
      </w:pPr>
    </w:p>
    <w:p w:rsidR="00DB2759" w:rsidRPr="00627B26" w:rsidRDefault="00DB2759" w:rsidP="00DB2759">
      <w:pPr>
        <w:pStyle w:val="Texto"/>
        <w:spacing w:after="0" w:line="360" w:lineRule="auto"/>
        <w:ind w:left="856" w:firstLine="0"/>
        <w:rPr>
          <w:i/>
          <w:iCs/>
          <w:color w:val="000000"/>
          <w:sz w:val="24"/>
          <w:szCs w:val="24"/>
        </w:rPr>
      </w:pPr>
      <w:r w:rsidRPr="00627B26">
        <w:rPr>
          <w:i/>
          <w:iCs/>
          <w:color w:val="000000"/>
          <w:sz w:val="24"/>
          <w:szCs w:val="24"/>
        </w:rPr>
        <w:t>El desarrollo rural integral y sustentable a que se refiere el párrafo anterior, también tendrá entre sus fines que el Estado garantice el abasto suficiente y oportuno de los alimentos básicos que la ley establezca.</w:t>
      </w:r>
    </w:p>
    <w:p w:rsidR="00DB2759" w:rsidRPr="00627B26" w:rsidRDefault="00DB2759" w:rsidP="00DB2759">
      <w:pPr>
        <w:spacing w:line="360" w:lineRule="auto"/>
        <w:rPr>
          <w:rFonts w:ascii="Arial" w:hAnsi="Arial" w:cs="Arial"/>
          <w:i/>
          <w:iCs/>
          <w:sz w:val="24"/>
          <w:szCs w:val="24"/>
        </w:rPr>
      </w:pPr>
    </w:p>
    <w:p w:rsidR="00DB2759" w:rsidRPr="00627B26" w:rsidRDefault="00DB2759" w:rsidP="00DB2759">
      <w:pPr>
        <w:spacing w:line="360" w:lineRule="auto"/>
        <w:rPr>
          <w:rFonts w:ascii="Arial" w:hAnsi="Arial" w:cs="Arial"/>
          <w:i/>
          <w:iCs/>
          <w:sz w:val="24"/>
          <w:szCs w:val="24"/>
        </w:rPr>
      </w:pPr>
      <w:r w:rsidRPr="00627B26">
        <w:rPr>
          <w:rFonts w:ascii="Arial" w:hAnsi="Arial" w:cs="Arial"/>
          <w:i/>
          <w:iCs/>
          <w:sz w:val="24"/>
          <w:szCs w:val="24"/>
        </w:rPr>
        <w:t>...</w:t>
      </w:r>
    </w:p>
    <w:p w:rsidR="00DB2759" w:rsidRPr="00627B26" w:rsidRDefault="00DB2759" w:rsidP="00DB2759">
      <w:pPr>
        <w:spacing w:line="360" w:lineRule="auto"/>
        <w:rPr>
          <w:rFonts w:ascii="Arial" w:hAnsi="Arial" w:cs="Arial"/>
          <w:i/>
          <w:iCs/>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A pesar de que el tema de la gestión del agua, es una responsabilidad de la nación, compartida entre Federación, Estados y Municipios, pareciera que no se avanza en la misma velocidad que el cambio climático restringe el acceso al vital liquido, se percibe un rezago normativo, que no afronta el problema de forma activa y eficaz, por lo que se deben delinear con mayor especificación las acciones de gobierno que deben contribuir de manera rápida y efectiva al uso sustentable del agua en la agricultura, generando cambios para una mayor efectividad de las políticas públicas.</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Es importante que se registren  los requerimientos específicos de agua de nuestros cultivos tradicionales, su variación dependiendo de las condiciones climáticas regionales y ello se relaciones con la tecnología adoptada para la producción y su comparación con los rendimientos correspondientes, que de forma científica soporte decisiones de políticas públicas que logren cambios de cultivos o cambio de tecnologías de uso del agua en la agricultura, que en verdad represente un beneficio económico directo para el agricultor y una conservación de los acuíferos de nuestra entidad. </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La combinación de una baja disponibilidad de agua y la explotación intensiva del recurso ha llevado a que, durante muchos años, se ejerza una gran presión sobre nuestros acuíferos y demás recursos hídricos disponibles.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A pesar de que la Ley de Aguas Nacionales especifica que el ejercicio de la Autoridad en la materia y la gestión integrada de los recursos hídricos, en el ámbito de las cuencas hidrológicas, regiones hidrológicas y regiones hidrológico-administrativas, la Comisión Nacional del Agua las realizará a través de los Organismos de Cuenca, apoyándose en los Consejos de Cuenca, no se ha dado la participación debida a Estados y Municipios, ni a los productores agrícolas, tampoco se han delineado políticas públicas específicas de carácter operativo para estimular y propiciar el desarrollo sustentable del agua en el uso agrícola, que privilegie una visión de bienestar para el productor sin dejar de lado el objetivo de ahorro de agua y conservación de los acuíferos.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México recibe anualmente, en forma de precipitación, aproximadamente 1,489 mil millones de metros cúbicos de agua, de la cual el 71.6 por ciento se evapotranspira y regresa a la atmósfera, el 22.2 por ciento escurre por los ríos o arroyos y el 6.2 por ciento se infiltra al subsuelo de forma natural y recarga los acuíferos. Tomando en cuenta las exportaciones e importaciones de agua con los países vecinos, el país cuenta con 471.5 mil millones de metros cúbicos de agua dulce renovable anualmente, desde luego que los grados de disponibilidad de agua renovable y de explotación del recurso varían entre las diferentes regiones del país.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En regiones del país, tales como la Península de Baja California, Noreste, Rio Bravo, Cuencas Centrales del Norte y Lerma-Santiago-Pacífico, en donde no solamente se presenta una gran presión sobre los recursos hídricos sino, se concentran la mayor parte de los acuíferos sobreexplotados, con intrusión marina y de los acuíferos con presencia de suelos salinos y agua salobre.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No obstante, lo anterior si analizamos nuestro marco jurídico encontramos que pareciera que los chihuahuenses no somos conscientes de que vivimos en una sequía permanente y que el uso racional del agua no solo debe ser en el área doméstica, sino por el contrario, la preservación de los acuíferos será más efectiva, si el uso racional es más intensivo, aplicado en el sector agrícola e industrial, con estrategias atrevidas y eficientes.</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marco jurídico debe generar obligaciones al Estado, para que las acciones programáticas no sean discrecionales, pues a nivel de nuestra legislación, abundan las disposiciones declarativas que no se traducen en verdaderas obligaciones impuestas al Estado, con sanciones severas en caso de que no las ejecute.</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el artículo 3 de la Ley de Aguas Nacionales en las facciones XXV a. y b., LI y LIII, se definen los Distritos y Unidades de Riego, así como la aplicación agrícola del agua, luego de manera tímida al Consejo de Cuenca en el artículo 13 bis 3, fracción IX se establece como facultad coadyuvar al desarrollo de la infraestructura hidráulica y los servicios de agua para uso doméstico, público urbano y agrícola, incluyendo el servicio ambiental, para finalmente abrir un capítulo de uso agrícola del agua sin mencionar mecanismos para propiciar su uso sustentable, sino que se diseña una organización para sus distribución, en eso consiste la gestión del agua en la concepción normativa, nada se habla del ahorro de agua para uso agrícola, su uso eficiente o sustentable se deja de lado para normas reglamentarias.</w:t>
      </w:r>
    </w:p>
    <w:p w:rsidR="00DB2759" w:rsidRPr="00627B26" w:rsidRDefault="00DB2759" w:rsidP="00DB2759">
      <w:pPr>
        <w:spacing w:line="360" w:lineRule="auto"/>
        <w:jc w:val="both"/>
        <w:rPr>
          <w:rFonts w:ascii="Arial" w:hAnsi="Arial" w:cs="Arial"/>
          <w:sz w:val="24"/>
          <w:szCs w:val="24"/>
          <w:lang w:val="es-ES_tradnl"/>
        </w:rPr>
      </w:pPr>
      <w:r w:rsidRPr="00627B26">
        <w:rPr>
          <w:rFonts w:ascii="Arial" w:hAnsi="Arial" w:cs="Arial"/>
          <w:sz w:val="24"/>
          <w:szCs w:val="24"/>
          <w:lang w:val="es-ES_tradnl"/>
        </w:rPr>
        <w:t xml:space="preserve">En el Reglamento de la Ley de Aguas Nacionales, publicado en el Diario Oficial de la Federación el 12 de enero de 1994, en su artículo 2º fracción XVI se definen las aguas de uso agrícola de la siguiente manera: </w:t>
      </w:r>
    </w:p>
    <w:p w:rsidR="00DB2759" w:rsidRPr="00627B26" w:rsidRDefault="00DB2759" w:rsidP="00DB2759">
      <w:pPr>
        <w:spacing w:line="360" w:lineRule="auto"/>
        <w:ind w:left="289" w:firstLine="289"/>
        <w:jc w:val="both"/>
        <w:rPr>
          <w:rFonts w:ascii="Arial" w:hAnsi="Arial" w:cs="Arial"/>
          <w:i/>
          <w:iCs/>
          <w:sz w:val="24"/>
          <w:szCs w:val="24"/>
        </w:rPr>
      </w:pPr>
      <w:r w:rsidRPr="00627B26">
        <w:rPr>
          <w:rFonts w:ascii="Arial" w:hAnsi="Arial" w:cs="Arial"/>
          <w:i/>
          <w:iCs/>
          <w:sz w:val="24"/>
          <w:szCs w:val="24"/>
        </w:rPr>
        <w:t>XVI.</w:t>
      </w:r>
      <w:r w:rsidRPr="00627B26">
        <w:rPr>
          <w:rFonts w:ascii="Arial" w:hAnsi="Arial" w:cs="Arial"/>
          <w:b/>
          <w:bCs/>
          <w:i/>
          <w:iCs/>
          <w:sz w:val="24"/>
          <w:szCs w:val="24"/>
        </w:rPr>
        <w:t xml:space="preserve"> </w:t>
      </w:r>
      <w:r w:rsidRPr="00627B26">
        <w:rPr>
          <w:rFonts w:ascii="Arial" w:hAnsi="Arial" w:cs="Arial"/>
          <w:i/>
          <w:iCs/>
          <w:sz w:val="24"/>
          <w:szCs w:val="24"/>
        </w:rPr>
        <w:t xml:space="preserve">Uso agrícola: la utilización de agua nacional destinada a la actividad de siembra, cultivo y cosecha de productos agrícolas, y su preparación para la primera enajenación, siempre que los productos no hayan sido objeto de transformación industrial </w:t>
      </w:r>
    </w:p>
    <w:p w:rsidR="00DB2759" w:rsidRPr="00627B26" w:rsidRDefault="00DB2759" w:rsidP="00DB2759">
      <w:pPr>
        <w:spacing w:line="360" w:lineRule="auto"/>
        <w:jc w:val="both"/>
        <w:rPr>
          <w:rFonts w:ascii="Arial" w:hAnsi="Arial" w:cs="Arial"/>
          <w:b/>
          <w:bCs/>
          <w:sz w:val="24"/>
          <w:szCs w:val="24"/>
        </w:rPr>
      </w:pPr>
      <w:r w:rsidRPr="00627B26">
        <w:rPr>
          <w:rFonts w:ascii="Arial" w:hAnsi="Arial" w:cs="Arial"/>
          <w:sz w:val="24"/>
          <w:szCs w:val="24"/>
        </w:rPr>
        <w:t xml:space="preserve">En el Capítulo  II, se norma el Uso Agrícola, pero no se establecen disposiciones relativas al usos sustentable del agua para uso agrícola y solo de manera general en el artículo 24 del referido Reglamento se establece que en la formulación e integración del programa nacional hidráulico y de los subprogramas específicos a se tendrán en cuenta los criterios necesarios para garantizar el desarrollo integral sustentable y la debida consideración a la cuota natural de renovación de las aguas para mantener los acuíferos.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Por otra parte, en el Programa Nacional Hídrico publicado en el Diario oficial de la Federación de fecha 30 de diciembre de 2020, se reconoce el uso ineficiente del agua que afecta a la población y a los sectores productivos.</w:t>
      </w:r>
    </w:p>
    <w:p w:rsidR="00DB2759" w:rsidRPr="00627B26" w:rsidRDefault="00DB2759" w:rsidP="00DB2759">
      <w:pPr>
        <w:spacing w:line="360" w:lineRule="auto"/>
        <w:ind w:firstLine="289"/>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Se señala que el incremento en las extracciones de agua de cuencas y acuíferos del país ha ocasionado un aumento significativo del grado de presión sobre el recurso (proporción del agua renovable que es extraída para diferentes usos consuntivos), particularmente en las zonas centro y norte del país, donde el indicador alcanza un valor del 55%; el cual se estima que seguirá aumentando de continuar con las tendencias actuales.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lo que respecta a los usos consuntivos, (con consumo): es cuando el agua, una vez usada, no se devuelve al medio donde se ha captado o no se la devuelve de la misma manera que se ha extraído, aproximadamente el 61% del agua proviene de fuentes superficiales (ríos, arroyos y lagos), mientras que el 39% restante se extrae de fuentes subterráneas (acuíferos). El sector agrícola utiliza cerca del 76% de las extracciones.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Los volúmenes de agua concesionados para la producción de alimentos provienen en un 36% de acuíferos y el resto, proviene de presas o derivaciones de ríos México ocupa el 11º lugar a nivel mundial por su producción agrícola y el 7º lugar por su superficie con riego. La superficie sembrada dedicada a la agricultura es de aproximadamente 22 millones de hectáreas, de la cual, 6.1 millones cuentan con infraestructura de riego y el resto es de temporal. La superficie bajo riego está compuesta por 86 distritos de riego que cubren 2.5 millones de hectáreas y aproximadamente 40 mil unidades de riego que cubren 3.6 millones de hectáreas.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Aunque la superficie bajo riego es mucho menor que la de temporal, su productividad es significativamente mayor (de entre 2 y 3 veces la de temporal), por lo que las áreas de riego generan más de la mitad de la producción agrícola nacional.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La gran mayoría de los distritos de riego han sido transferidos a los usuarios, quienes se organizan en asociaciones y son responsables de mantener la infraestructura con sus propios recursos, aunque no pagan derechos como el resto de los usuarios. En la agricultura de riego persisten pérdidas de agua del orden del 50%, además de problemas relacionados, por ejemplo, con el uso de volúmenes excesivos para riego de los cultivos e ingresos insuficientes para operación y mantenimiento.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Ante este panorama y los efectos del cambio climático en la región, que agudiza la escasez del recurso hídrico, la inseguridad alimentaria y la pobreza rural y urbana urge la utilización de prácticas agrícolas para una mejor conservación del agua y del suelo, así como la búsqueda de opciones tecnológicas destinadas a captar agua de cualquier origen, y utilizarla en la agricultura o ganadería.</w:t>
      </w:r>
    </w:p>
    <w:p w:rsidR="00DB2759" w:rsidRPr="00627B26" w:rsidRDefault="00DB2759" w:rsidP="00DB2759">
      <w:pPr>
        <w:spacing w:line="360" w:lineRule="auto"/>
        <w:ind w:firstLine="708"/>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La promoción de técnicas para la recolección o “cosecha” de agua, se fundamenta en dos tipos de fuentes como ser: la zona donde se genera o la fuente del recurso hídrico (zona de recarga) y una zona que es la que capta o almacena la escorrentía y permite su acopio o uso directo, por medio de depósitos (cisternas, estanques, presas, represas, etc.).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En la medida en que el cambio climático aumenta la inseguridad en la agricultura de secano, las inversiones en acopio y distribución de agua son fundamentales. </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La marcada escasez de agua y el incremento en el costo de los grandes sistemas de riego, hace necesario aprovechar las distintas oportunidades que se presentan para mejorar la productividad mediante la modernización de los sistemas existentes, la validación, ampliación y difusión de los medios de recolección de agua y de los pequeños sistemas de riego, contrastados con el tipo de cultivo, debe ser analizado de forma específica para mejorar las técnicas de riego y asegurar que los productores signa obteniendo beneficios económicos y buena rentabilidad en sus cultivos pero con un menos consumo de agua y demás insumos.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El nogal en Chihuahua es un cultivo de lata productividad que brinda recursos económicos importantes a nuestra economía, por lo que se debe preservar la rentabilidad de esa actividad, que crea fuentes de trabajo y riqueza para nuestra entidad, pero no se puede soslayar que dicho cultivo requiere de grandes volúmenes de agua.</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Tradicionalmente y durante mucho tiempo el nogal se cultivaba en zonas con disponibilidad de agua rodada, pues se utilizaba el sistema de anegamiento por melgas, que es el sistema de riego más rudimentario y que desde luego consume y desperdicia más agua. Conforme se fue popularizando la plantación Nogalera, se tuvieron que establecer la huertas en zonas donde el agua no está disponible al pie, y se utilizó la extracción del subsuelo, bajo el mismos sistema de anegamiento, que pronto dejó de ser costeable, por los altos costos de la extracción, por lo que  migraron a sistemas de goteo superficiales, rudimentarios, que no dieron buenos resultados al no gestionar adecuadamente el agua para cada árbol, por lo que se empezó a utilizar el riego por aspersión o mini aspersión, con diversas modalidades y variantes. Actualmente se está cambiando al riego por goteo, pero tecnificado y subterránea, con gestión individual y programada para cada árbol. Con ello se baja el consumo de agua en un 30%, se reduce el consumo de energía, pues ya no se tienen que bombear para meter presión en un sistema de aspersión, se regula de forma precisa el agua para cada árbol, la cual se dispone directamente el sistema radicular de forma subterránea evitando la evaporación y con ello se aprovecha el usos de fertilizantes por esa misma vía de forma más eficiente y económica la no desperdiciarle por aplicación en la superficie, lo que todo en conjunto mejora la producción y salud del árbol.</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Este ejemplo muestra cómo es que se debe particularizar conforme al tipo de cultivo, para identificar el tipo y técnica de riego a utilizar, que mejore la producción en beneficio del producto y que reduzca significativamente los insumos y el uso del agua, lo cual puede hacerse de forma simultánea. El marco jurídico actual no garantiza que existan políticas públicas de ahorro y uso sustentable del agua para usos agrícola, con estas características.</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la Ley se debe establecer la obligación del Estado de asegurar el uso eficiente del agua destinada para la agricultura, sobre las siguientes bases:</w:t>
      </w:r>
    </w:p>
    <w:p w:rsidR="00DB2759" w:rsidRPr="00627B26" w:rsidRDefault="00DB2759" w:rsidP="00DB2759">
      <w:pPr>
        <w:pStyle w:val="Prrafodelista"/>
        <w:numPr>
          <w:ilvl w:val="0"/>
          <w:numId w:val="14"/>
        </w:numPr>
        <w:spacing w:after="160" w:line="360" w:lineRule="auto"/>
        <w:jc w:val="both"/>
        <w:rPr>
          <w:rFonts w:ascii="Arial" w:hAnsi="Arial" w:cs="Arial"/>
          <w:sz w:val="24"/>
          <w:szCs w:val="24"/>
        </w:rPr>
      </w:pPr>
      <w:r w:rsidRPr="00627B26">
        <w:rPr>
          <w:rFonts w:ascii="Arial" w:hAnsi="Arial" w:cs="Arial"/>
          <w:sz w:val="24"/>
          <w:szCs w:val="24"/>
        </w:rPr>
        <w:t>Identificar las zonas de cultivos específicos y su consumo de agua.</w:t>
      </w:r>
    </w:p>
    <w:p w:rsidR="00DB2759" w:rsidRPr="00627B26" w:rsidRDefault="00DB2759" w:rsidP="00DB2759">
      <w:pPr>
        <w:pStyle w:val="Prrafodelista"/>
        <w:numPr>
          <w:ilvl w:val="0"/>
          <w:numId w:val="14"/>
        </w:numPr>
        <w:spacing w:after="160" w:line="360" w:lineRule="auto"/>
        <w:jc w:val="both"/>
        <w:rPr>
          <w:rFonts w:ascii="Arial" w:hAnsi="Arial" w:cs="Arial"/>
          <w:sz w:val="24"/>
          <w:szCs w:val="24"/>
        </w:rPr>
      </w:pPr>
      <w:r w:rsidRPr="00627B26">
        <w:rPr>
          <w:rFonts w:ascii="Arial" w:hAnsi="Arial" w:cs="Arial"/>
          <w:sz w:val="24"/>
          <w:szCs w:val="24"/>
        </w:rPr>
        <w:t>Contar con un registro público del cultivo o plantación y su consumo anual de agua, así como la técnica de riego que se utiliza.</w:t>
      </w:r>
    </w:p>
    <w:p w:rsidR="00DB2759" w:rsidRPr="00627B26" w:rsidRDefault="00DB2759" w:rsidP="00DB2759">
      <w:pPr>
        <w:pStyle w:val="Prrafodelista"/>
        <w:numPr>
          <w:ilvl w:val="0"/>
          <w:numId w:val="14"/>
        </w:numPr>
        <w:spacing w:after="160" w:line="360" w:lineRule="auto"/>
        <w:jc w:val="both"/>
        <w:rPr>
          <w:rFonts w:ascii="Arial" w:hAnsi="Arial" w:cs="Arial"/>
          <w:sz w:val="24"/>
          <w:szCs w:val="24"/>
        </w:rPr>
      </w:pPr>
      <w:r w:rsidRPr="00627B26">
        <w:rPr>
          <w:rFonts w:ascii="Arial" w:hAnsi="Arial" w:cs="Arial"/>
          <w:sz w:val="24"/>
          <w:szCs w:val="24"/>
        </w:rPr>
        <w:t>Establecer cuáles son las mejoras técnicas de rego para cada tipo de cultivo y región, con relación a la fuente y disponibilidad del recurso hídrico.</w:t>
      </w:r>
    </w:p>
    <w:p w:rsidR="00DB2759" w:rsidRPr="00627B26" w:rsidRDefault="00DB2759" w:rsidP="00DB2759">
      <w:pPr>
        <w:pStyle w:val="Prrafodelista"/>
        <w:numPr>
          <w:ilvl w:val="0"/>
          <w:numId w:val="14"/>
        </w:numPr>
        <w:spacing w:after="160" w:line="360" w:lineRule="auto"/>
        <w:jc w:val="both"/>
        <w:rPr>
          <w:rFonts w:ascii="Arial" w:hAnsi="Arial" w:cs="Arial"/>
          <w:sz w:val="24"/>
          <w:szCs w:val="24"/>
        </w:rPr>
      </w:pPr>
      <w:r w:rsidRPr="00627B26">
        <w:rPr>
          <w:rFonts w:ascii="Arial" w:hAnsi="Arial" w:cs="Arial"/>
          <w:sz w:val="24"/>
          <w:szCs w:val="24"/>
        </w:rPr>
        <w:t>Investigar y desarrollar las técnicas de riego que la entidad necesite y propiciar su constante instalación y ampliación de cobertura en toda la superficie de riego registrada con metas anuales de ahorro de agua en extracción de acuíferos.</w:t>
      </w:r>
    </w:p>
    <w:p w:rsidR="00DB2759" w:rsidRPr="00627B26" w:rsidRDefault="00DB2759" w:rsidP="00DB2759">
      <w:pPr>
        <w:pStyle w:val="Prrafodelista"/>
        <w:numPr>
          <w:ilvl w:val="0"/>
          <w:numId w:val="14"/>
        </w:numPr>
        <w:spacing w:after="160" w:line="360" w:lineRule="auto"/>
        <w:jc w:val="both"/>
        <w:rPr>
          <w:rFonts w:ascii="Arial" w:hAnsi="Arial" w:cs="Arial"/>
          <w:sz w:val="24"/>
          <w:szCs w:val="24"/>
        </w:rPr>
      </w:pPr>
      <w:r w:rsidRPr="00627B26">
        <w:rPr>
          <w:rFonts w:ascii="Arial" w:hAnsi="Arial" w:cs="Arial"/>
          <w:sz w:val="24"/>
          <w:szCs w:val="24"/>
        </w:rPr>
        <w:t>Contar con programas permanentes de migración a sistemas tecnificados de riego.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La norma debe obligar al Estado para que propicie el uso eficiente del agua para uso agrícola, con metas medibles de ahorro de agua, bajo el principio de libre cultivo y sin imponer sistemas de riego obligatorios, sino generando condiciones para que los productores logren la migración voluntaria a las nuevas tecnologías, a la par, de sancionar fuertemente a la Comisión Nacional del Agua para el caso de que omita establecer las políticas públicas impuestas por la Ley para lograr esos objetivos, debido a que actualmente solo se sanciona a los usuarios, por lo que debemos tener una óptica de corresponsabilidad y beneficio mutuo.</w:t>
      </w: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el párrafo 5º del artículo 4º de la Constitución de los Estados Unidos Mexicanos se debe incluir una definición integral del acceso al agua sobre la base de la necesidad de proteger las cuencas hidrológicas dentro de un contexto de protección al medio ambiente sano.</w:t>
      </w:r>
    </w:p>
    <w:p w:rsidR="00DB2759" w:rsidRPr="00627B26" w:rsidRDefault="00DB2759" w:rsidP="00DB2759">
      <w:pPr>
        <w:pStyle w:val="Texto"/>
        <w:spacing w:after="0" w:line="360" w:lineRule="auto"/>
        <w:rPr>
          <w:bCs/>
          <w:color w:val="000000"/>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En el párrafo 6º del artículo 4º de la Constitución de los Estados Unidos Mexicanos se debe incluir el uso racional del agua para uso agrícola, como un derecho, esto es sobre la base del libre cultivo y la obligación del Estado de generar las condiciones para mejorar las técnicas de riego en beneficio de los productores, lo que a la postre permitirá la preservación de los acuíferos en beneficio del del derecho general de acceso al agua.</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sz w:val="24"/>
          <w:szCs w:val="24"/>
        </w:rPr>
        <w:t xml:space="preserve">Por otra parte, el origen histórico del artículo 27 de la Constitución de los Estados Unidos Mexicanos sobre el principio de justicia social y reparto de tierras, se debe atemperara para introducir su uso sustentable para armonizarle con el artículo 4º párrafos 5º y 6º: </w:t>
      </w:r>
    </w:p>
    <w:p w:rsidR="00DB2759" w:rsidRPr="00627B26" w:rsidRDefault="00DB2759" w:rsidP="00DB2759">
      <w:pPr>
        <w:pStyle w:val="paragraph"/>
        <w:shd w:val="clear" w:color="auto" w:fill="FFFFFF"/>
        <w:spacing w:after="240" w:line="360" w:lineRule="auto"/>
        <w:jc w:val="both"/>
        <w:rPr>
          <w:rFonts w:ascii="Arial" w:hAnsi="Arial" w:cs="Arial"/>
        </w:rPr>
      </w:pPr>
      <w:r w:rsidRPr="00627B26">
        <w:rPr>
          <w:rFonts w:ascii="Arial" w:hAnsi="Arial" w:cs="Arial"/>
        </w:rPr>
        <w:t xml:space="preserve">En base a estos antecedentes, someto a consideración de esta Representación Popular, el siguiente proyecto de decreto: </w:t>
      </w:r>
    </w:p>
    <w:p w:rsidR="00DB2759" w:rsidRPr="00627B26" w:rsidRDefault="00DB2759" w:rsidP="00DB2759">
      <w:pPr>
        <w:spacing w:line="360" w:lineRule="auto"/>
        <w:ind w:left="360"/>
        <w:jc w:val="center"/>
        <w:rPr>
          <w:rFonts w:ascii="Arial" w:hAnsi="Arial" w:cs="Arial"/>
          <w:b/>
          <w:sz w:val="24"/>
          <w:szCs w:val="24"/>
        </w:rPr>
      </w:pPr>
      <w:r w:rsidRPr="00627B26">
        <w:rPr>
          <w:rFonts w:ascii="Arial" w:hAnsi="Arial" w:cs="Arial"/>
          <w:sz w:val="24"/>
          <w:szCs w:val="24"/>
        </w:rPr>
        <w:t> </w:t>
      </w:r>
      <w:r w:rsidRPr="00627B26">
        <w:rPr>
          <w:rFonts w:ascii="Arial" w:hAnsi="Arial" w:cs="Arial"/>
          <w:b/>
          <w:sz w:val="24"/>
          <w:szCs w:val="24"/>
        </w:rPr>
        <w:t>DECRETO</w:t>
      </w:r>
    </w:p>
    <w:p w:rsidR="00DB2759" w:rsidRPr="00627B26" w:rsidRDefault="00DB2759" w:rsidP="00DB2759">
      <w:pPr>
        <w:spacing w:line="360" w:lineRule="auto"/>
        <w:jc w:val="both"/>
        <w:rPr>
          <w:rFonts w:ascii="Arial" w:hAnsi="Arial" w:cs="Arial"/>
          <w:sz w:val="24"/>
          <w:szCs w:val="24"/>
        </w:rPr>
      </w:pPr>
    </w:p>
    <w:p w:rsidR="00DB2759" w:rsidRPr="00627B26" w:rsidRDefault="00DB2759" w:rsidP="00DB2759">
      <w:pPr>
        <w:spacing w:line="360" w:lineRule="auto"/>
        <w:jc w:val="both"/>
        <w:rPr>
          <w:rFonts w:ascii="Arial" w:hAnsi="Arial" w:cs="Arial"/>
          <w:sz w:val="24"/>
          <w:szCs w:val="24"/>
        </w:rPr>
      </w:pPr>
      <w:r w:rsidRPr="00627B26">
        <w:rPr>
          <w:rFonts w:ascii="Arial" w:hAnsi="Arial" w:cs="Arial"/>
          <w:b/>
          <w:sz w:val="24"/>
          <w:szCs w:val="24"/>
        </w:rPr>
        <w:t xml:space="preserve">ARTÍCULO ÚNICO.- </w:t>
      </w:r>
      <w:r w:rsidRPr="00627B26">
        <w:rPr>
          <w:rFonts w:ascii="Arial" w:hAnsi="Arial" w:cs="Arial"/>
          <w:sz w:val="24"/>
          <w:szCs w:val="24"/>
        </w:rPr>
        <w:t xml:space="preserve">Se reforman </w:t>
      </w:r>
      <w:r w:rsidRPr="00627B26">
        <w:rPr>
          <w:rFonts w:ascii="Arial" w:eastAsia="Bookman Old Style" w:hAnsi="Arial" w:cs="Arial"/>
          <w:sz w:val="24"/>
          <w:szCs w:val="24"/>
        </w:rPr>
        <w:t xml:space="preserve">los artículos 4º párrafos 5º y 6º y artículo 27 fracción XX de la Constitución de los Estados Unidos, </w:t>
      </w:r>
      <w:r w:rsidRPr="00627B26">
        <w:rPr>
          <w:rFonts w:ascii="Arial" w:hAnsi="Arial" w:cs="Arial"/>
          <w:sz w:val="24"/>
          <w:szCs w:val="24"/>
        </w:rPr>
        <w:t>para quedar redactado de la siguiente manera:</w:t>
      </w:r>
    </w:p>
    <w:p w:rsidR="00DB2759" w:rsidRPr="00846387" w:rsidRDefault="00DB2759" w:rsidP="00DB2759">
      <w:pPr>
        <w:pStyle w:val="Texto"/>
        <w:spacing w:after="0" w:line="360" w:lineRule="auto"/>
        <w:ind w:firstLine="0"/>
        <w:rPr>
          <w:bCs/>
          <w:sz w:val="24"/>
          <w:szCs w:val="24"/>
        </w:rPr>
      </w:pPr>
      <w:bookmarkStart w:id="7" w:name="Artículo_4o"/>
      <w:r w:rsidRPr="00846387">
        <w:rPr>
          <w:bCs/>
          <w:sz w:val="24"/>
          <w:szCs w:val="24"/>
        </w:rPr>
        <w:t>Artículo 4o</w:t>
      </w:r>
      <w:bookmarkEnd w:id="7"/>
      <w:r w:rsidRPr="00846387">
        <w:rPr>
          <w:bCs/>
          <w:sz w:val="24"/>
          <w:szCs w:val="24"/>
        </w:rPr>
        <w:t>.- ...</w:t>
      </w:r>
    </w:p>
    <w:p w:rsidR="00DB2759" w:rsidRPr="00627B26" w:rsidRDefault="00DB2759" w:rsidP="00DB2759">
      <w:pPr>
        <w:spacing w:line="360" w:lineRule="auto"/>
        <w:ind w:firstLine="289"/>
        <w:jc w:val="both"/>
        <w:rPr>
          <w:rFonts w:ascii="Arial" w:hAnsi="Arial" w:cs="Arial"/>
          <w:sz w:val="24"/>
          <w:szCs w:val="24"/>
        </w:rPr>
      </w:pPr>
      <w:r w:rsidRPr="00627B26">
        <w:rPr>
          <w:rFonts w:ascii="Arial" w:hAnsi="Arial" w:cs="Arial"/>
          <w:sz w:val="24"/>
          <w:szCs w:val="24"/>
        </w:rPr>
        <w:t xml:space="preserve">... </w:t>
      </w:r>
    </w:p>
    <w:p w:rsidR="00DB2759" w:rsidRPr="00627B26" w:rsidRDefault="00DB2759" w:rsidP="00DB2759">
      <w:pPr>
        <w:pStyle w:val="Texto"/>
        <w:spacing w:after="0" w:line="360" w:lineRule="auto"/>
        <w:rPr>
          <w:color w:val="000000"/>
          <w:sz w:val="24"/>
          <w:szCs w:val="24"/>
        </w:rPr>
      </w:pPr>
      <w:r w:rsidRPr="00627B26">
        <w:rPr>
          <w:color w:val="000000"/>
          <w:sz w:val="24"/>
          <w:szCs w:val="24"/>
        </w:rPr>
        <w:t>...</w:t>
      </w:r>
    </w:p>
    <w:p w:rsidR="00DB2759" w:rsidRPr="00627B26" w:rsidRDefault="00DB2759" w:rsidP="00DB2759">
      <w:pPr>
        <w:pStyle w:val="Texto"/>
        <w:spacing w:after="0" w:line="360" w:lineRule="auto"/>
        <w:rPr>
          <w:rFonts w:eastAsia="Calibri"/>
          <w:sz w:val="24"/>
          <w:szCs w:val="24"/>
        </w:rPr>
      </w:pPr>
      <w:r w:rsidRPr="00627B26">
        <w:rPr>
          <w:rFonts w:eastAsia="Calibri"/>
          <w:sz w:val="24"/>
          <w:szCs w:val="24"/>
        </w:rPr>
        <w:t>...</w:t>
      </w:r>
    </w:p>
    <w:p w:rsidR="00DB2759" w:rsidRPr="00627B26" w:rsidRDefault="00DB2759" w:rsidP="00DB2759">
      <w:pPr>
        <w:spacing w:line="360" w:lineRule="auto"/>
        <w:ind w:firstLine="289"/>
        <w:jc w:val="both"/>
        <w:rPr>
          <w:rFonts w:ascii="Arial" w:eastAsia="Times New Roman" w:hAnsi="Arial" w:cs="Arial"/>
          <w:sz w:val="24"/>
          <w:szCs w:val="24"/>
        </w:rPr>
      </w:pPr>
    </w:p>
    <w:p w:rsidR="00DB2759" w:rsidRPr="00627B26" w:rsidRDefault="00DB2759" w:rsidP="00DB2759">
      <w:pPr>
        <w:pStyle w:val="Texto"/>
        <w:spacing w:after="0" w:line="360" w:lineRule="auto"/>
        <w:ind w:firstLine="0"/>
        <w:rPr>
          <w:bCs/>
          <w:color w:val="000000"/>
          <w:sz w:val="24"/>
          <w:szCs w:val="24"/>
        </w:rPr>
      </w:pPr>
      <w:r w:rsidRPr="00627B26">
        <w:rPr>
          <w:bCs/>
          <w:color w:val="000000"/>
          <w:sz w:val="24"/>
          <w:szCs w:val="24"/>
        </w:rPr>
        <w:t xml:space="preserve">Toda persona tiene derecho a un medio ambiente sano para su desarrollo y bienestar. </w:t>
      </w:r>
      <w:r w:rsidRPr="00627B26">
        <w:rPr>
          <w:b/>
          <w:i/>
          <w:iCs/>
          <w:color w:val="000000"/>
          <w:sz w:val="24"/>
          <w:szCs w:val="24"/>
        </w:rPr>
        <w:t>El Estado garantizará el respeto a este derecho. Es prioridad la protección de las cuencas hidrológicas sobre la base de la coexistencia de los recursos naturales de agua, suelo, flora y fauna en un entorno de medio ambiente sostenible y protección de los acuíferos, aguas superficiales y demás recursos hídricos.</w:t>
      </w:r>
      <w:r w:rsidRPr="00627B26">
        <w:rPr>
          <w:bCs/>
          <w:color w:val="000000"/>
          <w:sz w:val="24"/>
          <w:szCs w:val="24"/>
        </w:rPr>
        <w:t xml:space="preserve"> El daño y deterioro ambiental generará responsabilidad para quien lo provoque en términos de lo dispuesto por la ley. </w:t>
      </w:r>
    </w:p>
    <w:p w:rsidR="00DB2759" w:rsidRPr="00627B26" w:rsidRDefault="00DB2759" w:rsidP="00DB2759">
      <w:pPr>
        <w:pStyle w:val="Texto"/>
        <w:spacing w:after="0" w:line="360" w:lineRule="auto"/>
        <w:rPr>
          <w:bCs/>
          <w:color w:val="000000"/>
          <w:sz w:val="24"/>
          <w:szCs w:val="24"/>
        </w:rPr>
      </w:pPr>
    </w:p>
    <w:p w:rsidR="00DB2759" w:rsidRPr="00627B26" w:rsidRDefault="00DB2759" w:rsidP="00DB2759">
      <w:pPr>
        <w:pStyle w:val="Texto"/>
        <w:spacing w:after="0" w:line="360" w:lineRule="auto"/>
        <w:rPr>
          <w:bCs/>
          <w:color w:val="000000"/>
          <w:sz w:val="24"/>
          <w:szCs w:val="24"/>
        </w:rPr>
      </w:pPr>
    </w:p>
    <w:p w:rsidR="00DB2759" w:rsidRPr="00627B26" w:rsidRDefault="00DB2759" w:rsidP="00DB2759">
      <w:pPr>
        <w:pStyle w:val="Texto"/>
        <w:spacing w:after="0" w:line="360" w:lineRule="auto"/>
        <w:ind w:firstLine="0"/>
        <w:rPr>
          <w:b/>
          <w:i/>
          <w:iCs/>
          <w:color w:val="000000"/>
          <w:sz w:val="24"/>
          <w:szCs w:val="24"/>
        </w:rPr>
      </w:pPr>
      <w:r w:rsidRPr="00627B26">
        <w:rPr>
          <w:bCs/>
          <w:color w:val="000000"/>
          <w:sz w:val="24"/>
          <w:szCs w:val="24"/>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Pr="00627B26">
        <w:rPr>
          <w:b/>
          <w:i/>
          <w:iCs/>
          <w:color w:val="000000"/>
          <w:sz w:val="24"/>
          <w:szCs w:val="24"/>
        </w:rPr>
        <w:t>El Estado propiciará el uso eficiente del agua para uso agrícola, bajo el principio de la reducción de volúmenes de uso, logrando su ahorro y reserva, respetando el libre cultivo y participación social, generando condiciones programáticas para que los productores migren a nuevas tecnologías de riego. La Ley sancionará la omisión de establecer las políticas públicas para lograr esos objetivos.</w:t>
      </w:r>
    </w:p>
    <w:p w:rsidR="00DB2759" w:rsidRPr="00627B26" w:rsidRDefault="00DB2759" w:rsidP="00DB2759">
      <w:pPr>
        <w:spacing w:line="360" w:lineRule="auto"/>
        <w:ind w:firstLine="289"/>
        <w:jc w:val="both"/>
        <w:rPr>
          <w:rFonts w:ascii="Arial" w:eastAsia="Times New Roman" w:hAnsi="Arial" w:cs="Arial"/>
          <w:sz w:val="24"/>
          <w:szCs w:val="24"/>
        </w:rPr>
      </w:pPr>
      <w:r w:rsidRPr="00627B26">
        <w:rPr>
          <w:rFonts w:ascii="Arial" w:eastAsia="Times New Roman" w:hAnsi="Arial" w:cs="Arial"/>
          <w:sz w:val="24"/>
          <w:szCs w:val="24"/>
        </w:rPr>
        <w:t>...</w:t>
      </w:r>
    </w:p>
    <w:p w:rsidR="00DB2759" w:rsidRPr="00627B26" w:rsidRDefault="00DB2759" w:rsidP="00DB2759">
      <w:pPr>
        <w:spacing w:line="360" w:lineRule="auto"/>
        <w:ind w:firstLine="289"/>
        <w:jc w:val="both"/>
        <w:rPr>
          <w:rFonts w:ascii="Arial" w:eastAsia="Times New Roman" w:hAnsi="Arial" w:cs="Arial"/>
          <w:sz w:val="24"/>
          <w:szCs w:val="24"/>
        </w:rPr>
      </w:pPr>
      <w:r w:rsidRPr="00627B26">
        <w:rPr>
          <w:rFonts w:ascii="Arial" w:eastAsia="Times New Roman" w:hAnsi="Arial" w:cs="Arial"/>
          <w:sz w:val="24"/>
          <w:szCs w:val="24"/>
        </w:rPr>
        <w:t>...</w:t>
      </w:r>
    </w:p>
    <w:p w:rsidR="00DB2759" w:rsidRPr="00627B26" w:rsidRDefault="00DB2759" w:rsidP="00DB2759">
      <w:pPr>
        <w:spacing w:line="360" w:lineRule="auto"/>
        <w:ind w:firstLine="289"/>
        <w:jc w:val="both"/>
        <w:rPr>
          <w:rFonts w:ascii="Arial" w:hAnsi="Arial" w:cs="Arial"/>
          <w:bCs/>
          <w:color w:val="000000"/>
          <w:sz w:val="24"/>
          <w:szCs w:val="24"/>
        </w:rPr>
      </w:pPr>
      <w:r w:rsidRPr="00627B26">
        <w:rPr>
          <w:rFonts w:ascii="Arial" w:hAnsi="Arial" w:cs="Arial"/>
          <w:bCs/>
          <w:color w:val="000000"/>
          <w:sz w:val="24"/>
          <w:szCs w:val="24"/>
        </w:rPr>
        <w:t>...</w:t>
      </w:r>
    </w:p>
    <w:p w:rsidR="00DB2759" w:rsidRPr="00627B26" w:rsidRDefault="00DB2759" w:rsidP="00DB2759">
      <w:pPr>
        <w:pStyle w:val="Texto"/>
        <w:spacing w:after="0" w:line="360" w:lineRule="auto"/>
        <w:rPr>
          <w:bCs/>
          <w:color w:val="000000"/>
          <w:sz w:val="24"/>
          <w:szCs w:val="24"/>
        </w:rPr>
      </w:pPr>
      <w:r w:rsidRPr="00627B26">
        <w:rPr>
          <w:bCs/>
          <w:color w:val="000000"/>
          <w:sz w:val="24"/>
          <w:szCs w:val="24"/>
        </w:rPr>
        <w:t>...</w:t>
      </w:r>
    </w:p>
    <w:p w:rsidR="00DB2759" w:rsidRPr="00627B26" w:rsidRDefault="00DB2759" w:rsidP="00DB2759">
      <w:pPr>
        <w:spacing w:line="360" w:lineRule="auto"/>
        <w:ind w:firstLine="289"/>
        <w:jc w:val="both"/>
        <w:rPr>
          <w:rFonts w:ascii="Arial" w:hAnsi="Arial" w:cs="Arial"/>
          <w:sz w:val="24"/>
          <w:szCs w:val="24"/>
        </w:rPr>
      </w:pPr>
      <w:r w:rsidRPr="00627B26">
        <w:rPr>
          <w:rFonts w:ascii="Arial" w:hAnsi="Arial" w:cs="Arial"/>
          <w:sz w:val="24"/>
          <w:szCs w:val="24"/>
        </w:rPr>
        <w:t>...</w:t>
      </w:r>
    </w:p>
    <w:p w:rsidR="00DB2759" w:rsidRPr="00627B26" w:rsidRDefault="00DB2759" w:rsidP="00DB2759">
      <w:pPr>
        <w:pStyle w:val="Texto"/>
        <w:spacing w:after="0" w:line="360" w:lineRule="auto"/>
        <w:rPr>
          <w:color w:val="000000"/>
          <w:sz w:val="24"/>
          <w:szCs w:val="24"/>
        </w:rPr>
      </w:pPr>
      <w:r w:rsidRPr="00627B26">
        <w:rPr>
          <w:color w:val="000000"/>
          <w:sz w:val="24"/>
          <w:szCs w:val="24"/>
        </w:rPr>
        <w:t>...</w:t>
      </w:r>
    </w:p>
    <w:p w:rsidR="00DB2759" w:rsidRPr="00627B26" w:rsidRDefault="00DB2759" w:rsidP="00DB2759">
      <w:pPr>
        <w:pStyle w:val="Texto"/>
        <w:spacing w:after="0" w:line="360" w:lineRule="auto"/>
        <w:rPr>
          <w:bCs/>
          <w:color w:val="000000"/>
          <w:sz w:val="24"/>
          <w:szCs w:val="24"/>
        </w:rPr>
      </w:pPr>
      <w:r w:rsidRPr="00627B26">
        <w:rPr>
          <w:bCs/>
          <w:color w:val="000000"/>
          <w:sz w:val="24"/>
          <w:szCs w:val="24"/>
        </w:rPr>
        <w:t>...</w:t>
      </w:r>
    </w:p>
    <w:p w:rsidR="00DB2759" w:rsidRPr="00627B26" w:rsidRDefault="00DB2759" w:rsidP="00DB2759">
      <w:pPr>
        <w:pStyle w:val="Texto"/>
        <w:spacing w:after="0" w:line="360" w:lineRule="auto"/>
        <w:rPr>
          <w:rFonts w:eastAsia="Calibri"/>
          <w:sz w:val="24"/>
          <w:szCs w:val="24"/>
        </w:rPr>
      </w:pPr>
      <w:r w:rsidRPr="00627B26">
        <w:rPr>
          <w:rFonts w:eastAsia="Calibri"/>
          <w:sz w:val="24"/>
          <w:szCs w:val="24"/>
        </w:rPr>
        <w:t>...</w:t>
      </w:r>
    </w:p>
    <w:p w:rsidR="00DB2759" w:rsidRPr="00627B26" w:rsidRDefault="00DB2759" w:rsidP="00DB2759">
      <w:pPr>
        <w:pStyle w:val="Texto"/>
        <w:spacing w:after="0" w:line="360" w:lineRule="auto"/>
        <w:rPr>
          <w:rFonts w:eastAsia="Calibri"/>
          <w:sz w:val="24"/>
          <w:szCs w:val="24"/>
        </w:rPr>
      </w:pPr>
      <w:r w:rsidRPr="00627B26">
        <w:rPr>
          <w:rFonts w:eastAsia="Calibri"/>
          <w:sz w:val="24"/>
          <w:szCs w:val="24"/>
        </w:rPr>
        <w:t>...</w:t>
      </w:r>
    </w:p>
    <w:p w:rsidR="00DB2759" w:rsidRPr="00627B26" w:rsidRDefault="00DB2759" w:rsidP="00DB2759">
      <w:pPr>
        <w:pStyle w:val="Texto"/>
        <w:spacing w:after="0" w:line="360" w:lineRule="auto"/>
        <w:rPr>
          <w:rFonts w:eastAsia="Calibri"/>
          <w:sz w:val="24"/>
          <w:szCs w:val="24"/>
        </w:rPr>
      </w:pPr>
      <w:r w:rsidRPr="00627B26">
        <w:rPr>
          <w:rFonts w:eastAsia="Calibri"/>
          <w:sz w:val="24"/>
          <w:szCs w:val="24"/>
        </w:rPr>
        <w:t>...</w:t>
      </w:r>
    </w:p>
    <w:p w:rsidR="00DB2759" w:rsidRPr="00627B26" w:rsidRDefault="00DB2759" w:rsidP="00DB2759">
      <w:pPr>
        <w:pStyle w:val="Texto"/>
        <w:spacing w:after="0" w:line="360" w:lineRule="auto"/>
        <w:rPr>
          <w:sz w:val="24"/>
          <w:szCs w:val="24"/>
          <w:lang w:val="es-ES_tradnl"/>
        </w:rPr>
      </w:pPr>
      <w:r w:rsidRPr="00627B26">
        <w:rPr>
          <w:sz w:val="24"/>
          <w:szCs w:val="24"/>
          <w:lang w:val="es-ES_tradnl"/>
        </w:rPr>
        <w:t>...</w:t>
      </w:r>
    </w:p>
    <w:p w:rsidR="00DB2759" w:rsidRPr="00627B26" w:rsidRDefault="00DB2759" w:rsidP="00DB2759">
      <w:pPr>
        <w:pStyle w:val="Texto"/>
        <w:spacing w:after="0" w:line="360" w:lineRule="auto"/>
        <w:rPr>
          <w:color w:val="000000"/>
          <w:sz w:val="24"/>
          <w:szCs w:val="24"/>
          <w:lang w:val="es-ES_tradnl"/>
        </w:rPr>
      </w:pPr>
      <w:r w:rsidRPr="00627B26">
        <w:rPr>
          <w:color w:val="000000"/>
          <w:sz w:val="24"/>
          <w:szCs w:val="24"/>
          <w:lang w:val="es-ES_tradnl"/>
        </w:rPr>
        <w:t>...</w:t>
      </w:r>
    </w:p>
    <w:p w:rsidR="00DB2759" w:rsidRPr="00627B26" w:rsidRDefault="00DB2759" w:rsidP="00DB2759">
      <w:pPr>
        <w:spacing w:line="360" w:lineRule="auto"/>
        <w:ind w:firstLine="289"/>
        <w:jc w:val="both"/>
        <w:rPr>
          <w:rFonts w:ascii="Arial" w:hAnsi="Arial" w:cs="Arial"/>
          <w:sz w:val="24"/>
          <w:szCs w:val="24"/>
        </w:rPr>
      </w:pPr>
    </w:p>
    <w:p w:rsidR="00DB2759" w:rsidRDefault="00DB2759" w:rsidP="00DB2759">
      <w:pPr>
        <w:ind w:firstLine="289"/>
        <w:jc w:val="both"/>
        <w:rPr>
          <w:rFonts w:ascii="Arial" w:hAnsi="Arial" w:cs="Arial"/>
          <w:b/>
          <w:sz w:val="24"/>
          <w:szCs w:val="24"/>
        </w:rPr>
      </w:pPr>
    </w:p>
    <w:p w:rsidR="00DB2759" w:rsidRPr="00627B26" w:rsidRDefault="00DB2759" w:rsidP="00DB2759">
      <w:pPr>
        <w:ind w:firstLine="289"/>
        <w:jc w:val="both"/>
        <w:rPr>
          <w:rFonts w:ascii="Arial" w:hAnsi="Arial" w:cs="Arial"/>
          <w:sz w:val="24"/>
          <w:szCs w:val="24"/>
        </w:rPr>
      </w:pPr>
      <w:r w:rsidRPr="00627B26">
        <w:rPr>
          <w:rFonts w:ascii="Arial" w:hAnsi="Arial" w:cs="Arial"/>
          <w:b/>
          <w:sz w:val="24"/>
          <w:szCs w:val="24"/>
        </w:rPr>
        <w:t>Artículo 27.</w:t>
      </w:r>
      <w:r w:rsidRPr="00627B26">
        <w:rPr>
          <w:rFonts w:ascii="Arial" w:hAnsi="Arial" w:cs="Arial"/>
          <w:sz w:val="24"/>
          <w:szCs w:val="24"/>
        </w:rPr>
        <w:t xml:space="preserve"> ...</w:t>
      </w:r>
    </w:p>
    <w:p w:rsidR="00DB2759" w:rsidRPr="00627B26" w:rsidRDefault="00DB2759" w:rsidP="00DB2759">
      <w:pPr>
        <w:ind w:firstLine="289"/>
        <w:jc w:val="both"/>
        <w:rPr>
          <w:rFonts w:ascii="Arial" w:hAnsi="Arial" w:cs="Arial"/>
          <w:sz w:val="24"/>
          <w:szCs w:val="24"/>
        </w:rPr>
      </w:pPr>
      <w:r w:rsidRPr="00627B26">
        <w:rPr>
          <w:rFonts w:ascii="Arial" w:hAnsi="Arial" w:cs="Arial"/>
          <w:sz w:val="24"/>
          <w:szCs w:val="24"/>
        </w:rPr>
        <w:t>...</w:t>
      </w:r>
    </w:p>
    <w:p w:rsidR="00DB2759" w:rsidRPr="00627B26" w:rsidRDefault="00DB2759" w:rsidP="00DB2759">
      <w:pPr>
        <w:ind w:firstLine="289"/>
        <w:jc w:val="both"/>
        <w:rPr>
          <w:rFonts w:ascii="Arial" w:hAnsi="Arial" w:cs="Arial"/>
          <w:sz w:val="24"/>
          <w:szCs w:val="24"/>
        </w:rPr>
      </w:pPr>
      <w:r w:rsidRPr="00627B26">
        <w:rPr>
          <w:rFonts w:ascii="Arial" w:hAnsi="Arial" w:cs="Arial"/>
          <w:sz w:val="24"/>
          <w:szCs w:val="24"/>
        </w:rPr>
        <w:t>...</w:t>
      </w:r>
    </w:p>
    <w:p w:rsidR="00DB2759" w:rsidRPr="00627B26" w:rsidRDefault="00DB2759" w:rsidP="00DB2759">
      <w:pPr>
        <w:ind w:firstLine="289"/>
        <w:jc w:val="both"/>
        <w:rPr>
          <w:rFonts w:ascii="Arial" w:eastAsia="MS Mincho" w:hAnsi="Arial" w:cs="Arial"/>
          <w:i/>
          <w:iCs/>
          <w:color w:val="0000FF"/>
          <w:sz w:val="24"/>
          <w:szCs w:val="24"/>
        </w:rPr>
      </w:pPr>
      <w:r w:rsidRPr="00627B26">
        <w:rPr>
          <w:rFonts w:ascii="Arial" w:eastAsia="Times New Roman" w:hAnsi="Arial" w:cs="Arial"/>
          <w:sz w:val="24"/>
          <w:szCs w:val="24"/>
        </w:rPr>
        <w:t>...</w:t>
      </w:r>
    </w:p>
    <w:p w:rsidR="00DB2759" w:rsidRPr="00627B26" w:rsidRDefault="00DB2759" w:rsidP="00DB2759">
      <w:pPr>
        <w:pStyle w:val="Texto"/>
        <w:spacing w:after="0" w:line="240" w:lineRule="auto"/>
        <w:rPr>
          <w:sz w:val="24"/>
          <w:szCs w:val="24"/>
        </w:rPr>
      </w:pPr>
      <w:r w:rsidRPr="00627B26">
        <w:rPr>
          <w:sz w:val="24"/>
          <w:szCs w:val="24"/>
        </w:rPr>
        <w:t>...</w:t>
      </w:r>
    </w:p>
    <w:p w:rsidR="00DB2759" w:rsidRPr="00627B26" w:rsidRDefault="00DB2759" w:rsidP="00DB2759">
      <w:pPr>
        <w:pStyle w:val="Texto"/>
        <w:spacing w:after="0" w:line="240" w:lineRule="auto"/>
        <w:rPr>
          <w:sz w:val="24"/>
          <w:szCs w:val="24"/>
        </w:rPr>
      </w:pPr>
      <w:r w:rsidRPr="00627B26">
        <w:rPr>
          <w:sz w:val="24"/>
          <w:szCs w:val="24"/>
        </w:rPr>
        <w:t>...</w:t>
      </w:r>
    </w:p>
    <w:p w:rsidR="00DB2759" w:rsidRPr="00627B26" w:rsidRDefault="00DB2759" w:rsidP="00DB2759">
      <w:pPr>
        <w:pStyle w:val="Texto"/>
        <w:spacing w:after="0" w:line="240" w:lineRule="auto"/>
        <w:rPr>
          <w:sz w:val="24"/>
          <w:szCs w:val="24"/>
        </w:rPr>
      </w:pPr>
      <w:r w:rsidRPr="00627B26">
        <w:rPr>
          <w:sz w:val="24"/>
          <w:szCs w:val="24"/>
        </w:rPr>
        <w:t>...</w:t>
      </w:r>
    </w:p>
    <w:p w:rsidR="00DB2759" w:rsidRPr="00627B26" w:rsidRDefault="00DB2759" w:rsidP="00DB2759">
      <w:pPr>
        <w:ind w:firstLine="289"/>
        <w:jc w:val="both"/>
        <w:rPr>
          <w:rFonts w:ascii="Arial" w:hAnsi="Arial" w:cs="Arial"/>
          <w:sz w:val="24"/>
          <w:szCs w:val="24"/>
        </w:rPr>
      </w:pPr>
      <w:r w:rsidRPr="00627B26">
        <w:rPr>
          <w:rFonts w:ascii="Arial" w:hAnsi="Arial" w:cs="Arial"/>
          <w:sz w:val="24"/>
          <w:szCs w:val="24"/>
        </w:rPr>
        <w:t>...</w:t>
      </w:r>
    </w:p>
    <w:p w:rsidR="00DB2759" w:rsidRPr="00627B26" w:rsidRDefault="00DB2759" w:rsidP="00DB2759">
      <w:pPr>
        <w:ind w:firstLine="289"/>
        <w:jc w:val="both"/>
        <w:rPr>
          <w:rFonts w:ascii="Arial" w:hAnsi="Arial" w:cs="Arial"/>
          <w:sz w:val="24"/>
          <w:szCs w:val="24"/>
        </w:rPr>
      </w:pPr>
      <w:r w:rsidRPr="00627B26">
        <w:rPr>
          <w:rFonts w:ascii="Arial" w:hAnsi="Arial" w:cs="Arial"/>
          <w:sz w:val="24"/>
          <w:szCs w:val="24"/>
        </w:rPr>
        <w:t>...</w:t>
      </w:r>
    </w:p>
    <w:p w:rsidR="00DB2759" w:rsidRPr="00627B26" w:rsidRDefault="00DB2759" w:rsidP="00DB2759">
      <w:pPr>
        <w:ind w:firstLine="289"/>
        <w:jc w:val="both"/>
        <w:rPr>
          <w:rFonts w:ascii="Arial" w:eastAsia="Times New Roman" w:hAnsi="Arial" w:cs="Arial"/>
          <w:sz w:val="24"/>
          <w:szCs w:val="24"/>
        </w:rPr>
      </w:pPr>
    </w:p>
    <w:p w:rsidR="00DB2759" w:rsidRPr="00627B26" w:rsidRDefault="00DB2759" w:rsidP="00DB2759">
      <w:pPr>
        <w:ind w:firstLine="289"/>
        <w:jc w:val="both"/>
        <w:rPr>
          <w:rFonts w:ascii="Arial" w:hAnsi="Arial" w:cs="Arial"/>
          <w:sz w:val="24"/>
          <w:szCs w:val="24"/>
        </w:rPr>
      </w:pPr>
      <w:r w:rsidRPr="00627B26">
        <w:rPr>
          <w:rFonts w:ascii="Arial" w:hAnsi="Arial" w:cs="Arial"/>
          <w:sz w:val="24"/>
          <w:szCs w:val="24"/>
        </w:rPr>
        <w:t>La capacidad para adquirir el dominio de las tierras y aguas de la Nación, se regirá por las siguientes prescripciones:</w:t>
      </w:r>
    </w:p>
    <w:p w:rsidR="00DB2759" w:rsidRPr="00846387" w:rsidRDefault="00DB2759" w:rsidP="00DB2759">
      <w:pPr>
        <w:ind w:left="856" w:hanging="567"/>
        <w:jc w:val="both"/>
        <w:rPr>
          <w:rFonts w:ascii="Arial" w:hAnsi="Arial" w:cs="Arial"/>
          <w:sz w:val="24"/>
          <w:szCs w:val="24"/>
        </w:rPr>
      </w:pPr>
      <w:r w:rsidRPr="00846387">
        <w:rPr>
          <w:rFonts w:ascii="Arial" w:hAnsi="Arial" w:cs="Arial"/>
          <w:sz w:val="24"/>
          <w:szCs w:val="24"/>
        </w:rPr>
        <w:t>I.   a la XIX...</w:t>
      </w:r>
    </w:p>
    <w:p w:rsidR="00DB2759" w:rsidRPr="00627B26" w:rsidRDefault="00DB2759" w:rsidP="00DB2759">
      <w:pPr>
        <w:ind w:left="856" w:hanging="567"/>
        <w:jc w:val="both"/>
        <w:rPr>
          <w:rFonts w:ascii="Arial" w:eastAsia="Times New Roman" w:hAnsi="Arial" w:cs="Arial"/>
          <w:sz w:val="24"/>
          <w:szCs w:val="24"/>
        </w:rPr>
      </w:pPr>
    </w:p>
    <w:p w:rsidR="00DB2759" w:rsidRPr="00627B26" w:rsidRDefault="00DB2759" w:rsidP="00DB2759">
      <w:pPr>
        <w:spacing w:line="360" w:lineRule="auto"/>
        <w:ind w:left="856" w:hanging="567"/>
        <w:jc w:val="both"/>
        <w:rPr>
          <w:rFonts w:ascii="Arial" w:hAnsi="Arial" w:cs="Arial"/>
          <w:i/>
          <w:iCs/>
          <w:sz w:val="24"/>
          <w:szCs w:val="24"/>
        </w:rPr>
      </w:pPr>
      <w:r w:rsidRPr="00627B26">
        <w:rPr>
          <w:rFonts w:ascii="Arial" w:hAnsi="Arial" w:cs="Arial"/>
          <w:b/>
          <w:bCs/>
          <w:sz w:val="24"/>
          <w:szCs w:val="24"/>
        </w:rPr>
        <w:t xml:space="preserve">XX. </w:t>
      </w:r>
      <w:r w:rsidRPr="00627B26">
        <w:rPr>
          <w:rFonts w:ascii="Arial" w:hAnsi="Arial" w:cs="Arial"/>
          <w:b/>
          <w:bCs/>
          <w:sz w:val="24"/>
          <w:szCs w:val="24"/>
        </w:rPr>
        <w:tab/>
      </w:r>
      <w:r w:rsidRPr="00627B26">
        <w:rPr>
          <w:rFonts w:ascii="Arial" w:hAnsi="Arial" w:cs="Arial"/>
          <w:i/>
          <w:iCs/>
          <w:sz w:val="24"/>
          <w:szCs w:val="24"/>
        </w:rP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uso </w:t>
      </w:r>
      <w:r w:rsidRPr="00627B26">
        <w:rPr>
          <w:rFonts w:ascii="Arial" w:hAnsi="Arial" w:cs="Arial"/>
          <w:b/>
          <w:bCs/>
          <w:i/>
          <w:iCs/>
          <w:sz w:val="24"/>
          <w:szCs w:val="24"/>
        </w:rPr>
        <w:t xml:space="preserve">sustentable </w:t>
      </w:r>
      <w:r w:rsidRPr="00627B26">
        <w:rPr>
          <w:rFonts w:ascii="Arial" w:hAnsi="Arial" w:cs="Arial"/>
          <w:i/>
          <w:iCs/>
          <w:sz w:val="24"/>
          <w:szCs w:val="24"/>
        </w:rPr>
        <w:t xml:space="preserve">de la tierra </w:t>
      </w:r>
      <w:r w:rsidRPr="00627B26">
        <w:rPr>
          <w:rFonts w:ascii="Arial" w:hAnsi="Arial" w:cs="Arial"/>
          <w:b/>
          <w:bCs/>
          <w:i/>
          <w:iCs/>
          <w:sz w:val="24"/>
          <w:szCs w:val="24"/>
        </w:rPr>
        <w:t>y del agua</w:t>
      </w:r>
      <w:r w:rsidRPr="00627B26">
        <w:rPr>
          <w:rFonts w:ascii="Arial" w:hAnsi="Arial" w:cs="Arial"/>
          <w:i/>
          <w:iCs/>
          <w:sz w:val="24"/>
          <w:szCs w:val="24"/>
        </w:rPr>
        <w:t>,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DB2759" w:rsidRPr="00627B26" w:rsidRDefault="00DB2759" w:rsidP="00DB2759">
      <w:pPr>
        <w:spacing w:line="360" w:lineRule="auto"/>
        <w:ind w:left="856" w:hanging="567"/>
        <w:jc w:val="both"/>
        <w:rPr>
          <w:rFonts w:ascii="Arial" w:hAnsi="Arial" w:cs="Arial"/>
          <w:i/>
          <w:iCs/>
          <w:sz w:val="24"/>
          <w:szCs w:val="24"/>
        </w:rPr>
      </w:pPr>
    </w:p>
    <w:p w:rsidR="00DB2759" w:rsidRPr="00627B26" w:rsidRDefault="00DB2759" w:rsidP="00DB2759">
      <w:pPr>
        <w:pStyle w:val="Texto"/>
        <w:spacing w:after="0" w:line="360" w:lineRule="auto"/>
        <w:ind w:left="856" w:firstLine="0"/>
        <w:rPr>
          <w:i/>
          <w:iCs/>
          <w:color w:val="000000"/>
          <w:sz w:val="24"/>
          <w:szCs w:val="24"/>
        </w:rPr>
      </w:pPr>
      <w:r w:rsidRPr="00627B26">
        <w:rPr>
          <w:i/>
          <w:iCs/>
          <w:color w:val="000000"/>
          <w:sz w:val="24"/>
          <w:szCs w:val="24"/>
        </w:rPr>
        <w:t>El desarrollo rural integral y sustentable a que se refiere el párrafo anterior, también tendrá entre sus fines que el Estado garantice el abasto suficiente y oportuno de los alimentos básicos que la ley establezca.</w:t>
      </w:r>
    </w:p>
    <w:p w:rsidR="00DB2759" w:rsidRPr="00627B26" w:rsidRDefault="00DB2759" w:rsidP="00DB2759">
      <w:pPr>
        <w:ind w:left="856" w:hanging="567"/>
        <w:jc w:val="both"/>
        <w:rPr>
          <w:rFonts w:ascii="Arial" w:hAnsi="Arial" w:cs="Arial"/>
          <w:sz w:val="24"/>
          <w:szCs w:val="24"/>
          <w:lang w:val="es-ES"/>
        </w:rPr>
      </w:pPr>
    </w:p>
    <w:p w:rsidR="00DB2759" w:rsidRPr="00627B26" w:rsidRDefault="00DB2759" w:rsidP="00DB2759">
      <w:pPr>
        <w:spacing w:line="360" w:lineRule="auto"/>
        <w:ind w:firstLine="289"/>
        <w:jc w:val="both"/>
        <w:rPr>
          <w:rFonts w:ascii="Arial" w:hAnsi="Arial" w:cs="Arial"/>
          <w:sz w:val="24"/>
          <w:szCs w:val="24"/>
        </w:rPr>
      </w:pPr>
    </w:p>
    <w:p w:rsidR="00717A94" w:rsidRPr="00084DE6" w:rsidRDefault="00717A94" w:rsidP="00DB2759">
      <w:pPr>
        <w:spacing w:line="360" w:lineRule="auto"/>
        <w:jc w:val="center"/>
        <w:rPr>
          <w:rFonts w:ascii="Arial" w:eastAsia="MS Mincho" w:hAnsi="Arial" w:cs="Arial"/>
          <w:b/>
          <w:sz w:val="24"/>
          <w:szCs w:val="24"/>
        </w:rPr>
      </w:pPr>
      <w:r w:rsidRPr="00084DE6">
        <w:rPr>
          <w:rFonts w:ascii="Arial" w:eastAsia="MS Mincho" w:hAnsi="Arial" w:cs="Arial"/>
          <w:b/>
          <w:sz w:val="24"/>
          <w:szCs w:val="24"/>
        </w:rPr>
        <w:t>TRANSITORIOS</w:t>
      </w:r>
    </w:p>
    <w:p w:rsidR="00717A94" w:rsidRPr="00084DE6" w:rsidRDefault="00717A94" w:rsidP="00717A94">
      <w:pPr>
        <w:pStyle w:val="Textosinformato"/>
        <w:tabs>
          <w:tab w:val="right" w:leader="dot" w:pos="8828"/>
        </w:tabs>
        <w:spacing w:line="360" w:lineRule="auto"/>
        <w:ind w:firstLine="289"/>
        <w:jc w:val="both"/>
        <w:rPr>
          <w:rFonts w:ascii="Arial" w:eastAsia="MS Mincho" w:hAnsi="Arial" w:cs="Arial"/>
          <w:b/>
          <w:sz w:val="24"/>
          <w:szCs w:val="24"/>
          <w:lang w:val="es-MX"/>
        </w:rPr>
      </w:pPr>
    </w:p>
    <w:p w:rsidR="00981CA4" w:rsidRPr="00084DE6" w:rsidRDefault="00342194" w:rsidP="00555156">
      <w:pPr>
        <w:pStyle w:val="Textosinformato"/>
        <w:tabs>
          <w:tab w:val="right" w:leader="dot" w:pos="8828"/>
        </w:tabs>
        <w:spacing w:line="360" w:lineRule="auto"/>
        <w:jc w:val="both"/>
        <w:rPr>
          <w:rFonts w:ascii="Arial" w:hAnsi="Arial" w:cs="Arial"/>
          <w:bCs/>
          <w:sz w:val="24"/>
          <w:szCs w:val="24"/>
          <w:lang w:val="es-MX"/>
        </w:rPr>
      </w:pPr>
      <w:r w:rsidRPr="00084DE6">
        <w:rPr>
          <w:rFonts w:ascii="Arial" w:eastAsia="MS Mincho" w:hAnsi="Arial" w:cs="Arial"/>
          <w:b/>
          <w:sz w:val="24"/>
          <w:szCs w:val="24"/>
          <w:lang w:val="es-MX"/>
        </w:rPr>
        <w:t>ARTICULO</w:t>
      </w:r>
      <w:r w:rsidR="00717A94" w:rsidRPr="00084DE6">
        <w:rPr>
          <w:rFonts w:ascii="Arial" w:eastAsia="MS Mincho" w:hAnsi="Arial" w:cs="Arial"/>
          <w:b/>
          <w:sz w:val="24"/>
          <w:szCs w:val="24"/>
          <w:lang w:val="es-MX"/>
        </w:rPr>
        <w:t xml:space="preserve"> PRIMERO.-</w:t>
      </w:r>
      <w:r w:rsidR="00717A94" w:rsidRPr="00084DE6">
        <w:rPr>
          <w:rFonts w:ascii="Arial" w:eastAsia="MS Mincho" w:hAnsi="Arial" w:cs="Arial"/>
          <w:sz w:val="24"/>
          <w:szCs w:val="24"/>
          <w:lang w:val="es-MX"/>
        </w:rPr>
        <w:t xml:space="preserve"> </w:t>
      </w:r>
      <w:r w:rsidR="00555156" w:rsidRPr="00084DE6">
        <w:rPr>
          <w:rFonts w:ascii="Arial" w:hAnsi="Arial" w:cs="Arial"/>
          <w:bCs/>
          <w:sz w:val="24"/>
          <w:szCs w:val="24"/>
          <w:lang w:val="es-MX"/>
        </w:rPr>
        <w:t>El presente decreto entrará en vigor el día siguiente de su publicación en el Diario Oficial de la Federación.</w:t>
      </w:r>
    </w:p>
    <w:p w:rsidR="00555156" w:rsidRPr="00084DE6" w:rsidRDefault="00555156" w:rsidP="00555156">
      <w:pPr>
        <w:pStyle w:val="Textosinformato"/>
        <w:tabs>
          <w:tab w:val="right" w:leader="dot" w:pos="8828"/>
        </w:tabs>
        <w:spacing w:line="360" w:lineRule="auto"/>
        <w:jc w:val="both"/>
        <w:rPr>
          <w:rFonts w:ascii="Arial" w:eastAsia="MS Mincho" w:hAnsi="Arial" w:cs="Arial"/>
          <w:b/>
          <w:sz w:val="24"/>
          <w:szCs w:val="24"/>
          <w:lang w:val="es-MX"/>
        </w:rPr>
      </w:pPr>
    </w:p>
    <w:p w:rsidR="00555156" w:rsidRPr="00084DE6" w:rsidRDefault="00555156" w:rsidP="00555156">
      <w:pPr>
        <w:pStyle w:val="Textosinformato"/>
        <w:tabs>
          <w:tab w:val="right" w:leader="dot" w:pos="8828"/>
        </w:tabs>
        <w:spacing w:line="360" w:lineRule="auto"/>
        <w:jc w:val="both"/>
        <w:rPr>
          <w:rFonts w:ascii="Arial" w:eastAsia="MS Mincho" w:hAnsi="Arial" w:cs="Arial"/>
          <w:sz w:val="24"/>
          <w:szCs w:val="24"/>
          <w:lang w:val="es-MX"/>
        </w:rPr>
      </w:pPr>
      <w:r w:rsidRPr="00084DE6">
        <w:rPr>
          <w:rFonts w:ascii="Arial" w:eastAsia="MS Mincho" w:hAnsi="Arial" w:cs="Arial"/>
          <w:b/>
          <w:sz w:val="24"/>
          <w:szCs w:val="24"/>
          <w:lang w:val="es-MX"/>
        </w:rPr>
        <w:t xml:space="preserve">ARTICULO SEGUNDO.- </w:t>
      </w:r>
      <w:r w:rsidRPr="00084DE6">
        <w:rPr>
          <w:rFonts w:ascii="Arial" w:eastAsia="MS Mincho" w:hAnsi="Arial" w:cs="Arial"/>
          <w:sz w:val="24"/>
          <w:szCs w:val="24"/>
          <w:lang w:val="es-MX"/>
        </w:rPr>
        <w:t xml:space="preserve">Las reformas y adiciones a la Constitución de la República </w:t>
      </w:r>
      <w:r w:rsidR="00C542A3" w:rsidRPr="00084DE6">
        <w:rPr>
          <w:rFonts w:ascii="Arial" w:eastAsia="MS Mincho" w:hAnsi="Arial" w:cs="Arial"/>
          <w:sz w:val="24"/>
          <w:szCs w:val="24"/>
          <w:lang w:val="es-MX"/>
        </w:rPr>
        <w:t xml:space="preserve">se aprobaran </w:t>
      </w:r>
      <w:r w:rsidRPr="00084DE6">
        <w:rPr>
          <w:rFonts w:ascii="Arial" w:eastAsia="MS Mincho" w:hAnsi="Arial" w:cs="Arial"/>
          <w:sz w:val="24"/>
          <w:szCs w:val="24"/>
          <w:lang w:val="es-MX"/>
        </w:rPr>
        <w:t xml:space="preserve"> conforme al texto del artículo 135 de la Constitución Política de los Estados Unidos Mexicanos</w:t>
      </w:r>
      <w:r w:rsidR="00C542A3" w:rsidRPr="00084DE6">
        <w:rPr>
          <w:rFonts w:ascii="Arial" w:eastAsia="MS Mincho" w:hAnsi="Arial" w:cs="Arial"/>
          <w:sz w:val="24"/>
          <w:szCs w:val="24"/>
          <w:lang w:val="es-MX"/>
        </w:rPr>
        <w:t>.</w:t>
      </w:r>
    </w:p>
    <w:p w:rsidR="00555156" w:rsidRPr="00084DE6" w:rsidRDefault="00555156" w:rsidP="00555156">
      <w:pPr>
        <w:pStyle w:val="Textosinformato"/>
        <w:tabs>
          <w:tab w:val="right" w:leader="dot" w:pos="8828"/>
        </w:tabs>
        <w:spacing w:line="360" w:lineRule="auto"/>
        <w:jc w:val="both"/>
        <w:rPr>
          <w:rFonts w:ascii="Arial" w:eastAsia="MS Mincho" w:hAnsi="Arial" w:cs="Arial"/>
          <w:b/>
          <w:sz w:val="24"/>
          <w:szCs w:val="24"/>
          <w:lang w:val="es-MX"/>
        </w:rPr>
      </w:pPr>
    </w:p>
    <w:p w:rsidR="00C542A3" w:rsidRPr="00084DE6" w:rsidRDefault="00C542A3" w:rsidP="00C542A3">
      <w:pPr>
        <w:spacing w:after="0" w:line="360" w:lineRule="auto"/>
        <w:jc w:val="both"/>
        <w:rPr>
          <w:rFonts w:ascii="Arial" w:eastAsia="Arial" w:hAnsi="Arial" w:cs="Arial"/>
          <w:sz w:val="24"/>
          <w:szCs w:val="24"/>
        </w:rPr>
      </w:pPr>
      <w:r w:rsidRPr="00084DE6">
        <w:rPr>
          <w:rFonts w:ascii="Arial" w:eastAsia="Arial" w:hAnsi="Arial" w:cs="Arial"/>
          <w:b/>
          <w:sz w:val="24"/>
          <w:szCs w:val="24"/>
        </w:rPr>
        <w:t xml:space="preserve">ECONÓMICO. - </w:t>
      </w:r>
      <w:r w:rsidRPr="00084DE6">
        <w:rPr>
          <w:rFonts w:ascii="Arial" w:eastAsia="Arial" w:hAnsi="Arial" w:cs="Arial"/>
          <w:sz w:val="24"/>
          <w:szCs w:val="24"/>
        </w:rPr>
        <w:t>Aprobado que sea, túrnese a la Secretaría para que se elabore la minuta en los términos correspondientes, así como remita copia del mismo a las autoridades competentes, para los efectos que haya lugar.</w:t>
      </w:r>
    </w:p>
    <w:p w:rsidR="00981CA4" w:rsidRPr="00084DE6" w:rsidRDefault="00981CA4" w:rsidP="00717A94">
      <w:pPr>
        <w:spacing w:after="0" w:line="360" w:lineRule="auto"/>
        <w:jc w:val="both"/>
        <w:rPr>
          <w:rFonts w:ascii="Arial" w:hAnsi="Arial" w:cs="Arial"/>
          <w:sz w:val="24"/>
          <w:szCs w:val="24"/>
        </w:rPr>
      </w:pPr>
    </w:p>
    <w:p w:rsidR="00981CA4" w:rsidRPr="00084DE6" w:rsidRDefault="00981CA4" w:rsidP="00717A94">
      <w:pPr>
        <w:spacing w:after="0" w:line="360" w:lineRule="auto"/>
        <w:jc w:val="both"/>
        <w:rPr>
          <w:rFonts w:ascii="Arial" w:hAnsi="Arial" w:cs="Arial"/>
          <w:sz w:val="24"/>
          <w:szCs w:val="24"/>
        </w:rPr>
      </w:pPr>
      <w:r w:rsidRPr="00084DE6">
        <w:rPr>
          <w:rFonts w:ascii="Arial" w:hAnsi="Arial" w:cs="Arial"/>
          <w:sz w:val="24"/>
          <w:szCs w:val="24"/>
        </w:rPr>
        <w:t xml:space="preserve">Dado en el Palacio Legislativo del Estado de Chihuahua, a los </w:t>
      </w:r>
      <w:r w:rsidR="00DB2759">
        <w:rPr>
          <w:rFonts w:ascii="Arial" w:hAnsi="Arial" w:cs="Arial"/>
          <w:sz w:val="24"/>
          <w:szCs w:val="24"/>
        </w:rPr>
        <w:t xml:space="preserve">10 </w:t>
      </w:r>
      <w:r w:rsidRPr="00084DE6">
        <w:rPr>
          <w:rFonts w:ascii="Arial" w:hAnsi="Arial" w:cs="Arial"/>
          <w:sz w:val="24"/>
          <w:szCs w:val="24"/>
        </w:rPr>
        <w:t xml:space="preserve">días del mes de </w:t>
      </w:r>
      <w:r w:rsidR="00DB2759">
        <w:rPr>
          <w:rFonts w:ascii="Arial" w:hAnsi="Arial" w:cs="Arial"/>
          <w:sz w:val="24"/>
          <w:szCs w:val="24"/>
        </w:rPr>
        <w:t xml:space="preserve">mayo </w:t>
      </w:r>
      <w:r w:rsidRPr="00084DE6">
        <w:rPr>
          <w:rFonts w:ascii="Arial" w:hAnsi="Arial" w:cs="Arial"/>
          <w:sz w:val="24"/>
          <w:szCs w:val="24"/>
        </w:rPr>
        <w:t>del año dos mil veintiuno.</w:t>
      </w:r>
    </w:p>
    <w:p w:rsidR="00981CA4" w:rsidRPr="00084DE6" w:rsidRDefault="00981CA4" w:rsidP="00717A94">
      <w:pPr>
        <w:spacing w:after="0" w:line="360" w:lineRule="auto"/>
        <w:jc w:val="center"/>
        <w:rPr>
          <w:rFonts w:ascii="Arial" w:hAnsi="Arial" w:cs="Arial"/>
          <w:b/>
          <w:sz w:val="24"/>
          <w:szCs w:val="24"/>
        </w:rPr>
      </w:pPr>
    </w:p>
    <w:p w:rsidR="00981CA4" w:rsidRPr="00084DE6" w:rsidRDefault="00981CA4" w:rsidP="00717A94">
      <w:pPr>
        <w:spacing w:after="0" w:line="240" w:lineRule="auto"/>
        <w:jc w:val="center"/>
        <w:rPr>
          <w:rFonts w:ascii="Arial" w:hAnsi="Arial" w:cs="Arial"/>
          <w:b/>
          <w:sz w:val="24"/>
          <w:szCs w:val="24"/>
        </w:rPr>
      </w:pPr>
      <w:r w:rsidRPr="00084DE6">
        <w:rPr>
          <w:rFonts w:ascii="Arial" w:hAnsi="Arial" w:cs="Arial"/>
          <w:b/>
          <w:sz w:val="24"/>
          <w:szCs w:val="24"/>
        </w:rPr>
        <w:t>ATENTAMENTE</w:t>
      </w:r>
    </w:p>
    <w:p w:rsidR="00981CA4" w:rsidRPr="00084DE6" w:rsidRDefault="00981CA4" w:rsidP="00717A94">
      <w:pPr>
        <w:spacing w:after="0" w:line="240" w:lineRule="auto"/>
        <w:jc w:val="center"/>
        <w:rPr>
          <w:rFonts w:ascii="Arial" w:hAnsi="Arial" w:cs="Arial"/>
          <w:b/>
          <w:sz w:val="24"/>
          <w:szCs w:val="24"/>
        </w:rPr>
      </w:pPr>
    </w:p>
    <w:p w:rsidR="00981CA4" w:rsidRPr="00084DE6" w:rsidRDefault="00981CA4" w:rsidP="00717A94">
      <w:pPr>
        <w:spacing w:after="0" w:line="240" w:lineRule="auto"/>
        <w:jc w:val="center"/>
        <w:rPr>
          <w:rFonts w:ascii="Arial" w:hAnsi="Arial" w:cs="Arial"/>
          <w:b/>
          <w:sz w:val="24"/>
          <w:szCs w:val="24"/>
          <w:lang w:val="es-ES_tradnl"/>
        </w:rPr>
      </w:pPr>
    </w:p>
    <w:p w:rsidR="0085312C" w:rsidRPr="00084DE6" w:rsidRDefault="0085312C" w:rsidP="00717A94">
      <w:pPr>
        <w:spacing w:after="0" w:line="240" w:lineRule="auto"/>
        <w:jc w:val="center"/>
        <w:rPr>
          <w:rFonts w:ascii="Arial" w:hAnsi="Arial" w:cs="Arial"/>
          <w:b/>
          <w:sz w:val="24"/>
          <w:szCs w:val="24"/>
        </w:rPr>
      </w:pPr>
      <w:r w:rsidRPr="00084DE6">
        <w:rPr>
          <w:rFonts w:ascii="Arial" w:hAnsi="Arial" w:cs="Arial"/>
          <w:b/>
          <w:sz w:val="24"/>
          <w:szCs w:val="24"/>
        </w:rPr>
        <w:t>DIPUTADO OMAR BAZÁN FLORES</w:t>
      </w:r>
    </w:p>
    <w:p w:rsidR="0085312C" w:rsidRPr="00084DE6" w:rsidRDefault="0085312C" w:rsidP="00717A94">
      <w:pPr>
        <w:spacing w:after="0" w:line="240" w:lineRule="auto"/>
        <w:jc w:val="center"/>
        <w:rPr>
          <w:rFonts w:ascii="Arial" w:hAnsi="Arial" w:cs="Arial"/>
          <w:b/>
          <w:sz w:val="24"/>
          <w:szCs w:val="24"/>
        </w:rPr>
      </w:pPr>
      <w:r w:rsidRPr="00084DE6">
        <w:rPr>
          <w:rFonts w:ascii="Arial" w:hAnsi="Arial" w:cs="Arial"/>
          <w:b/>
          <w:sz w:val="24"/>
          <w:szCs w:val="24"/>
        </w:rPr>
        <w:t xml:space="preserve">Vicepresidente del H. Congreso del Estado </w:t>
      </w:r>
    </w:p>
    <w:p w:rsidR="007F665E" w:rsidRPr="00084DE6" w:rsidRDefault="007F665E" w:rsidP="00717A94">
      <w:pPr>
        <w:spacing w:after="0" w:line="240" w:lineRule="auto"/>
        <w:ind w:left="-567"/>
        <w:jc w:val="both"/>
        <w:rPr>
          <w:rFonts w:ascii="Arial" w:hAnsi="Arial" w:cs="Arial"/>
          <w:sz w:val="24"/>
          <w:szCs w:val="24"/>
        </w:rPr>
      </w:pPr>
    </w:p>
    <w:sectPr w:rsidR="007F665E" w:rsidRPr="00084DE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560F"/>
    <w:multiLevelType w:val="hybridMultilevel"/>
    <w:tmpl w:val="B4CCA494"/>
    <w:lvl w:ilvl="0" w:tplc="A13E5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4230D"/>
    <w:multiLevelType w:val="hybridMultilevel"/>
    <w:tmpl w:val="E3782620"/>
    <w:lvl w:ilvl="0" w:tplc="080A0017">
      <w:start w:val="1"/>
      <w:numFmt w:val="lowerLetter"/>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54B7996"/>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3EED4896"/>
    <w:multiLevelType w:val="hybridMultilevel"/>
    <w:tmpl w:val="BF44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C0388"/>
    <w:multiLevelType w:val="hybridMultilevel"/>
    <w:tmpl w:val="3224184A"/>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58D47A69"/>
    <w:multiLevelType w:val="hybridMultilevel"/>
    <w:tmpl w:val="0116045E"/>
    <w:lvl w:ilvl="0" w:tplc="76D64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59376AC9"/>
    <w:multiLevelType w:val="hybridMultilevel"/>
    <w:tmpl w:val="A15E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034818"/>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3"/>
  </w:num>
  <w:num w:numId="5">
    <w:abstractNumId w:val="12"/>
  </w:num>
  <w:num w:numId="6">
    <w:abstractNumId w:val="8"/>
  </w:num>
  <w:num w:numId="7">
    <w:abstractNumId w:val="6"/>
  </w:num>
  <w:num w:numId="8">
    <w:abstractNumId w:val="0"/>
  </w:num>
  <w:num w:numId="9">
    <w:abstractNumId w:val="9"/>
  </w:num>
  <w:num w:numId="10">
    <w:abstractNumId w:val="10"/>
  </w:num>
  <w:num w:numId="11">
    <w:abstractNumId w:val="4"/>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84DE6"/>
    <w:rsid w:val="00197F7B"/>
    <w:rsid w:val="00291896"/>
    <w:rsid w:val="00326670"/>
    <w:rsid w:val="00342194"/>
    <w:rsid w:val="003F3D7F"/>
    <w:rsid w:val="00444C92"/>
    <w:rsid w:val="004D5B3F"/>
    <w:rsid w:val="00552D38"/>
    <w:rsid w:val="00555156"/>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F5B89"/>
    <w:rsid w:val="008F6A06"/>
    <w:rsid w:val="0096723A"/>
    <w:rsid w:val="009715A5"/>
    <w:rsid w:val="00981CA4"/>
    <w:rsid w:val="009C4BDD"/>
    <w:rsid w:val="00AA7332"/>
    <w:rsid w:val="00AF3AF7"/>
    <w:rsid w:val="00B16D8F"/>
    <w:rsid w:val="00C17A1B"/>
    <w:rsid w:val="00C542A3"/>
    <w:rsid w:val="00DB2759"/>
    <w:rsid w:val="00DB3F45"/>
    <w:rsid w:val="00DC302B"/>
    <w:rsid w:val="00F15AD3"/>
    <w:rsid w:val="00F730D7"/>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 w:type="paragraph" w:customStyle="1" w:styleId="ROMANOS">
    <w:name w:val="ROMANOS"/>
    <w:basedOn w:val="Normal"/>
    <w:uiPriority w:val="99"/>
    <w:rsid w:val="00555156"/>
    <w:pPr>
      <w:tabs>
        <w:tab w:val="left" w:pos="720"/>
      </w:tabs>
      <w:spacing w:after="101" w:line="216" w:lineRule="atLeast"/>
      <w:ind w:left="720" w:hanging="432"/>
      <w:jc w:val="both"/>
    </w:pPr>
    <w:rPr>
      <w:rFonts w:ascii="Arial" w:eastAsia="Times New Roman" w:hAnsi="Arial"/>
      <w:sz w:val="18"/>
      <w:szCs w:val="20"/>
      <w:lang w:val="es-ES_tradnl" w:eastAsia="es-ES"/>
    </w:rPr>
  </w:style>
  <w:style w:type="character" w:customStyle="1" w:styleId="TextoCar">
    <w:name w:val="Texto Car"/>
    <w:link w:val="Texto"/>
    <w:locked/>
    <w:rsid w:val="00F730D7"/>
    <w:rPr>
      <w:rFonts w:ascii="Arial" w:eastAsia="Times New Roman" w:hAnsi="Arial" w:cs="Arial"/>
      <w:sz w:val="18"/>
      <w:szCs w:val="18"/>
      <w:lang w:eastAsia="es-ES"/>
    </w:rPr>
  </w:style>
  <w:style w:type="table" w:styleId="Tablaconcuadrcula">
    <w:name w:val="Table Grid"/>
    <w:basedOn w:val="Tablanormal"/>
    <w:uiPriority w:val="39"/>
    <w:rsid w:val="00D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12327</Words>
  <Characters>67804</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2</cp:revision>
  <dcterms:created xsi:type="dcterms:W3CDTF">2021-05-12T20:13:00Z</dcterms:created>
  <dcterms:modified xsi:type="dcterms:W3CDTF">2021-05-12T20:13:00Z</dcterms:modified>
</cp:coreProperties>
</file>