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92375" w14:textId="77777777" w:rsidR="00E7562E" w:rsidRPr="00AA615B" w:rsidRDefault="00E7562E" w:rsidP="00AA615B">
      <w:pPr>
        <w:spacing w:after="0" w:line="360" w:lineRule="auto"/>
        <w:jc w:val="both"/>
        <w:rPr>
          <w:rFonts w:ascii="Century Gothic" w:eastAsia="Arial" w:hAnsi="Century Gothic" w:cs="Arial"/>
          <w:b/>
          <w:color w:val="000000"/>
          <w:sz w:val="24"/>
          <w:szCs w:val="24"/>
        </w:rPr>
      </w:pPr>
    </w:p>
    <w:p w14:paraId="220D075A" w14:textId="020845C4" w:rsidR="00E7562E" w:rsidRPr="00AA615B" w:rsidRDefault="00E7562E" w:rsidP="00AA615B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AA615B">
        <w:rPr>
          <w:rFonts w:ascii="Century Gothic" w:eastAsia="Arial" w:hAnsi="Century Gothic" w:cs="Arial"/>
          <w:b/>
          <w:color w:val="000000"/>
          <w:sz w:val="24"/>
          <w:szCs w:val="24"/>
        </w:rPr>
        <w:t>H. CONGRESO DEL ESTADO DE CHIHUAHUA.-</w:t>
      </w:r>
    </w:p>
    <w:p w14:paraId="6E69471F" w14:textId="601265B0" w:rsidR="00E7562E" w:rsidRPr="00AA615B" w:rsidRDefault="00E7562E" w:rsidP="00AA615B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AA615B">
        <w:rPr>
          <w:rFonts w:ascii="Century Gothic" w:eastAsia="Arial" w:hAnsi="Century Gothic" w:cs="Arial"/>
          <w:b/>
          <w:color w:val="000000"/>
          <w:sz w:val="24"/>
          <w:szCs w:val="24"/>
        </w:rPr>
        <w:t>P R E S E N T E:</w:t>
      </w:r>
      <w:bookmarkStart w:id="0" w:name="_gjdgxs"/>
      <w:bookmarkEnd w:id="0"/>
    </w:p>
    <w:p w14:paraId="3CD3E814" w14:textId="77777777" w:rsidR="00E7562E" w:rsidRPr="00AA615B" w:rsidRDefault="00E7562E" w:rsidP="00AA615B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14:paraId="57DA6A8B" w14:textId="266EBB4F" w:rsidR="00E7562E" w:rsidRPr="00AA615B" w:rsidRDefault="00E7562E" w:rsidP="00AA615B">
      <w:pPr>
        <w:spacing w:after="0" w:line="360" w:lineRule="auto"/>
        <w:jc w:val="both"/>
        <w:rPr>
          <w:rFonts w:ascii="Century Gothic" w:eastAsia="Arial" w:hAnsi="Century Gothic" w:cs="Arial"/>
          <w:color w:val="000000"/>
          <w:sz w:val="24"/>
          <w:szCs w:val="24"/>
        </w:rPr>
      </w:pPr>
      <w:r w:rsidRPr="00AA615B">
        <w:rPr>
          <w:rFonts w:ascii="Century Gothic" w:eastAsia="Arial" w:hAnsi="Century Gothic" w:cs="Arial"/>
          <w:color w:val="201F1E"/>
          <w:sz w:val="24"/>
          <w:szCs w:val="24"/>
        </w:rPr>
        <w:t xml:space="preserve">El suscrito Obed Lara Chávez, en mi carácter de Diputado independiente a la Sexagésima Sexta Legislatura del H. Congreso del Estado de Chihuahua, con fundamento en los artículos 68, fracción I de la Constitución Política del Estado de Chihuahua, así como 168, 169, 174 de la Ley Orgánica del Poder Legislativo del Estado de Chihuahua, y 74 del Reglamento Interior y de Prácticas Parlamentarias del Poder Legislativo, me permito someter a consideración de esta Honorable Representación Popular, </w:t>
      </w:r>
      <w:r w:rsidRPr="00AA615B">
        <w:rPr>
          <w:rFonts w:ascii="Century Gothic" w:eastAsia="Arial" w:hAnsi="Century Gothic" w:cs="Arial"/>
          <w:b/>
          <w:sz w:val="24"/>
          <w:szCs w:val="24"/>
        </w:rPr>
        <w:t>iniciativa de Punto de Acuerdo con carácter de urgente resolución a</w:t>
      </w:r>
      <w:r w:rsidRPr="00AA615B">
        <w:rPr>
          <w:rFonts w:ascii="Century Gothic" w:eastAsia="Arial" w:hAnsi="Century Gothic" w:cs="Arial"/>
          <w:b/>
          <w:color w:val="000000"/>
          <w:sz w:val="24"/>
          <w:szCs w:val="24"/>
        </w:rPr>
        <w:t xml:space="preserve"> fin de exhortar </w:t>
      </w:r>
      <w:r w:rsidRPr="00AA615B">
        <w:rPr>
          <w:rFonts w:ascii="Century Gothic" w:hAnsi="Century Gothic" w:cs="Arial"/>
          <w:b/>
          <w:sz w:val="24"/>
          <w:szCs w:val="24"/>
        </w:rPr>
        <w:t xml:space="preserve">a </w:t>
      </w:r>
      <w:r w:rsidRPr="00AA615B">
        <w:rPr>
          <w:rFonts w:ascii="Century Gothic" w:hAnsi="Century Gothic"/>
          <w:b/>
          <w:sz w:val="24"/>
          <w:szCs w:val="24"/>
        </w:rPr>
        <w:t xml:space="preserve"> la Fiscalía General del Estado para que dentro de su esfera competencial coordine acciones con los municipios de la Entidad y la sociedad civil, que fortalezcan el apoyo y seguridad en los procesos de canalización de personas con problemas de adicción a las instituciones de asistencia social necesarias, brinden mayor protección a</w:t>
      </w:r>
      <w:bookmarkStart w:id="1" w:name="_GoBack"/>
      <w:bookmarkEnd w:id="1"/>
      <w:r w:rsidRPr="00AA615B">
        <w:rPr>
          <w:rFonts w:ascii="Century Gothic" w:hAnsi="Century Gothic"/>
          <w:b/>
          <w:sz w:val="24"/>
          <w:szCs w:val="24"/>
        </w:rPr>
        <w:t xml:space="preserve"> quienes son partícipes en el proceso, para un mejor y eficaz tratamiento, atención  y seguimiento de las adicciones, así mismo se fortalezcan los programas existentes en la materia mediante el diseño de nuevos mecanismos de difusión</w:t>
      </w:r>
      <w:r w:rsidRPr="00AA615B">
        <w:rPr>
          <w:rFonts w:ascii="Century Gothic" w:hAnsi="Century Gothic" w:cs="Arial"/>
          <w:b/>
          <w:sz w:val="24"/>
          <w:szCs w:val="24"/>
        </w:rPr>
        <w:t>.</w:t>
      </w:r>
      <w:r w:rsidRPr="00AA615B">
        <w:rPr>
          <w:rFonts w:ascii="Century Gothic" w:eastAsia="Arial" w:hAnsi="Century Gothic" w:cs="Arial"/>
          <w:b/>
          <w:color w:val="000000"/>
          <w:sz w:val="24"/>
          <w:szCs w:val="24"/>
        </w:rPr>
        <w:t xml:space="preserve"> </w:t>
      </w:r>
      <w:r w:rsidRPr="00AA615B">
        <w:rPr>
          <w:rFonts w:ascii="Century Gothic" w:eastAsia="Arial" w:hAnsi="Century Gothic" w:cs="Arial"/>
          <w:color w:val="000000"/>
          <w:sz w:val="24"/>
          <w:szCs w:val="24"/>
        </w:rPr>
        <w:t>Lo anterior al tenor de la siguiente:</w:t>
      </w:r>
    </w:p>
    <w:p w14:paraId="7136411E" w14:textId="77777777" w:rsidR="00E7562E" w:rsidRPr="00AA615B" w:rsidRDefault="00E7562E" w:rsidP="00AA615B">
      <w:pPr>
        <w:spacing w:after="0" w:line="360" w:lineRule="auto"/>
        <w:jc w:val="both"/>
        <w:rPr>
          <w:rFonts w:ascii="Century Gothic" w:eastAsia="Arial" w:hAnsi="Century Gothic" w:cs="Arial"/>
          <w:b/>
          <w:color w:val="000000"/>
          <w:sz w:val="24"/>
          <w:szCs w:val="24"/>
        </w:rPr>
      </w:pPr>
    </w:p>
    <w:p w14:paraId="0892C7D1" w14:textId="01149BCC" w:rsidR="00E7562E" w:rsidRPr="00AA615B" w:rsidRDefault="00E7562E" w:rsidP="00AA615B">
      <w:pPr>
        <w:spacing w:line="360" w:lineRule="auto"/>
        <w:jc w:val="center"/>
        <w:rPr>
          <w:rFonts w:ascii="Century Gothic" w:eastAsia="Arial" w:hAnsi="Century Gothic" w:cs="Arial"/>
          <w:b/>
          <w:color w:val="000000"/>
          <w:sz w:val="24"/>
          <w:szCs w:val="24"/>
        </w:rPr>
      </w:pPr>
      <w:r w:rsidRPr="00AA615B">
        <w:rPr>
          <w:rFonts w:ascii="Century Gothic" w:eastAsia="Arial" w:hAnsi="Century Gothic" w:cs="Arial"/>
          <w:b/>
          <w:color w:val="000000"/>
          <w:sz w:val="24"/>
          <w:szCs w:val="24"/>
        </w:rPr>
        <w:t>EXPOSICIÓN DE MOTIVOS:</w:t>
      </w:r>
    </w:p>
    <w:p w14:paraId="171B3F54" w14:textId="4A0DA57F" w:rsidR="005A7740" w:rsidRPr="00AA615B" w:rsidRDefault="00FD1AE8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Como es de todos sabido el consumo de alcohol y drogas constituye actualmente un problema de salud pública en nuestro país y en el Estado.</w:t>
      </w:r>
    </w:p>
    <w:p w14:paraId="15D59BE8" w14:textId="7A8BDAED" w:rsidR="00AA615B" w:rsidRDefault="005A7740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lastRenderedPageBreak/>
        <w:t>De acuerdo con la Encuesta Nacional de Consumo de Drogas, Alcohol y Tabaco 2016-2017</w:t>
      </w:r>
      <w:r w:rsidR="00AA615B" w:rsidRPr="00AA615B">
        <w:rPr>
          <w:rStyle w:val="Refdenotaalpie"/>
          <w:rFonts w:ascii="Century Gothic" w:hAnsi="Century Gothic"/>
          <w:sz w:val="24"/>
          <w:szCs w:val="24"/>
        </w:rPr>
        <w:footnoteReference w:id="1"/>
      </w:r>
      <w:r w:rsidRPr="00AA615B">
        <w:rPr>
          <w:rFonts w:ascii="Century Gothic" w:hAnsi="Century Gothic"/>
          <w:sz w:val="24"/>
          <w:szCs w:val="24"/>
        </w:rPr>
        <w:t xml:space="preserve"> (ENCODAT), la prevalencia del consumo de cualquier droga alguna vez en la vida en la población general fue de 10.3%</w:t>
      </w:r>
      <w:r w:rsidR="00AA615B">
        <w:rPr>
          <w:rFonts w:ascii="Century Gothic" w:hAnsi="Century Gothic"/>
          <w:sz w:val="24"/>
          <w:szCs w:val="24"/>
        </w:rPr>
        <w:t>, p</w:t>
      </w:r>
      <w:r w:rsidR="00926A9C" w:rsidRPr="00AA615B">
        <w:rPr>
          <w:rFonts w:ascii="Century Gothic" w:hAnsi="Century Gothic"/>
          <w:sz w:val="24"/>
          <w:szCs w:val="24"/>
        </w:rPr>
        <w:t>resentando</w:t>
      </w:r>
      <w:r w:rsidRPr="00AA615B">
        <w:rPr>
          <w:rFonts w:ascii="Century Gothic" w:hAnsi="Century Gothic"/>
          <w:sz w:val="24"/>
          <w:szCs w:val="24"/>
        </w:rPr>
        <w:t xml:space="preserve"> un aumento significativo respecto a la encuesta </w:t>
      </w:r>
      <w:r w:rsidR="00926A9C" w:rsidRPr="00AA615B">
        <w:rPr>
          <w:rFonts w:ascii="Century Gothic" w:hAnsi="Century Gothic"/>
          <w:sz w:val="24"/>
          <w:szCs w:val="24"/>
        </w:rPr>
        <w:t xml:space="preserve">de </w:t>
      </w:r>
      <w:r w:rsidRPr="00AA615B">
        <w:rPr>
          <w:rFonts w:ascii="Century Gothic" w:hAnsi="Century Gothic"/>
          <w:sz w:val="24"/>
          <w:szCs w:val="24"/>
        </w:rPr>
        <w:t xml:space="preserve">2011, tanto para hombres como para mujeres y, particularmente, para los rangos de edad más jóvenes. </w:t>
      </w:r>
    </w:p>
    <w:p w14:paraId="3B4A15D0" w14:textId="5C215B3D" w:rsidR="005A7740" w:rsidRPr="00AA615B" w:rsidRDefault="00AA615B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5A7740" w:rsidRPr="00AA615B">
        <w:rPr>
          <w:rFonts w:ascii="Century Gothic" w:hAnsi="Century Gothic"/>
          <w:sz w:val="24"/>
          <w:szCs w:val="24"/>
        </w:rPr>
        <w:t xml:space="preserve">n el último año, el incremento también fue </w:t>
      </w:r>
      <w:r w:rsidR="00A610C6" w:rsidRPr="00AA615B">
        <w:rPr>
          <w:rFonts w:ascii="Century Gothic" w:hAnsi="Century Gothic"/>
          <w:sz w:val="24"/>
          <w:szCs w:val="24"/>
        </w:rPr>
        <w:t>importante</w:t>
      </w:r>
      <w:r w:rsidR="005A7740" w:rsidRPr="00AA615B">
        <w:rPr>
          <w:rFonts w:ascii="Century Gothic" w:hAnsi="Century Gothic"/>
          <w:sz w:val="24"/>
          <w:szCs w:val="24"/>
        </w:rPr>
        <w:t xml:space="preserve">, sobre todo en el caso de las mujeres </w:t>
      </w:r>
      <w:r w:rsidR="00926A9C" w:rsidRPr="00AA615B">
        <w:rPr>
          <w:rFonts w:ascii="Century Gothic" w:hAnsi="Century Gothic"/>
          <w:sz w:val="24"/>
          <w:szCs w:val="24"/>
        </w:rPr>
        <w:t>de 12 a 17 años de edad</w:t>
      </w:r>
      <w:r w:rsidR="005A7740" w:rsidRPr="00AA615B">
        <w:rPr>
          <w:rFonts w:ascii="Century Gothic" w:hAnsi="Century Gothic"/>
          <w:sz w:val="24"/>
          <w:szCs w:val="24"/>
        </w:rPr>
        <w:t>,</w:t>
      </w:r>
      <w:r w:rsidR="00926A9C" w:rsidRPr="00AA615B">
        <w:rPr>
          <w:rFonts w:ascii="Century Gothic" w:hAnsi="Century Gothic"/>
          <w:sz w:val="24"/>
          <w:szCs w:val="24"/>
        </w:rPr>
        <w:t xml:space="preserve"> mientras que</w:t>
      </w:r>
      <w:r w:rsidR="005A7740" w:rsidRPr="00AA615B">
        <w:rPr>
          <w:rFonts w:ascii="Century Gothic" w:hAnsi="Century Gothic"/>
          <w:sz w:val="24"/>
          <w:szCs w:val="24"/>
        </w:rPr>
        <w:t xml:space="preserve"> en los hombres</w:t>
      </w:r>
      <w:r w:rsidR="00926A9C" w:rsidRPr="00AA615B">
        <w:rPr>
          <w:rFonts w:ascii="Century Gothic" w:hAnsi="Century Gothic"/>
          <w:sz w:val="24"/>
          <w:szCs w:val="24"/>
        </w:rPr>
        <w:t xml:space="preserve"> el</w:t>
      </w:r>
      <w:r w:rsidR="005A7740" w:rsidRPr="00AA615B">
        <w:rPr>
          <w:rFonts w:ascii="Century Gothic" w:hAnsi="Century Gothic"/>
          <w:sz w:val="24"/>
          <w:szCs w:val="24"/>
        </w:rPr>
        <w:t xml:space="preserve"> incremento </w:t>
      </w:r>
      <w:r w:rsidR="00926A9C" w:rsidRPr="00AA615B">
        <w:rPr>
          <w:rFonts w:ascii="Century Gothic" w:hAnsi="Century Gothic"/>
          <w:sz w:val="24"/>
          <w:szCs w:val="24"/>
        </w:rPr>
        <w:t xml:space="preserve">se mostró en personas entre los </w:t>
      </w:r>
      <w:r w:rsidR="005A7740" w:rsidRPr="00AA615B">
        <w:rPr>
          <w:rFonts w:ascii="Century Gothic" w:hAnsi="Century Gothic"/>
          <w:sz w:val="24"/>
          <w:szCs w:val="24"/>
        </w:rPr>
        <w:t xml:space="preserve">18 a 34 años. </w:t>
      </w:r>
      <w:r w:rsidR="00926A9C" w:rsidRPr="00AA615B">
        <w:rPr>
          <w:rFonts w:ascii="Century Gothic" w:hAnsi="Century Gothic"/>
          <w:sz w:val="24"/>
          <w:szCs w:val="24"/>
        </w:rPr>
        <w:t xml:space="preserve"> Otra de las cifras </w:t>
      </w:r>
      <w:r w:rsidR="005A7740" w:rsidRPr="00AA615B">
        <w:rPr>
          <w:rFonts w:ascii="Century Gothic" w:hAnsi="Century Gothic"/>
          <w:sz w:val="24"/>
          <w:szCs w:val="24"/>
        </w:rPr>
        <w:t>identificó que quienes habían desarrollado dependencia a cualquier droga</w:t>
      </w:r>
      <w:r w:rsidR="00A14B70">
        <w:rPr>
          <w:rFonts w:ascii="Century Gothic" w:hAnsi="Century Gothic"/>
          <w:sz w:val="24"/>
          <w:szCs w:val="24"/>
        </w:rPr>
        <w:t xml:space="preserve"> son</w:t>
      </w:r>
      <w:r w:rsidR="005A7740" w:rsidRPr="00AA615B">
        <w:rPr>
          <w:rFonts w:ascii="Century Gothic" w:hAnsi="Century Gothic"/>
          <w:sz w:val="24"/>
          <w:szCs w:val="24"/>
        </w:rPr>
        <w:t xml:space="preserve"> un aproximado de 546 mil personas.</w:t>
      </w:r>
    </w:p>
    <w:p w14:paraId="53E025D1" w14:textId="6BD1CB6F" w:rsidR="000B2D00" w:rsidRPr="00AA615B" w:rsidRDefault="00926A9C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 xml:space="preserve">En este mismo informe, conforme a datos de la </w:t>
      </w:r>
      <w:r w:rsidR="000B2D00" w:rsidRPr="00AA615B">
        <w:rPr>
          <w:rFonts w:ascii="Century Gothic" w:hAnsi="Century Gothic"/>
          <w:sz w:val="24"/>
          <w:szCs w:val="24"/>
        </w:rPr>
        <w:t xml:space="preserve">Dirección General de Información en Salud, </w:t>
      </w:r>
      <w:r w:rsidRPr="00AA615B">
        <w:rPr>
          <w:rFonts w:ascii="Century Gothic" w:hAnsi="Century Gothic"/>
          <w:sz w:val="24"/>
          <w:szCs w:val="24"/>
        </w:rPr>
        <w:t xml:space="preserve">se indicaron las muertes </w:t>
      </w:r>
      <w:r w:rsidR="000B2D00" w:rsidRPr="00AA615B">
        <w:rPr>
          <w:rFonts w:ascii="Century Gothic" w:hAnsi="Century Gothic"/>
          <w:sz w:val="24"/>
          <w:szCs w:val="24"/>
        </w:rPr>
        <w:t xml:space="preserve">asociadas </w:t>
      </w:r>
      <w:r w:rsidRPr="00AA615B">
        <w:rPr>
          <w:rFonts w:ascii="Century Gothic" w:hAnsi="Century Gothic"/>
          <w:sz w:val="24"/>
          <w:szCs w:val="24"/>
        </w:rPr>
        <w:t xml:space="preserve">directamente </w:t>
      </w:r>
      <w:r w:rsidR="000B2D00" w:rsidRPr="00AA615B">
        <w:rPr>
          <w:rFonts w:ascii="Century Gothic" w:hAnsi="Century Gothic"/>
          <w:sz w:val="24"/>
          <w:szCs w:val="24"/>
        </w:rPr>
        <w:t xml:space="preserve">con el consumo de drogas </w:t>
      </w:r>
      <w:r w:rsidRPr="00AA615B">
        <w:rPr>
          <w:rFonts w:ascii="Century Gothic" w:hAnsi="Century Gothic"/>
          <w:sz w:val="24"/>
          <w:szCs w:val="24"/>
        </w:rPr>
        <w:t xml:space="preserve">entre los años </w:t>
      </w:r>
      <w:r w:rsidR="000B2D00" w:rsidRPr="00AA615B">
        <w:rPr>
          <w:rFonts w:ascii="Century Gothic" w:hAnsi="Century Gothic"/>
          <w:sz w:val="24"/>
          <w:szCs w:val="24"/>
        </w:rPr>
        <w:t xml:space="preserve">2010 a 2017, </w:t>
      </w:r>
      <w:r w:rsidRPr="00AA615B">
        <w:rPr>
          <w:rFonts w:ascii="Century Gothic" w:hAnsi="Century Gothic"/>
          <w:sz w:val="24"/>
          <w:szCs w:val="24"/>
        </w:rPr>
        <w:t xml:space="preserve">con un total de </w:t>
      </w:r>
      <w:r w:rsidR="000B2D00" w:rsidRPr="00A36B35">
        <w:rPr>
          <w:rFonts w:ascii="Century Gothic" w:hAnsi="Century Gothic"/>
          <w:sz w:val="24"/>
          <w:szCs w:val="24"/>
        </w:rPr>
        <w:t xml:space="preserve">22,856 </w:t>
      </w:r>
      <w:r w:rsidR="000B2D00" w:rsidRPr="00AA615B">
        <w:rPr>
          <w:rFonts w:ascii="Century Gothic" w:hAnsi="Century Gothic"/>
          <w:sz w:val="24"/>
          <w:szCs w:val="24"/>
        </w:rPr>
        <w:t>fallecimientos por trastornos mentales y del comportamiento debido al uso de distintas drogas</w:t>
      </w:r>
      <w:r w:rsidRPr="00AA615B">
        <w:rPr>
          <w:rFonts w:ascii="Century Gothic" w:hAnsi="Century Gothic"/>
          <w:sz w:val="24"/>
          <w:szCs w:val="24"/>
        </w:rPr>
        <w:t xml:space="preserve">, periodo en el cual </w:t>
      </w:r>
      <w:r w:rsidR="000B2D00" w:rsidRPr="00AA615B">
        <w:rPr>
          <w:rFonts w:ascii="Century Gothic" w:hAnsi="Century Gothic"/>
          <w:sz w:val="24"/>
          <w:szCs w:val="24"/>
        </w:rPr>
        <w:t>el uso de alcohol fue la sustancia relacionada con el mayor número de muertes</w:t>
      </w:r>
      <w:r w:rsidRPr="00AA615B">
        <w:rPr>
          <w:rFonts w:ascii="Century Gothic" w:hAnsi="Century Gothic"/>
          <w:sz w:val="24"/>
          <w:szCs w:val="24"/>
        </w:rPr>
        <w:t>.</w:t>
      </w:r>
    </w:p>
    <w:p w14:paraId="77B34C11" w14:textId="32E5E1E7" w:rsidR="000C6F09" w:rsidRPr="00AA615B" w:rsidRDefault="00A610C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D</w:t>
      </w:r>
      <w:r w:rsidR="00A96C4F" w:rsidRPr="00AA615B">
        <w:rPr>
          <w:rFonts w:ascii="Century Gothic" w:hAnsi="Century Gothic"/>
          <w:sz w:val="24"/>
          <w:szCs w:val="24"/>
        </w:rPr>
        <w:t xml:space="preserve">atos del Sistema de </w:t>
      </w:r>
      <w:r w:rsidR="000C6F09" w:rsidRPr="00AA615B">
        <w:rPr>
          <w:rFonts w:ascii="Century Gothic" w:hAnsi="Century Gothic"/>
          <w:sz w:val="24"/>
          <w:szCs w:val="24"/>
        </w:rPr>
        <w:t>Información Epidemiológica del Consumo de Drogas (SIECD) de Centros de Integración Juvenil</w:t>
      </w:r>
      <w:r w:rsidRPr="00AA615B">
        <w:rPr>
          <w:rFonts w:ascii="Century Gothic" w:hAnsi="Century Gothic"/>
          <w:sz w:val="24"/>
          <w:szCs w:val="24"/>
        </w:rPr>
        <w:t xml:space="preserve"> </w:t>
      </w:r>
      <w:r w:rsidR="000C6F09" w:rsidRPr="00AA615B">
        <w:rPr>
          <w:rFonts w:ascii="Century Gothic" w:hAnsi="Century Gothic"/>
          <w:sz w:val="24"/>
          <w:szCs w:val="24"/>
        </w:rPr>
        <w:t>del año 2018, señala</w:t>
      </w:r>
      <w:r w:rsidRPr="00AA615B">
        <w:rPr>
          <w:rFonts w:ascii="Century Gothic" w:hAnsi="Century Gothic"/>
          <w:sz w:val="24"/>
          <w:szCs w:val="24"/>
        </w:rPr>
        <w:t xml:space="preserve">n que </w:t>
      </w:r>
      <w:r w:rsidR="000C6F09" w:rsidRPr="00AA615B">
        <w:rPr>
          <w:rFonts w:ascii="Century Gothic" w:hAnsi="Century Gothic"/>
          <w:sz w:val="24"/>
          <w:szCs w:val="24"/>
        </w:rPr>
        <w:t xml:space="preserve"> dentro de las más de 21 mil personas que solicitaron tratamiento, poco más de 18 mil fueron hombres, y del total el 77% tenía menos de 30 años de edad. Pero las cifras son aún </w:t>
      </w:r>
      <w:r w:rsidR="00AA615B">
        <w:rPr>
          <w:rFonts w:ascii="Century Gothic" w:hAnsi="Century Gothic"/>
          <w:sz w:val="24"/>
          <w:szCs w:val="24"/>
        </w:rPr>
        <w:t>peores</w:t>
      </w:r>
      <w:r w:rsidR="000C6F09" w:rsidRPr="00AA615B">
        <w:rPr>
          <w:rFonts w:ascii="Century Gothic" w:hAnsi="Century Gothic"/>
          <w:sz w:val="24"/>
          <w:szCs w:val="24"/>
        </w:rPr>
        <w:t xml:space="preserve"> cuando se desglosan, </w:t>
      </w:r>
      <w:r w:rsidRPr="00AA615B">
        <w:rPr>
          <w:rFonts w:ascii="Century Gothic" w:hAnsi="Century Gothic"/>
          <w:sz w:val="24"/>
          <w:szCs w:val="24"/>
        </w:rPr>
        <w:t xml:space="preserve">pues </w:t>
      </w:r>
      <w:r w:rsidR="000C6F09" w:rsidRPr="00AA615B">
        <w:rPr>
          <w:rFonts w:ascii="Century Gothic" w:hAnsi="Century Gothic"/>
          <w:sz w:val="24"/>
          <w:szCs w:val="24"/>
        </w:rPr>
        <w:t xml:space="preserve">de esta población joven </w:t>
      </w:r>
      <w:r w:rsidR="000C6F09" w:rsidRPr="00AA615B">
        <w:rPr>
          <w:rFonts w:ascii="Century Gothic" w:hAnsi="Century Gothic"/>
          <w:sz w:val="24"/>
          <w:szCs w:val="24"/>
        </w:rPr>
        <w:lastRenderedPageBreak/>
        <w:t>el 40% inició consumo de drogas ilícitas entre los 10 y 14 años, y otro 44% entre los 15 y 19 años de edad.</w:t>
      </w:r>
    </w:p>
    <w:p w14:paraId="207DA1AF" w14:textId="40AB1D69" w:rsidR="00C3724F" w:rsidRPr="00AA615B" w:rsidRDefault="000C6F09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Por otro lado el Si</w:t>
      </w:r>
      <w:r w:rsidR="00374108" w:rsidRPr="00AA615B">
        <w:rPr>
          <w:rFonts w:ascii="Century Gothic" w:hAnsi="Century Gothic"/>
          <w:sz w:val="24"/>
          <w:szCs w:val="24"/>
        </w:rPr>
        <w:t>s</w:t>
      </w:r>
      <w:r w:rsidRPr="00AA615B">
        <w:rPr>
          <w:rFonts w:ascii="Century Gothic" w:hAnsi="Century Gothic"/>
          <w:sz w:val="24"/>
          <w:szCs w:val="24"/>
        </w:rPr>
        <w:t xml:space="preserve">tema de Vigilancia Epidemiológica de las Adicciones (SISVEA) en el mismo año reportó un total de </w:t>
      </w:r>
      <w:r w:rsidRPr="00AA615B">
        <w:rPr>
          <w:rFonts w:ascii="Century Gothic" w:hAnsi="Century Gothic"/>
          <w:b/>
          <w:bCs/>
          <w:sz w:val="24"/>
          <w:szCs w:val="24"/>
        </w:rPr>
        <w:t>71,601 registros</w:t>
      </w:r>
      <w:r w:rsidRPr="00AA615B">
        <w:rPr>
          <w:rFonts w:ascii="Century Gothic" w:hAnsi="Century Gothic"/>
          <w:sz w:val="24"/>
          <w:szCs w:val="24"/>
        </w:rPr>
        <w:t xml:space="preserve"> de las 32 entidades federativas, donde el 92% pertenecen al sexo masculino y el motivo de ingreso a tratamiento reconocido por los pacientes que ingresaron es por los problemas que les ha generado el consumo, acudiendo de forma voluntaria solo el 61%, seguidos del 26% que fueron llevados por familiares o amigos, indicando que </w:t>
      </w:r>
      <w:r w:rsidR="00C3724F" w:rsidRPr="00AA615B">
        <w:rPr>
          <w:rFonts w:ascii="Century Gothic" w:hAnsi="Century Gothic"/>
          <w:sz w:val="24"/>
          <w:szCs w:val="24"/>
        </w:rPr>
        <w:t>hay una baja percepción de su dependencia o de la necesidad de apoyo para iniciar un tratamiento.</w:t>
      </w:r>
    </w:p>
    <w:p w14:paraId="6D2660B6" w14:textId="2DC057F1" w:rsidR="00C3724F" w:rsidRPr="00AA615B" w:rsidRDefault="00A610C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D</w:t>
      </w:r>
      <w:r w:rsidR="00C3724F" w:rsidRPr="00AA615B">
        <w:rPr>
          <w:rFonts w:ascii="Century Gothic" w:hAnsi="Century Gothic"/>
          <w:sz w:val="24"/>
          <w:szCs w:val="24"/>
        </w:rPr>
        <w:t>etrás de esta problemática también es posible apreciar que existen muchos interesados en sumar esfuerzos para prevenir el consumo de sustancias psicoactivas, que permita brindarles atención, fortalecerlos en su persona y por ende mejorar su desenvolvimiento en su núcleo familiar y social.</w:t>
      </w:r>
    </w:p>
    <w:p w14:paraId="2D9118E1" w14:textId="001A93C7" w:rsidR="00397E5F" w:rsidRPr="00AA615B" w:rsidRDefault="00A96C4F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En nuestro país existen establecimientos que brindan servicios para la atención al consumo de sustancias psicoactiva</w:t>
      </w:r>
      <w:r w:rsidR="00AA615B">
        <w:rPr>
          <w:rFonts w:ascii="Century Gothic" w:hAnsi="Century Gothic"/>
          <w:sz w:val="24"/>
          <w:szCs w:val="24"/>
        </w:rPr>
        <w:t>s</w:t>
      </w:r>
      <w:r w:rsidR="00C3724F" w:rsidRPr="00AA615B">
        <w:rPr>
          <w:rFonts w:ascii="Century Gothic" w:hAnsi="Century Gothic"/>
          <w:sz w:val="24"/>
          <w:szCs w:val="24"/>
        </w:rPr>
        <w:t xml:space="preserve"> </w:t>
      </w:r>
      <w:r w:rsidR="003A69BD" w:rsidRPr="00AA615B">
        <w:rPr>
          <w:rFonts w:ascii="Century Gothic" w:hAnsi="Century Gothic"/>
          <w:sz w:val="24"/>
          <w:szCs w:val="24"/>
        </w:rPr>
        <w:t xml:space="preserve">acorde a la condición individual,  con </w:t>
      </w:r>
      <w:r w:rsidRPr="00AA615B">
        <w:rPr>
          <w:rFonts w:ascii="Century Gothic" w:hAnsi="Century Gothic"/>
          <w:sz w:val="24"/>
          <w:szCs w:val="24"/>
        </w:rPr>
        <w:t xml:space="preserve">programas </w:t>
      </w:r>
      <w:r w:rsidR="00C3724F" w:rsidRPr="00AA615B">
        <w:rPr>
          <w:rFonts w:ascii="Century Gothic" w:hAnsi="Century Gothic"/>
          <w:sz w:val="24"/>
          <w:szCs w:val="24"/>
        </w:rPr>
        <w:t xml:space="preserve">que </w:t>
      </w:r>
      <w:r w:rsidR="003A69BD" w:rsidRPr="00AA615B">
        <w:rPr>
          <w:rFonts w:ascii="Century Gothic" w:hAnsi="Century Gothic"/>
          <w:sz w:val="24"/>
          <w:szCs w:val="24"/>
        </w:rPr>
        <w:t>pueden tener</w:t>
      </w:r>
      <w:r w:rsidRPr="00AA615B">
        <w:rPr>
          <w:rFonts w:ascii="Century Gothic" w:hAnsi="Century Gothic"/>
          <w:sz w:val="24"/>
          <w:szCs w:val="24"/>
        </w:rPr>
        <w:t xml:space="preserve"> una duración de</w:t>
      </w:r>
      <w:r w:rsidR="003A69BD" w:rsidRPr="00AA615B">
        <w:rPr>
          <w:rFonts w:ascii="Century Gothic" w:hAnsi="Century Gothic"/>
          <w:sz w:val="24"/>
          <w:szCs w:val="24"/>
        </w:rPr>
        <w:t xml:space="preserve"> entre</w:t>
      </w:r>
      <w:r w:rsidRPr="00AA615B">
        <w:rPr>
          <w:rFonts w:ascii="Century Gothic" w:hAnsi="Century Gothic"/>
          <w:sz w:val="24"/>
          <w:szCs w:val="24"/>
        </w:rPr>
        <w:t xml:space="preserve"> 30 </w:t>
      </w:r>
      <w:r w:rsidR="00A610C6" w:rsidRPr="00AA615B">
        <w:rPr>
          <w:rFonts w:ascii="Century Gothic" w:hAnsi="Century Gothic"/>
          <w:sz w:val="24"/>
          <w:szCs w:val="24"/>
        </w:rPr>
        <w:t xml:space="preserve">y </w:t>
      </w:r>
      <w:r w:rsidR="00C3724F" w:rsidRPr="00AA615B">
        <w:rPr>
          <w:rFonts w:ascii="Century Gothic" w:hAnsi="Century Gothic"/>
          <w:sz w:val="24"/>
          <w:szCs w:val="24"/>
        </w:rPr>
        <w:t>180 días, algunos de carácter gubernamental, otros privados, pero todos con el mismo objetivo:</w:t>
      </w:r>
    </w:p>
    <w:p w14:paraId="2EF3E3B6" w14:textId="61334493" w:rsidR="00A610C6" w:rsidRPr="00AA615B" w:rsidRDefault="00A610C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D</w:t>
      </w:r>
      <w:r w:rsidR="00397E5F" w:rsidRPr="00AA615B">
        <w:rPr>
          <w:rFonts w:ascii="Century Gothic" w:hAnsi="Century Gothic"/>
          <w:sz w:val="24"/>
          <w:szCs w:val="24"/>
        </w:rPr>
        <w:t>ar atención a ese problema de salud relacionado con el uso, abuso y dependencia de drogas.</w:t>
      </w:r>
    </w:p>
    <w:p w14:paraId="4C62BB72" w14:textId="0A71FC21" w:rsidR="003A69BD" w:rsidRPr="00AA615B" w:rsidRDefault="00397E5F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Es así que en fechas recientes se hizo de conocimiento a un servidor, la problemática que enfrentan algunos de estos Centros dentro del Distrito XIV que represento, pues el acercamiento de las personas que se auto perciban con problem</w:t>
      </w:r>
      <w:r w:rsidR="00374108" w:rsidRPr="00AA615B">
        <w:rPr>
          <w:rFonts w:ascii="Century Gothic" w:hAnsi="Century Gothic"/>
          <w:sz w:val="24"/>
          <w:szCs w:val="24"/>
        </w:rPr>
        <w:t>as de adicción</w:t>
      </w:r>
      <w:r w:rsidR="003A69BD" w:rsidRPr="00AA615B">
        <w:rPr>
          <w:rFonts w:ascii="Century Gothic" w:hAnsi="Century Gothic"/>
          <w:sz w:val="24"/>
          <w:szCs w:val="24"/>
        </w:rPr>
        <w:t xml:space="preserve"> para recibir un tratamiento no es el idóneo</w:t>
      </w:r>
      <w:r w:rsidR="00374108" w:rsidRPr="00AA615B">
        <w:rPr>
          <w:rFonts w:ascii="Century Gothic" w:hAnsi="Century Gothic"/>
          <w:sz w:val="24"/>
          <w:szCs w:val="24"/>
        </w:rPr>
        <w:t>. No podemos perder de vista que el consumo desencadena problemas en la salud, en la familia, en la sociedad, en centros laborales y en el ámbito legal,</w:t>
      </w:r>
      <w:r w:rsidR="003A69BD" w:rsidRPr="00AA615B">
        <w:rPr>
          <w:rFonts w:ascii="Century Gothic" w:hAnsi="Century Gothic"/>
          <w:sz w:val="24"/>
          <w:szCs w:val="24"/>
        </w:rPr>
        <w:t xml:space="preserve"> por lo que muchas veces quienes </w:t>
      </w:r>
      <w:r w:rsidR="00AA615B">
        <w:rPr>
          <w:rFonts w:ascii="Century Gothic" w:hAnsi="Century Gothic"/>
          <w:sz w:val="24"/>
          <w:szCs w:val="24"/>
        </w:rPr>
        <w:t xml:space="preserve">observan </w:t>
      </w:r>
      <w:r w:rsidR="003A69BD" w:rsidRPr="00AA615B">
        <w:rPr>
          <w:rFonts w:ascii="Century Gothic" w:hAnsi="Century Gothic"/>
          <w:sz w:val="24"/>
          <w:szCs w:val="24"/>
        </w:rPr>
        <w:t xml:space="preserve">y enfrentan la problemática de una persona con adicciones no necesariamente es quien usa estas sustancias por </w:t>
      </w:r>
      <w:proofErr w:type="spellStart"/>
      <w:r w:rsidR="003A69BD" w:rsidRPr="00AA615B">
        <w:rPr>
          <w:rFonts w:ascii="Century Gothic" w:hAnsi="Century Gothic"/>
          <w:sz w:val="24"/>
          <w:szCs w:val="24"/>
        </w:rPr>
        <w:t>si</w:t>
      </w:r>
      <w:proofErr w:type="spellEnd"/>
      <w:r w:rsidR="003A69BD" w:rsidRPr="00AA615B">
        <w:rPr>
          <w:rFonts w:ascii="Century Gothic" w:hAnsi="Century Gothic"/>
          <w:sz w:val="24"/>
          <w:szCs w:val="24"/>
        </w:rPr>
        <w:t xml:space="preserve"> misma. </w:t>
      </w:r>
    </w:p>
    <w:p w14:paraId="5ED3B3BF" w14:textId="59B0980B" w:rsidR="00F45151" w:rsidRPr="00AA615B" w:rsidRDefault="003A69BD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 xml:space="preserve">Es así que quienes ingresan a su tratamiento sin </w:t>
      </w:r>
      <w:r w:rsidR="00F45151" w:rsidRPr="00AA615B">
        <w:rPr>
          <w:rFonts w:ascii="Century Gothic" w:hAnsi="Century Gothic"/>
          <w:sz w:val="24"/>
          <w:szCs w:val="24"/>
        </w:rPr>
        <w:t xml:space="preserve">la total convicción </w:t>
      </w:r>
      <w:r w:rsidRPr="00AA615B">
        <w:rPr>
          <w:rFonts w:ascii="Century Gothic" w:hAnsi="Century Gothic"/>
          <w:sz w:val="24"/>
          <w:szCs w:val="24"/>
        </w:rPr>
        <w:t>de hacerlo, una vez dentro recurren a malas amistades para salir del lugar a base de engaños, dejando expuestos al personal que dirige y es participe en el Centro residencial, pues de origen pudo ser la familia quien le acercó a recibir atención con esfuerzos económicos</w:t>
      </w:r>
      <w:r w:rsidR="00F45151" w:rsidRPr="00AA615B">
        <w:rPr>
          <w:rFonts w:ascii="Century Gothic" w:hAnsi="Century Gothic"/>
          <w:sz w:val="24"/>
          <w:szCs w:val="24"/>
        </w:rPr>
        <w:t xml:space="preserve">, mientras que personas con otros intereses se presentan </w:t>
      </w:r>
      <w:r w:rsidR="00A610C6" w:rsidRPr="00AA615B">
        <w:rPr>
          <w:rFonts w:ascii="Century Gothic" w:hAnsi="Century Gothic"/>
          <w:sz w:val="24"/>
          <w:szCs w:val="24"/>
        </w:rPr>
        <w:t xml:space="preserve">con falsedad, </w:t>
      </w:r>
      <w:r w:rsidR="00F45151" w:rsidRPr="00AA615B">
        <w:rPr>
          <w:rFonts w:ascii="Century Gothic" w:hAnsi="Century Gothic"/>
          <w:sz w:val="24"/>
          <w:szCs w:val="24"/>
        </w:rPr>
        <w:t>haciendo alusión</w:t>
      </w:r>
      <w:r w:rsidR="00A610C6" w:rsidRPr="00AA615B">
        <w:rPr>
          <w:rFonts w:ascii="Century Gothic" w:hAnsi="Century Gothic"/>
          <w:sz w:val="24"/>
          <w:szCs w:val="24"/>
        </w:rPr>
        <w:t xml:space="preserve"> </w:t>
      </w:r>
      <w:r w:rsidR="00F45151" w:rsidRPr="00AA615B">
        <w:rPr>
          <w:rFonts w:ascii="Century Gothic" w:hAnsi="Century Gothic"/>
          <w:sz w:val="24"/>
          <w:szCs w:val="24"/>
        </w:rPr>
        <w:t xml:space="preserve">a que están autorizados </w:t>
      </w:r>
      <w:r w:rsidR="00E4348B" w:rsidRPr="00AA615B">
        <w:rPr>
          <w:rFonts w:ascii="Century Gothic" w:hAnsi="Century Gothic"/>
          <w:sz w:val="24"/>
          <w:szCs w:val="24"/>
        </w:rPr>
        <w:t>“</w:t>
      </w:r>
      <w:r w:rsidR="00F45151" w:rsidRPr="00AA615B">
        <w:rPr>
          <w:rFonts w:ascii="Century Gothic" w:hAnsi="Century Gothic"/>
          <w:sz w:val="24"/>
          <w:szCs w:val="24"/>
        </w:rPr>
        <w:t>por Fiscalía</w:t>
      </w:r>
      <w:r w:rsidR="00E4348B" w:rsidRPr="00AA615B">
        <w:rPr>
          <w:rFonts w:ascii="Century Gothic" w:hAnsi="Century Gothic"/>
          <w:sz w:val="24"/>
          <w:szCs w:val="24"/>
        </w:rPr>
        <w:t>”</w:t>
      </w:r>
      <w:r w:rsidR="00F45151" w:rsidRPr="00AA615B">
        <w:rPr>
          <w:rFonts w:ascii="Century Gothic" w:hAnsi="Century Gothic"/>
          <w:sz w:val="24"/>
          <w:szCs w:val="24"/>
        </w:rPr>
        <w:t xml:space="preserve">, y al no poder retenerles, </w:t>
      </w:r>
      <w:r w:rsidR="00A610C6" w:rsidRPr="00AA615B">
        <w:rPr>
          <w:rFonts w:ascii="Century Gothic" w:hAnsi="Century Gothic"/>
          <w:sz w:val="24"/>
          <w:szCs w:val="24"/>
        </w:rPr>
        <w:t>las personas egresan del Centro y</w:t>
      </w:r>
      <w:r w:rsidR="00F45151" w:rsidRPr="00AA615B">
        <w:rPr>
          <w:rFonts w:ascii="Century Gothic" w:hAnsi="Century Gothic"/>
          <w:sz w:val="24"/>
          <w:szCs w:val="24"/>
        </w:rPr>
        <w:t xml:space="preserve"> retoman los malos hábitos</w:t>
      </w:r>
      <w:r w:rsidR="00E4348B" w:rsidRPr="00AA615B">
        <w:rPr>
          <w:rFonts w:ascii="Century Gothic" w:hAnsi="Century Gothic"/>
          <w:sz w:val="24"/>
          <w:szCs w:val="24"/>
        </w:rPr>
        <w:t>.</w:t>
      </w:r>
    </w:p>
    <w:p w14:paraId="15424F19" w14:textId="18024235" w:rsidR="00E4348B" w:rsidRPr="00AA615B" w:rsidRDefault="00AA615B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Además,</w:t>
      </w:r>
      <w:r w:rsidR="00726D56" w:rsidRPr="00AA615B">
        <w:rPr>
          <w:rFonts w:ascii="Century Gothic" w:hAnsi="Century Gothic"/>
          <w:sz w:val="24"/>
          <w:szCs w:val="24"/>
        </w:rPr>
        <w:t xml:space="preserve"> se observó que</w:t>
      </w:r>
      <w:r w:rsidR="00F45151" w:rsidRPr="00AA615B">
        <w:rPr>
          <w:rFonts w:ascii="Century Gothic" w:hAnsi="Century Gothic"/>
          <w:sz w:val="24"/>
          <w:szCs w:val="24"/>
        </w:rPr>
        <w:t xml:space="preserve"> en razón de la contingencia sanitaria provoca</w:t>
      </w:r>
      <w:r>
        <w:rPr>
          <w:rFonts w:ascii="Century Gothic" w:hAnsi="Century Gothic"/>
          <w:sz w:val="24"/>
          <w:szCs w:val="24"/>
        </w:rPr>
        <w:t xml:space="preserve">da por el </w:t>
      </w:r>
      <w:r w:rsidR="00F45151" w:rsidRPr="00AA615B">
        <w:rPr>
          <w:rFonts w:ascii="Century Gothic" w:hAnsi="Century Gothic"/>
          <w:sz w:val="24"/>
          <w:szCs w:val="24"/>
        </w:rPr>
        <w:t>COVID-19, se ha bajado la guardia en cuanto a la atención y prevención de problemas de adicción. Por ejemplo</w:t>
      </w:r>
      <w:r>
        <w:rPr>
          <w:rFonts w:ascii="Century Gothic" w:hAnsi="Century Gothic"/>
          <w:sz w:val="24"/>
          <w:szCs w:val="24"/>
        </w:rPr>
        <w:t>,</w:t>
      </w:r>
      <w:r w:rsidR="00F45151" w:rsidRPr="00AA615B">
        <w:rPr>
          <w:rFonts w:ascii="Century Gothic" w:hAnsi="Century Gothic"/>
          <w:sz w:val="24"/>
          <w:szCs w:val="24"/>
        </w:rPr>
        <w:t xml:space="preserve"> dentro del sistema educativo, niñas niños y adolescentes reforzaban </w:t>
      </w:r>
      <w:r w:rsidR="00E4348B" w:rsidRPr="00AA615B">
        <w:rPr>
          <w:rFonts w:ascii="Century Gothic" w:hAnsi="Century Gothic"/>
          <w:sz w:val="24"/>
          <w:szCs w:val="24"/>
        </w:rPr>
        <w:t>el conocimiento de</w:t>
      </w:r>
      <w:r w:rsidR="00F45151" w:rsidRPr="00AA615B">
        <w:rPr>
          <w:rFonts w:ascii="Century Gothic" w:hAnsi="Century Gothic"/>
          <w:sz w:val="24"/>
          <w:szCs w:val="24"/>
        </w:rPr>
        <w:t xml:space="preserve"> factores protectores y </w:t>
      </w:r>
      <w:r w:rsidR="00E4348B" w:rsidRPr="00AA615B">
        <w:rPr>
          <w:rFonts w:ascii="Century Gothic" w:hAnsi="Century Gothic"/>
          <w:sz w:val="24"/>
          <w:szCs w:val="24"/>
        </w:rPr>
        <w:t>se promovían</w:t>
      </w:r>
      <w:r w:rsidR="00F45151" w:rsidRPr="00AA615B">
        <w:rPr>
          <w:rFonts w:ascii="Century Gothic" w:hAnsi="Century Gothic"/>
          <w:sz w:val="24"/>
          <w:szCs w:val="24"/>
        </w:rPr>
        <w:t xml:space="preserve"> </w:t>
      </w:r>
      <w:r w:rsidR="00E4348B" w:rsidRPr="00AA615B">
        <w:rPr>
          <w:rFonts w:ascii="Century Gothic" w:hAnsi="Century Gothic"/>
          <w:sz w:val="24"/>
          <w:szCs w:val="24"/>
        </w:rPr>
        <w:t xml:space="preserve">directamente </w:t>
      </w:r>
      <w:r w:rsidR="00F45151" w:rsidRPr="00AA615B">
        <w:rPr>
          <w:rFonts w:ascii="Century Gothic" w:hAnsi="Century Gothic"/>
          <w:sz w:val="24"/>
          <w:szCs w:val="24"/>
        </w:rPr>
        <w:t>entre ellos estilos de vida saludables; así mismo los programas Estatales existentes en la materia no han tenido el mismo alcance</w:t>
      </w:r>
      <w:r w:rsidR="00726D56" w:rsidRPr="00AA615B">
        <w:rPr>
          <w:rFonts w:ascii="Century Gothic" w:hAnsi="Century Gothic"/>
          <w:sz w:val="24"/>
          <w:szCs w:val="24"/>
        </w:rPr>
        <w:t xml:space="preserve">, haciéndose necesarios nuevos mecanismos de difusión que fortalezcan la sensibilización sobre la problemática y sean mas eficaces. </w:t>
      </w:r>
    </w:p>
    <w:p w14:paraId="4D89AD9D" w14:textId="0B36073A" w:rsidR="00E4348B" w:rsidRPr="00AA615B" w:rsidRDefault="00726D5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sz w:val="24"/>
          <w:szCs w:val="24"/>
        </w:rPr>
        <w:t>Esto no significa que se ponga en duda el trabajo desempeñado para hacer frente a la situación, sin embarg</w:t>
      </w:r>
      <w:r w:rsidR="00E4348B" w:rsidRPr="00AA615B">
        <w:rPr>
          <w:rFonts w:ascii="Century Gothic" w:hAnsi="Century Gothic"/>
          <w:sz w:val="24"/>
          <w:szCs w:val="24"/>
        </w:rPr>
        <w:t xml:space="preserve">o considerando varios preceptos de la </w:t>
      </w:r>
      <w:r w:rsidR="00AA615B" w:rsidRPr="00AA615B">
        <w:rPr>
          <w:rFonts w:ascii="Century Gothic" w:hAnsi="Century Gothic"/>
          <w:sz w:val="24"/>
          <w:szCs w:val="24"/>
        </w:rPr>
        <w:t xml:space="preserve">Ley Estatal </w:t>
      </w:r>
      <w:r w:rsidR="00AA615B">
        <w:rPr>
          <w:rFonts w:ascii="Century Gothic" w:hAnsi="Century Gothic"/>
          <w:sz w:val="24"/>
          <w:szCs w:val="24"/>
        </w:rPr>
        <w:t>d</w:t>
      </w:r>
      <w:r w:rsidR="00AA615B" w:rsidRPr="00AA615B">
        <w:rPr>
          <w:rFonts w:ascii="Century Gothic" w:hAnsi="Century Gothic"/>
          <w:sz w:val="24"/>
          <w:szCs w:val="24"/>
        </w:rPr>
        <w:t xml:space="preserve">e Atención </w:t>
      </w:r>
      <w:r w:rsidR="00AA615B">
        <w:rPr>
          <w:rFonts w:ascii="Century Gothic" w:hAnsi="Century Gothic"/>
          <w:sz w:val="24"/>
          <w:szCs w:val="24"/>
        </w:rPr>
        <w:t>a l</w:t>
      </w:r>
      <w:r w:rsidR="00AA615B" w:rsidRPr="00AA615B">
        <w:rPr>
          <w:rFonts w:ascii="Century Gothic" w:hAnsi="Century Gothic"/>
          <w:sz w:val="24"/>
          <w:szCs w:val="24"/>
        </w:rPr>
        <w:t>as Adicciones</w:t>
      </w:r>
      <w:r w:rsidR="00E4348B" w:rsidRPr="00AA615B">
        <w:rPr>
          <w:rFonts w:ascii="Century Gothic" w:hAnsi="Century Gothic"/>
          <w:sz w:val="24"/>
          <w:szCs w:val="24"/>
        </w:rPr>
        <w:t xml:space="preserve">, y sobre todo de la buena intención que tienen quienes enfrentan esta problemática diariamente, </w:t>
      </w:r>
      <w:r w:rsidRPr="00AA615B">
        <w:rPr>
          <w:rFonts w:ascii="Century Gothic" w:hAnsi="Century Gothic"/>
          <w:sz w:val="24"/>
          <w:szCs w:val="24"/>
        </w:rPr>
        <w:t>convencido estoy que se puede replantear enfoque para que la atención a las adicciones no pierda impulso, pues los factores de riesgo siguen latentes y nuestras familias sufriendo las consecuencias.</w:t>
      </w:r>
    </w:p>
    <w:p w14:paraId="2E4286E9" w14:textId="5DAF7DCA" w:rsidR="003B54AC" w:rsidRPr="00AA615B" w:rsidRDefault="00E4348B" w:rsidP="00AA615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AA615B">
        <w:rPr>
          <w:rFonts w:ascii="Century Gothic" w:hAnsi="Century Gothic" w:cs="Arial"/>
          <w:sz w:val="24"/>
          <w:szCs w:val="24"/>
        </w:rPr>
        <w:t xml:space="preserve">Por lo anteriormente expuesto y con fundamento en lo establecido por los artículos previamente citados, me permito poner a consideración de esta Honorable Asamblea el presente proyecto con carácter de: </w:t>
      </w:r>
    </w:p>
    <w:p w14:paraId="0E4A6006" w14:textId="77777777" w:rsidR="00726D56" w:rsidRPr="00AA615B" w:rsidRDefault="00726D56" w:rsidP="00AA615B">
      <w:pPr>
        <w:spacing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AA615B">
        <w:rPr>
          <w:rFonts w:ascii="Century Gothic" w:hAnsi="Century Gothic"/>
          <w:b/>
          <w:bCs/>
          <w:sz w:val="24"/>
          <w:szCs w:val="24"/>
        </w:rPr>
        <w:t>ACUERDO:</w:t>
      </w:r>
    </w:p>
    <w:p w14:paraId="56527AC7" w14:textId="5B261A49" w:rsidR="00726D56" w:rsidRPr="00AA615B" w:rsidRDefault="00726D5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b/>
          <w:bCs/>
          <w:sz w:val="24"/>
          <w:szCs w:val="24"/>
        </w:rPr>
        <w:t>PRIMERO.</w:t>
      </w:r>
      <w:r w:rsidRPr="00AA615B">
        <w:rPr>
          <w:rFonts w:ascii="Century Gothic" w:hAnsi="Century Gothic"/>
          <w:sz w:val="24"/>
          <w:szCs w:val="24"/>
        </w:rPr>
        <w:t xml:space="preserve"> </w:t>
      </w:r>
      <w:r w:rsidR="00AA615B" w:rsidRPr="00AA615B">
        <w:rPr>
          <w:rFonts w:ascii="Century Gothic" w:hAnsi="Century Gothic"/>
          <w:sz w:val="24"/>
          <w:szCs w:val="24"/>
        </w:rPr>
        <w:t>La Sexagésima Sexta Legislatura del H. Congreso del Estado de Chihuahua exhorta atenta y respetuosamente</w:t>
      </w:r>
      <w:r w:rsidR="00AA615B">
        <w:rPr>
          <w:rFonts w:ascii="Century Gothic" w:hAnsi="Century Gothic"/>
          <w:sz w:val="24"/>
          <w:szCs w:val="24"/>
        </w:rPr>
        <w:t xml:space="preserve"> </w:t>
      </w:r>
      <w:r w:rsidRPr="00AA615B">
        <w:rPr>
          <w:rFonts w:ascii="Century Gothic" w:hAnsi="Century Gothic"/>
          <w:sz w:val="24"/>
          <w:szCs w:val="24"/>
        </w:rPr>
        <w:t xml:space="preserve">a la Fiscalía General del Estado a coordinar acciones en su esfera competencial con los municipios de la Entidad y la sociedad civil, a fin de que fortalezcan el apoyo, seguridad y asesoría jurídica en los procesos de canalización de personas con problemas de adicción a las instituciones de asistencia social necesarias, a sus familias, así como a </w:t>
      </w:r>
      <w:bookmarkStart w:id="2" w:name="_Hlk68526145"/>
      <w:r w:rsidRPr="00AA615B">
        <w:rPr>
          <w:rFonts w:ascii="Century Gothic" w:hAnsi="Century Gothic"/>
          <w:sz w:val="24"/>
          <w:szCs w:val="24"/>
        </w:rPr>
        <w:t xml:space="preserve">quienes brindan servicios residenciales de atención al consumo de sustancias psicoactivas, </w:t>
      </w:r>
      <w:bookmarkEnd w:id="2"/>
      <w:r w:rsidRPr="00AA615B">
        <w:rPr>
          <w:rFonts w:ascii="Century Gothic" w:hAnsi="Century Gothic"/>
          <w:sz w:val="24"/>
          <w:szCs w:val="24"/>
        </w:rPr>
        <w:t>en aras de brindar mayor protección a quienes son partícipes en el proceso, para un mejor y eficaz tratamiento, atención  y seguimiento de las adicciones.</w:t>
      </w:r>
    </w:p>
    <w:p w14:paraId="353D11C4" w14:textId="2FE40940" w:rsidR="00726D56" w:rsidRPr="00AA615B" w:rsidRDefault="00726D56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AA615B">
        <w:rPr>
          <w:rFonts w:ascii="Century Gothic" w:hAnsi="Century Gothic"/>
          <w:b/>
          <w:bCs/>
          <w:sz w:val="24"/>
          <w:szCs w:val="24"/>
        </w:rPr>
        <w:t>SEGUNDO.</w:t>
      </w:r>
      <w:r w:rsidRPr="00AA615B">
        <w:rPr>
          <w:rFonts w:ascii="Century Gothic" w:hAnsi="Century Gothic"/>
          <w:sz w:val="24"/>
          <w:szCs w:val="24"/>
        </w:rPr>
        <w:t xml:space="preserve"> </w:t>
      </w:r>
      <w:r w:rsidR="00AA615B" w:rsidRPr="00AA615B">
        <w:rPr>
          <w:rFonts w:ascii="Century Gothic" w:hAnsi="Century Gothic"/>
          <w:sz w:val="24"/>
          <w:szCs w:val="24"/>
        </w:rPr>
        <w:t>La Sexagésima Sexta Legislatura del H. Congreso del Estado de Chihuahua exhorta atenta y respetuosamente</w:t>
      </w:r>
      <w:r w:rsidR="00AA615B">
        <w:rPr>
          <w:rFonts w:ascii="Century Gothic" w:hAnsi="Century Gothic"/>
          <w:sz w:val="24"/>
          <w:szCs w:val="24"/>
        </w:rPr>
        <w:t xml:space="preserve"> </w:t>
      </w:r>
      <w:r w:rsidRPr="00AA615B">
        <w:rPr>
          <w:rFonts w:ascii="Century Gothic" w:hAnsi="Century Gothic"/>
          <w:sz w:val="24"/>
          <w:szCs w:val="24"/>
        </w:rPr>
        <w:t xml:space="preserve">a la </w:t>
      </w:r>
      <w:r w:rsidRPr="00BE5524">
        <w:rPr>
          <w:rFonts w:ascii="Century Gothic" w:hAnsi="Century Gothic"/>
          <w:sz w:val="24"/>
          <w:szCs w:val="24"/>
        </w:rPr>
        <w:t>Fiscalía General del Estado, a la Secretaría General de Gobierno, a la Secretaría de Educación y Deporte</w:t>
      </w:r>
      <w:r w:rsidR="00AA615B" w:rsidRPr="00BE5524">
        <w:rPr>
          <w:rFonts w:ascii="Century Gothic" w:hAnsi="Century Gothic"/>
          <w:sz w:val="24"/>
          <w:szCs w:val="24"/>
        </w:rPr>
        <w:t xml:space="preserve"> </w:t>
      </w:r>
      <w:r w:rsidRPr="00BE5524">
        <w:rPr>
          <w:rFonts w:ascii="Century Gothic" w:hAnsi="Century Gothic"/>
          <w:sz w:val="24"/>
          <w:szCs w:val="24"/>
        </w:rPr>
        <w:t>y a los Municipios según su esfera competencial, a fin de coordinar acciones que fortalezcan los programas existentes que promueven la cultura de la prevención y erradicación de las adicciones,</w:t>
      </w:r>
      <w:r w:rsidRPr="00AA615B">
        <w:rPr>
          <w:rFonts w:ascii="Century Gothic" w:hAnsi="Century Gothic"/>
          <w:sz w:val="24"/>
          <w:szCs w:val="24"/>
        </w:rPr>
        <w:t xml:space="preserve"> así como el diseño de nuevos mecanismos de difusión de las medidas y servicios públicos en materia de sensibilización, prevención, tratamiento, rehabilitación y reinserción social de las personas con problemas de adicción, dado que la contingencia sanitaria </w:t>
      </w:r>
      <w:bookmarkStart w:id="3" w:name="_Hlk68525153"/>
      <w:r w:rsidRPr="00AA615B">
        <w:rPr>
          <w:rFonts w:ascii="Century Gothic" w:hAnsi="Century Gothic"/>
          <w:sz w:val="24"/>
          <w:szCs w:val="24"/>
        </w:rPr>
        <w:t>derivada del virus SARS-CoV-2, que provoca la enfermedad conocida como COVID-19</w:t>
      </w:r>
      <w:bookmarkEnd w:id="3"/>
      <w:r w:rsidRPr="00AA615B">
        <w:rPr>
          <w:rFonts w:ascii="Century Gothic" w:hAnsi="Century Gothic"/>
          <w:sz w:val="24"/>
          <w:szCs w:val="24"/>
        </w:rPr>
        <w:t>, ha disminuido el enfoque en la atención de esta problemática.</w:t>
      </w:r>
    </w:p>
    <w:p w14:paraId="40F33DAD" w14:textId="77777777" w:rsidR="00AA615B" w:rsidRPr="00AA615B" w:rsidRDefault="00AA615B" w:rsidP="00AA615B">
      <w:pPr>
        <w:tabs>
          <w:tab w:val="left" w:pos="2730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AA615B">
        <w:rPr>
          <w:rFonts w:ascii="Century Gothic" w:hAnsi="Century Gothic" w:cs="Arial"/>
          <w:b/>
          <w:sz w:val="24"/>
          <w:szCs w:val="24"/>
        </w:rPr>
        <w:t xml:space="preserve">ECONÓMICO. </w:t>
      </w:r>
      <w:r w:rsidRPr="00AA615B">
        <w:rPr>
          <w:rFonts w:ascii="Century Gothic" w:hAnsi="Century Gothic" w:cs="Arial"/>
          <w:sz w:val="24"/>
          <w:szCs w:val="24"/>
        </w:rPr>
        <w:t>Aprobado que sea, túrnese a la Secretaría para que elabore la Minuta de Acuerdo correspondiente.</w:t>
      </w:r>
    </w:p>
    <w:p w14:paraId="4E91FFCC" w14:textId="77777777" w:rsidR="00AA615B" w:rsidRPr="00AA615B" w:rsidRDefault="00AA615B" w:rsidP="00AA615B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Century Gothic" w:eastAsia="Calibri" w:hAnsi="Century Gothic" w:cs="Arial"/>
          <w:color w:val="000000"/>
          <w:sz w:val="24"/>
          <w:szCs w:val="24"/>
          <w:bdr w:val="none" w:sz="0" w:space="0" w:color="auto" w:frame="1"/>
          <w:lang w:val="de-DE"/>
        </w:rPr>
      </w:pPr>
    </w:p>
    <w:p w14:paraId="520F08CE" w14:textId="1EF7E66B" w:rsidR="00AA615B" w:rsidRPr="00AA615B" w:rsidRDefault="00AA615B" w:rsidP="00AA615B">
      <w:pPr>
        <w:spacing w:line="360" w:lineRule="auto"/>
        <w:jc w:val="both"/>
        <w:rPr>
          <w:rFonts w:ascii="Century Gothic" w:eastAsia="Arial Unicode MS" w:hAnsi="Century Gothic" w:cs="Arial"/>
          <w:bCs/>
          <w:color w:val="000000"/>
          <w:sz w:val="24"/>
          <w:szCs w:val="24"/>
        </w:rPr>
      </w:pPr>
      <w:r w:rsidRPr="00AA615B">
        <w:rPr>
          <w:rFonts w:ascii="Century Gothic" w:eastAsia="Arial Unicode MS" w:hAnsi="Century Gothic" w:cs="Arial"/>
          <w:bCs/>
          <w:color w:val="000000"/>
          <w:sz w:val="24"/>
          <w:szCs w:val="24"/>
        </w:rPr>
        <w:t xml:space="preserve">Dado en sesión realizada en la modalidad de acceso remoto o virtual del Poder Legislativo, en la Ciudad de Chihuahua, Chihuahua, a los </w:t>
      </w:r>
      <w:r w:rsidR="00A14B70">
        <w:rPr>
          <w:rFonts w:ascii="Century Gothic" w:eastAsia="Arial Unicode MS" w:hAnsi="Century Gothic" w:cs="Arial"/>
          <w:bCs/>
          <w:color w:val="000000"/>
          <w:sz w:val="24"/>
          <w:szCs w:val="24"/>
        </w:rPr>
        <w:t>ocho</w:t>
      </w:r>
      <w:r w:rsidRPr="00AA615B">
        <w:rPr>
          <w:rFonts w:ascii="Century Gothic" w:eastAsia="Arial Unicode MS" w:hAnsi="Century Gothic" w:cs="Arial"/>
          <w:bCs/>
          <w:color w:val="000000"/>
          <w:sz w:val="24"/>
          <w:szCs w:val="24"/>
        </w:rPr>
        <w:t xml:space="preserve"> días de</w:t>
      </w:r>
      <w:r w:rsidR="00A36B35">
        <w:rPr>
          <w:rFonts w:ascii="Century Gothic" w:eastAsia="Arial Unicode MS" w:hAnsi="Century Gothic" w:cs="Arial"/>
          <w:bCs/>
          <w:color w:val="000000"/>
          <w:sz w:val="24"/>
          <w:szCs w:val="24"/>
        </w:rPr>
        <w:t>l</w:t>
      </w:r>
      <w:r w:rsidRPr="00AA615B">
        <w:rPr>
          <w:rFonts w:ascii="Century Gothic" w:eastAsia="Arial Unicode MS" w:hAnsi="Century Gothic" w:cs="Arial"/>
          <w:bCs/>
          <w:color w:val="000000"/>
          <w:sz w:val="24"/>
          <w:szCs w:val="24"/>
        </w:rPr>
        <w:t xml:space="preserve"> mes de abril del año dos mil veintiuno.</w:t>
      </w:r>
    </w:p>
    <w:p w14:paraId="25D19C8E" w14:textId="77777777" w:rsidR="00AA615B" w:rsidRPr="00AA615B" w:rsidRDefault="00AA615B" w:rsidP="00AA615B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Century Gothic" w:eastAsia="Calibri" w:hAnsi="Century Gothic" w:cs="Arial"/>
          <w:color w:val="000000"/>
          <w:sz w:val="24"/>
          <w:szCs w:val="24"/>
          <w:bdr w:val="none" w:sz="0" w:space="0" w:color="auto" w:frame="1"/>
          <w:lang w:val="de-DE" w:eastAsia="es-MX"/>
        </w:rPr>
      </w:pPr>
    </w:p>
    <w:p w14:paraId="756FC5A1" w14:textId="77777777" w:rsidR="00AA615B" w:rsidRPr="00AA615B" w:rsidRDefault="00AA615B" w:rsidP="00AA615B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Century Gothic" w:eastAsia="Calibri" w:hAnsi="Century Gothic" w:cs="Arial"/>
          <w:color w:val="000000"/>
          <w:sz w:val="24"/>
          <w:szCs w:val="24"/>
          <w:bdr w:val="none" w:sz="0" w:space="0" w:color="auto" w:frame="1"/>
          <w:lang w:val="de-DE"/>
        </w:rPr>
      </w:pPr>
    </w:p>
    <w:p w14:paraId="5BFDADB8" w14:textId="49750D59" w:rsidR="00AA615B" w:rsidRPr="00AA615B" w:rsidRDefault="00AA615B" w:rsidP="00AA615B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</w:pPr>
      <w:r w:rsidRPr="00AA615B"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  <w:t>ATENTAMENTE:</w:t>
      </w:r>
    </w:p>
    <w:p w14:paraId="2A8DD95D" w14:textId="297BFD42" w:rsidR="00AA615B" w:rsidRDefault="00AA615B" w:rsidP="00A36B35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outlineLvl w:val="0"/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</w:pPr>
    </w:p>
    <w:p w14:paraId="14AF9CEE" w14:textId="77777777" w:rsidR="00A36B35" w:rsidRPr="00AA615B" w:rsidRDefault="00A36B35" w:rsidP="00A36B35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outlineLvl w:val="0"/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</w:pPr>
    </w:p>
    <w:p w14:paraId="7430D57D" w14:textId="65E48FEC" w:rsidR="00AA615B" w:rsidRPr="00AA615B" w:rsidRDefault="00AA615B" w:rsidP="00AA615B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</w:pPr>
      <w:r w:rsidRPr="00AA615B">
        <w:rPr>
          <w:rFonts w:ascii="Century Gothic" w:eastAsia="Calibri" w:hAnsi="Century Gothic" w:cs="Arial"/>
          <w:b/>
          <w:color w:val="000000"/>
          <w:sz w:val="24"/>
          <w:szCs w:val="24"/>
          <w:bdr w:val="none" w:sz="0" w:space="0" w:color="auto" w:frame="1"/>
          <w:lang w:val="de-DE"/>
        </w:rPr>
        <w:t>DIP. OBED LARA CHÁVEZ.</w:t>
      </w:r>
    </w:p>
    <w:p w14:paraId="6492452D" w14:textId="72184EEB" w:rsidR="003B54AC" w:rsidRPr="00AA615B" w:rsidRDefault="003B54AC" w:rsidP="00AA615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sectPr w:rsidR="003B54AC" w:rsidRPr="00AA615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47EB8" w14:textId="77777777" w:rsidR="00F63FBB" w:rsidRDefault="00F63FBB" w:rsidP="005A7740">
      <w:pPr>
        <w:spacing w:after="0" w:line="240" w:lineRule="auto"/>
      </w:pPr>
      <w:r>
        <w:separator/>
      </w:r>
    </w:p>
  </w:endnote>
  <w:endnote w:type="continuationSeparator" w:id="0">
    <w:p w14:paraId="3DD6B90E" w14:textId="77777777" w:rsidR="00F63FBB" w:rsidRDefault="00F63FBB" w:rsidP="005A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37DB1" w14:textId="77777777" w:rsidR="00F63FBB" w:rsidRDefault="00F63FBB" w:rsidP="005A7740">
      <w:pPr>
        <w:spacing w:after="0" w:line="240" w:lineRule="auto"/>
      </w:pPr>
      <w:r>
        <w:separator/>
      </w:r>
    </w:p>
  </w:footnote>
  <w:footnote w:type="continuationSeparator" w:id="0">
    <w:p w14:paraId="173A96E9" w14:textId="77777777" w:rsidR="00F63FBB" w:rsidRDefault="00F63FBB" w:rsidP="005A7740">
      <w:pPr>
        <w:spacing w:after="0" w:line="240" w:lineRule="auto"/>
      </w:pPr>
      <w:r>
        <w:continuationSeparator/>
      </w:r>
    </w:p>
  </w:footnote>
  <w:footnote w:id="1">
    <w:p w14:paraId="625AB1BA" w14:textId="77777777" w:rsidR="00AA615B" w:rsidRDefault="00AA615B" w:rsidP="00AA615B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E32B45">
          <w:rPr>
            <w:rStyle w:val="Hipervnculo"/>
          </w:rPr>
          <w:t>http://copolad.eu/files/2020-01/informe-sobre-la-situacio-n-de-las-drogas-en-me-xico-.pdf</w:t>
        </w:r>
      </w:hyperlink>
    </w:p>
    <w:p w14:paraId="4C6121AF" w14:textId="77777777" w:rsidR="00AA615B" w:rsidRDefault="00AA615B" w:rsidP="00AA615B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6C696" w14:textId="0640B6B3" w:rsidR="00502EFB" w:rsidRPr="00E7562E" w:rsidRDefault="00502EFB" w:rsidP="00502EFB">
    <w:pPr>
      <w:tabs>
        <w:tab w:val="left" w:pos="1185"/>
        <w:tab w:val="center" w:pos="4419"/>
        <w:tab w:val="right" w:pos="8838"/>
      </w:tabs>
      <w:spacing w:after="0" w:line="240" w:lineRule="auto"/>
      <w:jc w:val="right"/>
      <w:rPr>
        <w:rFonts w:ascii="Edwardian Script ITC" w:hAnsi="Edwardian Script ITC" w:cs="Arial"/>
        <w:i/>
        <w:sz w:val="28"/>
        <w:szCs w:val="28"/>
      </w:rPr>
    </w:pPr>
    <w:r w:rsidRPr="00E7562E">
      <w:rPr>
        <w:rFonts w:ascii="Edwardian Script ITC" w:hAnsi="Edwardian Script ITC" w:cs="Arial"/>
        <w:noProof/>
        <w:sz w:val="28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791192A2" wp14:editId="10E0D3AB">
          <wp:simplePos x="0" y="0"/>
          <wp:positionH relativeFrom="column">
            <wp:posOffset>-542925</wp:posOffset>
          </wp:positionH>
          <wp:positionV relativeFrom="paragraph">
            <wp:posOffset>-48895</wp:posOffset>
          </wp:positionV>
          <wp:extent cx="1057275" cy="1085850"/>
          <wp:effectExtent l="19050" t="0" r="9525" b="0"/>
          <wp:wrapNone/>
          <wp:docPr id="3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562E">
      <w:rPr>
        <w:rFonts w:ascii="Edwardian Script ITC" w:hAnsi="Edwardian Script ITC"/>
        <w:i/>
        <w:sz w:val="28"/>
        <w:szCs w:val="28"/>
      </w:rPr>
      <w:t>“</w:t>
    </w:r>
    <w:r w:rsidRPr="00E7562E">
      <w:rPr>
        <w:rFonts w:ascii="Edwardian Script ITC" w:hAnsi="Edwardian Script ITC" w:cs="Arial"/>
        <w:i/>
        <w:sz w:val="28"/>
        <w:szCs w:val="28"/>
      </w:rPr>
      <w:t xml:space="preserve">2021, Año del Bicentenario de la Consumación de la </w:t>
    </w:r>
  </w:p>
  <w:p w14:paraId="740ABE59" w14:textId="5892D46D" w:rsidR="00502EFB" w:rsidRPr="00E7562E" w:rsidRDefault="00502EFB" w:rsidP="00502EFB">
    <w:pPr>
      <w:tabs>
        <w:tab w:val="left" w:pos="1185"/>
        <w:tab w:val="center" w:pos="4419"/>
        <w:tab w:val="right" w:pos="8838"/>
      </w:tabs>
      <w:spacing w:after="0" w:line="240" w:lineRule="auto"/>
      <w:jc w:val="right"/>
      <w:rPr>
        <w:rFonts w:ascii="Edwardian Script ITC" w:hAnsi="Edwardian Script ITC" w:cs="Arial"/>
        <w:i/>
        <w:sz w:val="28"/>
        <w:szCs w:val="28"/>
      </w:rPr>
    </w:pPr>
    <w:r w:rsidRPr="00E7562E">
      <w:rPr>
        <w:rFonts w:ascii="Edwardian Script ITC" w:hAnsi="Edwardian Script ITC" w:cs="Arial"/>
        <w:i/>
        <w:sz w:val="28"/>
        <w:szCs w:val="28"/>
      </w:rPr>
      <w:t>Independencia de México”</w:t>
    </w:r>
  </w:p>
  <w:p w14:paraId="5B355018" w14:textId="2AA97CDF" w:rsidR="00502EFB" w:rsidRPr="00E7562E" w:rsidRDefault="00502EFB" w:rsidP="00502EFB">
    <w:pPr>
      <w:tabs>
        <w:tab w:val="left" w:pos="1185"/>
      </w:tabs>
      <w:spacing w:after="0" w:line="240" w:lineRule="auto"/>
      <w:jc w:val="right"/>
      <w:rPr>
        <w:rFonts w:ascii="Edwardian Script ITC" w:hAnsi="Edwardian Script ITC" w:cs="Arial"/>
        <w:i/>
        <w:sz w:val="28"/>
        <w:szCs w:val="28"/>
      </w:rPr>
    </w:pPr>
    <w:r w:rsidRPr="00E7562E">
      <w:rPr>
        <w:rFonts w:ascii="Edwardian Script ITC" w:hAnsi="Edwardian Script ITC" w:cs="Arial"/>
        <w:i/>
        <w:sz w:val="28"/>
        <w:szCs w:val="28"/>
      </w:rPr>
      <w:t>“2021, Año de las Culturas del Norte”</w:t>
    </w:r>
  </w:p>
  <w:p w14:paraId="4328416A" w14:textId="77777777" w:rsidR="00E7562E" w:rsidRPr="00502EFB" w:rsidRDefault="00E7562E" w:rsidP="00502EFB">
    <w:pPr>
      <w:tabs>
        <w:tab w:val="left" w:pos="1185"/>
      </w:tabs>
      <w:spacing w:after="0" w:line="240" w:lineRule="auto"/>
      <w:jc w:val="right"/>
      <w:rPr>
        <w:rFonts w:ascii="Edwardian Script ITC" w:hAnsi="Edwardian Script ITC" w:cs="Arial"/>
        <w:i/>
        <w:sz w:val="32"/>
        <w:szCs w:val="32"/>
      </w:rPr>
    </w:pPr>
  </w:p>
  <w:p w14:paraId="6BC223EF" w14:textId="77777777" w:rsidR="00E7562E" w:rsidRPr="0020067C" w:rsidRDefault="00E7562E" w:rsidP="00E7562E">
    <w:pPr>
      <w:pStyle w:val="Encabezado"/>
      <w:jc w:val="right"/>
      <w:rPr>
        <w:rFonts w:ascii="Edwardian Script ITC" w:hAnsi="Edwardian Script ITC"/>
        <w:sz w:val="32"/>
      </w:rPr>
    </w:pPr>
    <w:r w:rsidRPr="0020067C">
      <w:rPr>
        <w:rFonts w:ascii="Edwardian Script ITC" w:hAnsi="Edwardian Script ITC"/>
        <w:sz w:val="32"/>
      </w:rPr>
      <w:t>Dip. Obed Lara Chávez</w:t>
    </w:r>
  </w:p>
  <w:p w14:paraId="0E007795" w14:textId="48C9F173" w:rsidR="00502EFB" w:rsidRPr="00502EFB" w:rsidRDefault="00502EFB" w:rsidP="00502EF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006B7"/>
    <w:multiLevelType w:val="hybridMultilevel"/>
    <w:tmpl w:val="8AAA3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740"/>
    <w:rsid w:val="000A2C4B"/>
    <w:rsid w:val="000B2D00"/>
    <w:rsid w:val="000C6F09"/>
    <w:rsid w:val="00344FBE"/>
    <w:rsid w:val="00374108"/>
    <w:rsid w:val="00397E5F"/>
    <w:rsid w:val="003A69BD"/>
    <w:rsid w:val="003B54AC"/>
    <w:rsid w:val="003C4A63"/>
    <w:rsid w:val="00502EFB"/>
    <w:rsid w:val="005A48A4"/>
    <w:rsid w:val="005A7740"/>
    <w:rsid w:val="00656E3D"/>
    <w:rsid w:val="00726D56"/>
    <w:rsid w:val="00886CBB"/>
    <w:rsid w:val="008E35D5"/>
    <w:rsid w:val="00926A9C"/>
    <w:rsid w:val="00931008"/>
    <w:rsid w:val="00A14B70"/>
    <w:rsid w:val="00A36B35"/>
    <w:rsid w:val="00A610C6"/>
    <w:rsid w:val="00A96C4F"/>
    <w:rsid w:val="00AA615B"/>
    <w:rsid w:val="00BE5524"/>
    <w:rsid w:val="00C3724F"/>
    <w:rsid w:val="00C37F6E"/>
    <w:rsid w:val="00C6665A"/>
    <w:rsid w:val="00DC269A"/>
    <w:rsid w:val="00E4348B"/>
    <w:rsid w:val="00E7562E"/>
    <w:rsid w:val="00F45151"/>
    <w:rsid w:val="00F63FBB"/>
    <w:rsid w:val="00FD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0B596"/>
  <w15:chartTrackingRefBased/>
  <w15:docId w15:val="{20E0D9AF-16A5-4BCA-9CE8-2DCFC8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5A774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774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A774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96C4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96C4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02EF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2E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EFB"/>
  </w:style>
  <w:style w:type="paragraph" w:styleId="Piedepgina">
    <w:name w:val="footer"/>
    <w:basedOn w:val="Normal"/>
    <w:link w:val="PiedepginaCar"/>
    <w:uiPriority w:val="99"/>
    <w:unhideWhenUsed/>
    <w:rsid w:val="00502E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opolad.eu/files/2020-01/informe-sobre-la-situacio-n-de-las-drogas-en-me-xico-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73BA-117B-4BF7-A4C3-02241CC6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1315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Terrazas</dc:creator>
  <cp:keywords/>
  <dc:description/>
  <cp:lastModifiedBy>Usuario de Windows</cp:lastModifiedBy>
  <cp:revision>2</cp:revision>
  <dcterms:created xsi:type="dcterms:W3CDTF">2021-04-07T19:13:00Z</dcterms:created>
  <dcterms:modified xsi:type="dcterms:W3CDTF">2021-04-07T19:13:00Z</dcterms:modified>
</cp:coreProperties>
</file>