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CF" w:rsidRDefault="00D47BCF" w:rsidP="00D47BC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:rsidR="00D47BCF" w:rsidRPr="00D47BCF" w:rsidRDefault="00D47BCF" w:rsidP="00D47BCF">
      <w:pPr>
        <w:pStyle w:val="Normal1"/>
        <w:spacing w:line="360" w:lineRule="auto"/>
        <w:jc w:val="both"/>
        <w:rPr>
          <w:rFonts w:ascii="Century Gothic" w:hAnsi="Century Gothic"/>
        </w:rPr>
      </w:pPr>
      <w:r w:rsidRPr="00D47BCF">
        <w:rPr>
          <w:rFonts w:ascii="Century Gothic" w:eastAsia="Century Gothic" w:hAnsi="Century Gothic" w:cs="Century Gothic"/>
          <w:b/>
        </w:rPr>
        <w:t>Honorable CONGRESO DEL ESTADO</w:t>
      </w:r>
    </w:p>
    <w:p w:rsidR="00D47BCF" w:rsidRPr="00D47BCF" w:rsidRDefault="00D47BCF" w:rsidP="00D47BCF">
      <w:pPr>
        <w:pStyle w:val="Normal1"/>
        <w:keepNext/>
        <w:spacing w:line="360" w:lineRule="auto"/>
        <w:jc w:val="both"/>
        <w:rPr>
          <w:rFonts w:ascii="Century Gothic" w:hAnsi="Century Gothic"/>
        </w:rPr>
      </w:pPr>
      <w:r w:rsidRPr="00D47BCF">
        <w:rPr>
          <w:rFonts w:ascii="Century Gothic" w:eastAsia="Century Gothic" w:hAnsi="Century Gothic" w:cs="Century Gothic"/>
          <w:b/>
        </w:rPr>
        <w:t>P R E S E N T E.</w:t>
      </w:r>
    </w:p>
    <w:p w:rsidR="00D47BCF" w:rsidRPr="00D47BCF" w:rsidRDefault="00D47BCF" w:rsidP="00D47BCF">
      <w:pPr>
        <w:pStyle w:val="Normal1"/>
        <w:spacing w:line="360" w:lineRule="auto"/>
        <w:jc w:val="both"/>
        <w:rPr>
          <w:rFonts w:ascii="Century Gothic" w:hAnsi="Century Gothic"/>
        </w:rPr>
      </w:pPr>
    </w:p>
    <w:p w:rsidR="000B715C" w:rsidRDefault="00D47BCF" w:rsidP="00D47BC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  <w:lang w:val="es-ES"/>
        </w:rPr>
      </w:pPr>
      <w:r w:rsidRPr="00D47BCF">
        <w:rPr>
          <w:rFonts w:ascii="Century Gothic" w:eastAsia="Century Gothic" w:hAnsi="Century Gothic" w:cs="Century Gothic"/>
        </w:rPr>
        <w:t>El suscrito, Jesús Velázquez Rodríguez, en mi carácter de Diputado a la Sexagésima Sexta Legislatura, con fundamento en lo dispuesto en los artículos 68 fracción Primera, de la Constitució</w:t>
      </w:r>
      <w:bookmarkStart w:id="0" w:name="_GoBack"/>
      <w:bookmarkEnd w:id="0"/>
      <w:r w:rsidRPr="00D47BCF">
        <w:rPr>
          <w:rFonts w:ascii="Century Gothic" w:eastAsia="Century Gothic" w:hAnsi="Century Gothic" w:cs="Century Gothic"/>
        </w:rPr>
        <w:t xml:space="preserve">n Política del Estado de Chihuahua; 167, fracción Primera, 169 y 174, todos de la Ley Orgánica del Poder Legislativo; así como los numerales 75 y 76, ambos del Reglamento Interior y de Prácticas Parlamentarias del Poder Legislativo, acudo ante esta Honorable </w:t>
      </w:r>
      <w:r w:rsidR="008F4DCA">
        <w:rPr>
          <w:rFonts w:ascii="Century Gothic" w:eastAsia="Century Gothic" w:hAnsi="Century Gothic" w:cs="Century Gothic"/>
        </w:rPr>
        <w:t>Asamblea</w:t>
      </w:r>
      <w:r w:rsidRPr="00D47BCF">
        <w:rPr>
          <w:rFonts w:ascii="Century Gothic" w:eastAsia="Century Gothic" w:hAnsi="Century Gothic" w:cs="Century Gothic"/>
        </w:rPr>
        <w:t xml:space="preserve">, a presentar </w:t>
      </w:r>
      <w:r w:rsidRPr="00D47BCF">
        <w:rPr>
          <w:rFonts w:ascii="Century Gothic" w:eastAsia="Century Gothic" w:hAnsi="Century Gothic" w:cs="Century Gothic"/>
          <w:b/>
        </w:rPr>
        <w:t>Iniciativa con carácter de</w:t>
      </w:r>
      <w:r w:rsidRPr="00D47BCF">
        <w:rPr>
          <w:rFonts w:ascii="Century Gothic" w:eastAsia="Century Gothic" w:hAnsi="Century Gothic" w:cs="Century Gothic"/>
        </w:rPr>
        <w:t xml:space="preserve"> </w:t>
      </w:r>
      <w:r w:rsidRPr="00D47BCF">
        <w:rPr>
          <w:rFonts w:ascii="Century Gothic" w:eastAsia="Century Gothic" w:hAnsi="Century Gothic" w:cs="Century Gothic"/>
          <w:b/>
        </w:rPr>
        <w:t xml:space="preserve">Acuerdo de urgente resolución, </w:t>
      </w:r>
      <w:r w:rsidRPr="00D47BCF">
        <w:rPr>
          <w:rFonts w:ascii="Century Gothic" w:eastAsia="Century Gothic" w:hAnsi="Century Gothic" w:cs="Century Gothic"/>
          <w:b/>
          <w:lang w:val="es-ES"/>
        </w:rPr>
        <w:t xml:space="preserve">por el que se </w:t>
      </w:r>
      <w:r w:rsidR="00733C1B">
        <w:rPr>
          <w:rFonts w:ascii="Century Gothic" w:eastAsia="Century Gothic" w:hAnsi="Century Gothic" w:cs="Century Gothic"/>
          <w:b/>
          <w:lang w:val="es-ES"/>
        </w:rPr>
        <w:t>emite exhorto respetuoso a los 67 Ayuntamientos del Estado</w:t>
      </w:r>
      <w:r w:rsidR="002355CB">
        <w:rPr>
          <w:rFonts w:ascii="Century Gothic" w:eastAsia="Century Gothic" w:hAnsi="Century Gothic" w:cs="Century Gothic"/>
          <w:b/>
          <w:lang w:val="es-ES"/>
        </w:rPr>
        <w:t>,</w:t>
      </w:r>
      <w:r w:rsidR="00733C1B">
        <w:rPr>
          <w:rFonts w:ascii="Century Gothic" w:eastAsia="Century Gothic" w:hAnsi="Century Gothic" w:cs="Century Gothic"/>
          <w:b/>
          <w:lang w:val="es-ES"/>
        </w:rPr>
        <w:t xml:space="preserve"> </w:t>
      </w:r>
      <w:r w:rsidR="002355CB">
        <w:rPr>
          <w:rFonts w:ascii="Century Gothic" w:eastAsia="Century Gothic" w:hAnsi="Century Gothic" w:cs="Century Gothic"/>
          <w:b/>
          <w:lang w:val="es-ES"/>
        </w:rPr>
        <w:t>(</w:t>
      </w:r>
      <w:r w:rsidR="00733C1B">
        <w:rPr>
          <w:rFonts w:ascii="Century Gothic" w:eastAsia="Century Gothic" w:hAnsi="Century Gothic" w:cs="Century Gothic"/>
          <w:b/>
          <w:lang w:val="es-ES"/>
        </w:rPr>
        <w:t>Presidentes Municipales y Regidores</w:t>
      </w:r>
      <w:r w:rsidR="002355CB">
        <w:rPr>
          <w:rFonts w:ascii="Century Gothic" w:eastAsia="Century Gothic" w:hAnsi="Century Gothic" w:cs="Century Gothic"/>
          <w:b/>
          <w:lang w:val="es-ES"/>
        </w:rPr>
        <w:t>),</w:t>
      </w:r>
      <w:r w:rsidR="00733C1B">
        <w:rPr>
          <w:rFonts w:ascii="Century Gothic" w:eastAsia="Century Gothic" w:hAnsi="Century Gothic" w:cs="Century Gothic"/>
          <w:b/>
          <w:lang w:val="es-ES"/>
        </w:rPr>
        <w:t xml:space="preserve"> para que conformen y pongan en funciones, Institutos Municipales de Atención a la Juventud.</w:t>
      </w:r>
    </w:p>
    <w:p w:rsidR="00D47BCF" w:rsidRDefault="00D47BCF" w:rsidP="00D47BC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0B715C" w:rsidRPr="00D47BCF" w:rsidRDefault="000B715C" w:rsidP="00D47BC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:rsidR="00D47BCF" w:rsidRPr="00D47BCF" w:rsidRDefault="00D47BCF" w:rsidP="00D47BCF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  <w:r w:rsidRPr="00D47BCF">
        <w:rPr>
          <w:rFonts w:ascii="Century Gothic" w:eastAsia="Century Gothic" w:hAnsi="Century Gothic" w:cs="Century Gothic"/>
        </w:rPr>
        <w:t>Lo anterior, con base en la siguiente:</w:t>
      </w:r>
    </w:p>
    <w:p w:rsidR="00D47BCF" w:rsidRPr="00D47BCF" w:rsidRDefault="00D47BCF" w:rsidP="00D47BCF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</w:p>
    <w:p w:rsidR="00D47BCF" w:rsidRPr="00D47BCF" w:rsidRDefault="00D47BCF" w:rsidP="00D47BCF">
      <w:pPr>
        <w:pStyle w:val="Normal1"/>
        <w:spacing w:line="360" w:lineRule="auto"/>
        <w:jc w:val="center"/>
        <w:rPr>
          <w:rFonts w:ascii="Century Gothic" w:eastAsia="Century Gothic" w:hAnsi="Century Gothic" w:cs="Century Gothic"/>
        </w:rPr>
      </w:pPr>
      <w:r w:rsidRPr="00D47BCF">
        <w:rPr>
          <w:rFonts w:ascii="Century Gothic" w:eastAsia="Century Gothic" w:hAnsi="Century Gothic" w:cs="Century Gothic"/>
          <w:b/>
        </w:rPr>
        <w:t>EXPOSICIÓN DE MOTIVOS</w:t>
      </w:r>
    </w:p>
    <w:p w:rsidR="00D47BCF" w:rsidRDefault="00D47BCF">
      <w:pPr>
        <w:spacing w:after="160" w:line="259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br w:type="page"/>
      </w:r>
    </w:p>
    <w:p w:rsidR="002355CB" w:rsidRDefault="002355CB" w:rsidP="00B85F31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  <w:bCs/>
        </w:rPr>
      </w:pPr>
    </w:p>
    <w:p w:rsidR="00AF504E" w:rsidRDefault="00D47BCF" w:rsidP="00B85F31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 w:rsidRPr="00D47BCF">
        <w:rPr>
          <w:rFonts w:ascii="Century Gothic" w:eastAsia="Century Gothic" w:hAnsi="Century Gothic" w:cs="Century Gothic"/>
          <w:b/>
          <w:bCs/>
        </w:rPr>
        <w:t>Primera.</w:t>
      </w:r>
      <w:r w:rsidRPr="00D47BCF">
        <w:rPr>
          <w:rFonts w:ascii="Century Gothic" w:eastAsia="Century Gothic" w:hAnsi="Century Gothic" w:cs="Century Gothic"/>
        </w:rPr>
        <w:t xml:space="preserve"> </w:t>
      </w:r>
      <w:r w:rsidR="00AF504E">
        <w:rPr>
          <w:rFonts w:ascii="Century Gothic" w:eastAsia="Century Gothic" w:hAnsi="Century Gothic" w:cs="Century Gothic"/>
        </w:rPr>
        <w:t xml:space="preserve">De acuerdo con </w:t>
      </w:r>
      <w:r w:rsidR="002355CB">
        <w:rPr>
          <w:rFonts w:ascii="Century Gothic" w:eastAsia="Century Gothic" w:hAnsi="Century Gothic" w:cs="Century Gothic"/>
        </w:rPr>
        <w:t xml:space="preserve">el artículo Tercero Bis de </w:t>
      </w:r>
      <w:r w:rsidR="00AF504E">
        <w:rPr>
          <w:rFonts w:ascii="Century Gothic" w:eastAsia="Century Gothic" w:hAnsi="Century Gothic" w:cs="Century Gothic"/>
        </w:rPr>
        <w:t>la Ley del Instituto Mexicano de la Juventud</w:t>
      </w:r>
      <w:r w:rsidR="00B85F31">
        <w:rPr>
          <w:rFonts w:ascii="Century Gothic" w:eastAsia="Century Gothic" w:hAnsi="Century Gothic" w:cs="Century Gothic"/>
        </w:rPr>
        <w:t xml:space="preserve">, dicho organismo es el responsable de definir e instrumentar la política nacional de juventud, en </w:t>
      </w:r>
      <w:r w:rsidR="002355CB">
        <w:rPr>
          <w:rFonts w:ascii="Century Gothic" w:eastAsia="Century Gothic" w:hAnsi="Century Gothic" w:cs="Century Gothic"/>
        </w:rPr>
        <w:t>acuerdo</w:t>
      </w:r>
      <w:r w:rsidR="00B85F31">
        <w:rPr>
          <w:rFonts w:ascii="Century Gothic" w:eastAsia="Century Gothic" w:hAnsi="Century Gothic" w:cs="Century Gothic"/>
        </w:rPr>
        <w:t xml:space="preserve"> con la Secretaría de Desarrollo Social.</w:t>
      </w:r>
      <w:r w:rsidR="0006693B">
        <w:rPr>
          <w:rFonts w:ascii="Century Gothic" w:eastAsia="Century Gothic" w:hAnsi="Century Gothic" w:cs="Century Gothic"/>
        </w:rPr>
        <w:t xml:space="preserve"> Asimismo el </w:t>
      </w:r>
      <w:r w:rsidR="000E4F69">
        <w:rPr>
          <w:rFonts w:ascii="Century Gothic" w:eastAsia="Century Gothic" w:hAnsi="Century Gothic" w:cs="Century Gothic"/>
        </w:rPr>
        <w:t>artículo</w:t>
      </w:r>
      <w:r w:rsidR="0006693B">
        <w:rPr>
          <w:rFonts w:ascii="Century Gothic" w:eastAsia="Century Gothic" w:hAnsi="Century Gothic" w:cs="Century Gothic"/>
        </w:rPr>
        <w:t xml:space="preserve"> cuarto de</w:t>
      </w:r>
      <w:r w:rsidR="002355CB">
        <w:rPr>
          <w:rFonts w:ascii="Century Gothic" w:eastAsia="Century Gothic" w:hAnsi="Century Gothic" w:cs="Century Gothic"/>
        </w:rPr>
        <w:t xml:space="preserve"> dicho</w:t>
      </w:r>
      <w:r w:rsidR="0006693B">
        <w:rPr>
          <w:rFonts w:ascii="Century Gothic" w:eastAsia="Century Gothic" w:hAnsi="Century Gothic" w:cs="Century Gothic"/>
        </w:rPr>
        <w:t xml:space="preserve"> ordenamiento establece que el objetivo del Instituto es “</w:t>
      </w:r>
      <w:r w:rsidR="00B85F31" w:rsidRPr="00B85F31">
        <w:rPr>
          <w:rFonts w:ascii="Century Gothic" w:eastAsia="Century Gothic" w:hAnsi="Century Gothic" w:cs="Century Gothic"/>
        </w:rPr>
        <w:t xml:space="preserve">Concertar acuerdos y convenios con las autoridades de </w:t>
      </w:r>
      <w:r w:rsidR="008D09E6">
        <w:rPr>
          <w:rFonts w:ascii="Century Gothic" w:eastAsia="Century Gothic" w:hAnsi="Century Gothic" w:cs="Century Gothic"/>
        </w:rPr>
        <w:t>-los estados-</w:t>
      </w:r>
      <w:r w:rsidR="00B85F31" w:rsidRPr="00B85F31">
        <w:rPr>
          <w:rFonts w:ascii="Century Gothic" w:eastAsia="Century Gothic" w:hAnsi="Century Gothic" w:cs="Century Gothic"/>
        </w:rPr>
        <w:t xml:space="preserve"> y los municipios</w:t>
      </w:r>
      <w:r w:rsidR="0006693B">
        <w:rPr>
          <w:rFonts w:ascii="Century Gothic" w:eastAsia="Century Gothic" w:hAnsi="Century Gothic" w:cs="Century Gothic"/>
        </w:rPr>
        <w:t xml:space="preserve"> </w:t>
      </w:r>
      <w:r w:rsidR="00B85F31" w:rsidRPr="00B85F31">
        <w:rPr>
          <w:rFonts w:ascii="Century Gothic" w:eastAsia="Century Gothic" w:hAnsi="Century Gothic" w:cs="Century Gothic"/>
        </w:rPr>
        <w:t>para promover, con la participación, en su caso, de los sectores social y privado, las políticas, acciones y</w:t>
      </w:r>
      <w:r w:rsidR="0006693B">
        <w:rPr>
          <w:rFonts w:ascii="Century Gothic" w:eastAsia="Century Gothic" w:hAnsi="Century Gothic" w:cs="Century Gothic"/>
        </w:rPr>
        <w:t xml:space="preserve"> </w:t>
      </w:r>
      <w:r w:rsidR="00B85F31" w:rsidRPr="00B85F31">
        <w:rPr>
          <w:rFonts w:ascii="Century Gothic" w:eastAsia="Century Gothic" w:hAnsi="Century Gothic" w:cs="Century Gothic"/>
        </w:rPr>
        <w:t>programas tendientes al desarrollo integral de la juventud y la difusión de sus derechos y obligaciones</w:t>
      </w:r>
      <w:r w:rsidR="0006693B">
        <w:rPr>
          <w:rFonts w:ascii="Century Gothic" w:eastAsia="Century Gothic" w:hAnsi="Century Gothic" w:cs="Century Gothic"/>
        </w:rPr>
        <w:t xml:space="preserve"> </w:t>
      </w:r>
      <w:r w:rsidR="00B85F31" w:rsidRPr="00B85F31">
        <w:rPr>
          <w:rFonts w:ascii="Century Gothic" w:eastAsia="Century Gothic" w:hAnsi="Century Gothic" w:cs="Century Gothic"/>
        </w:rPr>
        <w:t>reconocidos en la Constitución Política de los Estados Unidos Mexicanos y Tratados Internacionales de</w:t>
      </w:r>
      <w:r w:rsidR="0006693B">
        <w:rPr>
          <w:rFonts w:ascii="Century Gothic" w:eastAsia="Century Gothic" w:hAnsi="Century Gothic" w:cs="Century Gothic"/>
        </w:rPr>
        <w:t xml:space="preserve"> </w:t>
      </w:r>
      <w:r w:rsidR="00B85F31" w:rsidRPr="00B85F31">
        <w:rPr>
          <w:rFonts w:ascii="Century Gothic" w:eastAsia="Century Gothic" w:hAnsi="Century Gothic" w:cs="Century Gothic"/>
        </w:rPr>
        <w:t xml:space="preserve">los que nuestro país </w:t>
      </w:r>
      <w:r w:rsidR="008D09E6">
        <w:rPr>
          <w:rFonts w:ascii="Century Gothic" w:eastAsia="Century Gothic" w:hAnsi="Century Gothic" w:cs="Century Gothic"/>
        </w:rPr>
        <w:t>forma</w:t>
      </w:r>
      <w:r w:rsidR="00B85F31" w:rsidRPr="00B85F31">
        <w:rPr>
          <w:rFonts w:ascii="Century Gothic" w:eastAsia="Century Gothic" w:hAnsi="Century Gothic" w:cs="Century Gothic"/>
        </w:rPr>
        <w:t xml:space="preserve"> parte</w:t>
      </w:r>
      <w:r w:rsidR="0006693B">
        <w:rPr>
          <w:rFonts w:ascii="Century Gothic" w:eastAsia="Century Gothic" w:hAnsi="Century Gothic" w:cs="Century Gothic"/>
        </w:rPr>
        <w:t xml:space="preserve">”, </w:t>
      </w:r>
      <w:r w:rsidR="008D09E6">
        <w:rPr>
          <w:rFonts w:ascii="Century Gothic" w:eastAsia="Century Gothic" w:hAnsi="Century Gothic" w:cs="Century Gothic"/>
        </w:rPr>
        <w:t>a</w:t>
      </w:r>
      <w:r w:rsidR="0006693B">
        <w:rPr>
          <w:rFonts w:ascii="Century Gothic" w:eastAsia="Century Gothic" w:hAnsi="Century Gothic" w:cs="Century Gothic"/>
        </w:rPr>
        <w:t>sí como los mecanismos para dar cumplimiento a</w:t>
      </w:r>
      <w:r w:rsidR="008D09E6">
        <w:rPr>
          <w:rFonts w:ascii="Century Gothic" w:eastAsia="Century Gothic" w:hAnsi="Century Gothic" w:cs="Century Gothic"/>
        </w:rPr>
        <w:t xml:space="preserve"> la Constitución y a dichos</w:t>
      </w:r>
      <w:r w:rsidR="0006693B">
        <w:rPr>
          <w:rFonts w:ascii="Century Gothic" w:eastAsia="Century Gothic" w:hAnsi="Century Gothic" w:cs="Century Gothic"/>
        </w:rPr>
        <w:t xml:space="preserve"> Tratados.</w:t>
      </w:r>
      <w:r w:rsidR="008D09E6">
        <w:rPr>
          <w:rStyle w:val="Refdenotaalpie"/>
          <w:rFonts w:ascii="Century Gothic" w:eastAsia="Century Gothic" w:hAnsi="Century Gothic" w:cs="Century Gothic"/>
        </w:rPr>
        <w:footnoteReference w:id="1"/>
      </w:r>
    </w:p>
    <w:p w:rsidR="00AF504E" w:rsidRDefault="00AF504E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C366C2" w:rsidRDefault="00C366C2" w:rsidP="00C366C2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 w:rsidRPr="00766F81">
        <w:rPr>
          <w:rFonts w:ascii="Century Gothic" w:eastAsia="Century Gothic" w:hAnsi="Century Gothic" w:cs="Century Gothic"/>
          <w:b/>
          <w:bCs/>
        </w:rPr>
        <w:t>Segunda</w:t>
      </w:r>
      <w:r w:rsidRPr="00AF504E">
        <w:rPr>
          <w:rFonts w:ascii="Century Gothic" w:eastAsia="Century Gothic" w:hAnsi="Century Gothic" w:cs="Century Gothic"/>
        </w:rPr>
        <w:t>.</w:t>
      </w:r>
      <w:r w:rsidR="00E340C3">
        <w:rPr>
          <w:rFonts w:ascii="Century Gothic" w:eastAsia="Century Gothic" w:hAnsi="Century Gothic" w:cs="Century Gothic"/>
        </w:rPr>
        <w:t xml:space="preserve"> En el caso de</w:t>
      </w:r>
      <w:r w:rsidR="002B4399">
        <w:rPr>
          <w:rFonts w:ascii="Century Gothic" w:eastAsia="Century Gothic" w:hAnsi="Century Gothic" w:cs="Century Gothic"/>
        </w:rPr>
        <w:t xml:space="preserve"> nuestra entidad federativa</w:t>
      </w:r>
      <w:r w:rsidR="00E340C3">
        <w:rPr>
          <w:rFonts w:ascii="Century Gothic" w:eastAsia="Century Gothic" w:hAnsi="Century Gothic" w:cs="Century Gothic"/>
        </w:rPr>
        <w:t>, la Ley de Juventud para el Estado de Chihuahua data de febrero del año 2010. En dicho ordenamiento se esta</w:t>
      </w:r>
      <w:r w:rsidR="00375A34">
        <w:rPr>
          <w:rFonts w:ascii="Century Gothic" w:eastAsia="Century Gothic" w:hAnsi="Century Gothic" w:cs="Century Gothic"/>
        </w:rPr>
        <w:t xml:space="preserve">blece que la persona joven es la que se encuentra entre los 12 y los 29 años de edad, </w:t>
      </w:r>
      <w:r w:rsidR="003D15E3">
        <w:rPr>
          <w:rFonts w:ascii="Century Gothic" w:eastAsia="Century Gothic" w:hAnsi="Century Gothic" w:cs="Century Gothic"/>
        </w:rPr>
        <w:t xml:space="preserve">señalando de manera explícita en </w:t>
      </w:r>
      <w:r w:rsidR="007525A7">
        <w:rPr>
          <w:rFonts w:ascii="Century Gothic" w:eastAsia="Century Gothic" w:hAnsi="Century Gothic" w:cs="Century Gothic"/>
        </w:rPr>
        <w:t>su</w:t>
      </w:r>
      <w:r w:rsidR="003D15E3">
        <w:rPr>
          <w:rFonts w:ascii="Century Gothic" w:eastAsia="Century Gothic" w:hAnsi="Century Gothic" w:cs="Century Gothic"/>
        </w:rPr>
        <w:t xml:space="preserve"> artículo décimo</w:t>
      </w:r>
      <w:r w:rsidR="002B4399">
        <w:rPr>
          <w:rFonts w:ascii="Century Gothic" w:eastAsia="Century Gothic" w:hAnsi="Century Gothic" w:cs="Century Gothic"/>
        </w:rPr>
        <w:t>,</w:t>
      </w:r>
      <w:r w:rsidR="003D15E3">
        <w:rPr>
          <w:rFonts w:ascii="Century Gothic" w:eastAsia="Century Gothic" w:hAnsi="Century Gothic" w:cs="Century Gothic"/>
        </w:rPr>
        <w:t xml:space="preserve"> que </w:t>
      </w:r>
      <w:r w:rsidR="00375A34">
        <w:rPr>
          <w:rFonts w:ascii="Century Gothic" w:eastAsia="Century Gothic" w:hAnsi="Century Gothic" w:cs="Century Gothic"/>
        </w:rPr>
        <w:t xml:space="preserve">la Secretaría de Desarrollo Social del Estado de Chihuahua </w:t>
      </w:r>
      <w:r w:rsidR="007525A7">
        <w:rPr>
          <w:rFonts w:ascii="Century Gothic" w:eastAsia="Century Gothic" w:hAnsi="Century Gothic" w:cs="Century Gothic"/>
        </w:rPr>
        <w:t>definirá</w:t>
      </w:r>
      <w:r w:rsidR="003D15E3">
        <w:rPr>
          <w:rFonts w:ascii="Century Gothic" w:eastAsia="Century Gothic" w:hAnsi="Century Gothic" w:cs="Century Gothic"/>
        </w:rPr>
        <w:t xml:space="preserve"> acciones para que l</w:t>
      </w:r>
      <w:r w:rsidR="00375A34" w:rsidRPr="00375A34">
        <w:rPr>
          <w:rFonts w:ascii="Century Gothic" w:eastAsia="Century Gothic" w:hAnsi="Century Gothic" w:cs="Century Gothic"/>
        </w:rPr>
        <w:t>os objetivos de la política municipal se</w:t>
      </w:r>
      <w:r w:rsidR="003D15E3">
        <w:rPr>
          <w:rFonts w:ascii="Century Gothic" w:eastAsia="Century Gothic" w:hAnsi="Century Gothic" w:cs="Century Gothic"/>
        </w:rPr>
        <w:t>an</w:t>
      </w:r>
      <w:r w:rsidR="00375A34" w:rsidRPr="00375A34">
        <w:rPr>
          <w:rFonts w:ascii="Century Gothic" w:eastAsia="Century Gothic" w:hAnsi="Century Gothic" w:cs="Century Gothic"/>
        </w:rPr>
        <w:t xml:space="preserve"> congruentes con los que correspondan a la política nacional y estatal en la materia, atendiendo a las particularidades propias del municipio</w:t>
      </w:r>
      <w:r w:rsidR="00375A34">
        <w:rPr>
          <w:rFonts w:ascii="Century Gothic" w:eastAsia="Century Gothic" w:hAnsi="Century Gothic" w:cs="Century Gothic"/>
        </w:rPr>
        <w:t>”</w:t>
      </w:r>
      <w:r w:rsidR="00375A34" w:rsidRPr="00375A34">
        <w:rPr>
          <w:rFonts w:ascii="Century Gothic" w:eastAsia="Century Gothic" w:hAnsi="Century Gothic" w:cs="Century Gothic"/>
        </w:rPr>
        <w:t>.</w:t>
      </w:r>
      <w:r w:rsidR="00C95D6D">
        <w:rPr>
          <w:rStyle w:val="Refdenotaalpie"/>
          <w:rFonts w:ascii="Century Gothic" w:eastAsia="Century Gothic" w:hAnsi="Century Gothic" w:cs="Century Gothic"/>
        </w:rPr>
        <w:footnoteReference w:id="2"/>
      </w:r>
    </w:p>
    <w:p w:rsidR="00C366C2" w:rsidRDefault="00C366C2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C366C2" w:rsidRDefault="00C366C2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C366C2" w:rsidRDefault="00C366C2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175E9F" w:rsidRPr="00350410" w:rsidRDefault="00C95D6D" w:rsidP="00175E9F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1E77">
        <w:rPr>
          <w:rFonts w:ascii="Century Gothic" w:eastAsia="Century Gothic" w:hAnsi="Century Gothic" w:cs="Century Gothic"/>
          <w:b/>
          <w:bCs/>
        </w:rPr>
        <w:t>Tercera.</w:t>
      </w:r>
      <w:r>
        <w:rPr>
          <w:rFonts w:ascii="Century Gothic" w:eastAsia="Century Gothic" w:hAnsi="Century Gothic" w:cs="Century Gothic"/>
        </w:rPr>
        <w:t xml:space="preserve"> Para los efectos de operar la Política estatal de atención a la juventud en el Estado, se creó el </w:t>
      </w:r>
      <w:r w:rsidR="00175E9F">
        <w:rPr>
          <w:rFonts w:ascii="Century Gothic" w:eastAsia="Century Gothic" w:hAnsi="Century Gothic" w:cs="Century Gothic"/>
        </w:rPr>
        <w:t xml:space="preserve">Instituto Chihuahuense de la Juventud, como </w:t>
      </w:r>
      <w:r>
        <w:rPr>
          <w:rFonts w:ascii="Century Gothic" w:eastAsia="Century Gothic" w:hAnsi="Century Gothic" w:cs="Century Gothic"/>
        </w:rPr>
        <w:t>Organismo Descentralizado de la Administración Pública Estatal</w:t>
      </w:r>
      <w:r w:rsidR="00175E9F">
        <w:rPr>
          <w:rFonts w:ascii="Century Gothic" w:eastAsia="Century Gothic" w:hAnsi="Century Gothic" w:cs="Century Gothic"/>
        </w:rPr>
        <w:t xml:space="preserve">, del cual el artículo </w:t>
      </w:r>
      <w:r w:rsidR="006B1E77">
        <w:rPr>
          <w:rFonts w:ascii="Century Gothic" w:eastAsia="Century Gothic" w:hAnsi="Century Gothic" w:cs="Century Gothic"/>
        </w:rPr>
        <w:t xml:space="preserve">doce de la Ley de Juventud, </w:t>
      </w:r>
      <w:r w:rsidR="00175E9F">
        <w:rPr>
          <w:rFonts w:ascii="Century Gothic" w:eastAsia="Century Gothic" w:hAnsi="Century Gothic" w:cs="Century Gothic"/>
        </w:rPr>
        <w:t>fracción décimo tercera</w:t>
      </w:r>
      <w:r w:rsidR="007525A7">
        <w:rPr>
          <w:rFonts w:ascii="Century Gothic" w:eastAsia="Century Gothic" w:hAnsi="Century Gothic" w:cs="Century Gothic"/>
        </w:rPr>
        <w:t>,</w:t>
      </w:r>
      <w:r w:rsidR="00175E9F">
        <w:rPr>
          <w:rFonts w:ascii="Century Gothic" w:eastAsia="Century Gothic" w:hAnsi="Century Gothic" w:cs="Century Gothic"/>
        </w:rPr>
        <w:t xml:space="preserve"> señala que una de sus facultades es “</w:t>
      </w:r>
      <w:r w:rsidR="00175E9F" w:rsidRPr="00175E9F">
        <w:rPr>
          <w:rFonts w:ascii="Century Gothic" w:eastAsia="Century Gothic" w:hAnsi="Century Gothic" w:cs="Century Gothic"/>
        </w:rPr>
        <w:t>Impulsar la integración de órganos municipales de atención a la juventud, así como apoyarlos mediante la asesoría y capacitación que requieran para ello</w:t>
      </w:r>
      <w:r w:rsidR="00175E9F">
        <w:rPr>
          <w:rFonts w:ascii="Arial" w:hAnsi="Arial" w:cs="Arial"/>
          <w:sz w:val="20"/>
          <w:szCs w:val="20"/>
        </w:rPr>
        <w:t>”.</w:t>
      </w:r>
    </w:p>
    <w:p w:rsidR="00175E9F" w:rsidRDefault="00175E9F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766F81" w:rsidRDefault="006B1E77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 w:rsidRPr="006B1E77">
        <w:rPr>
          <w:rFonts w:ascii="Century Gothic" w:eastAsia="Century Gothic" w:hAnsi="Century Gothic" w:cs="Century Gothic"/>
          <w:b/>
          <w:bCs/>
        </w:rPr>
        <w:t>Cuarta.</w:t>
      </w:r>
      <w:r>
        <w:rPr>
          <w:rFonts w:ascii="Century Gothic" w:eastAsia="Century Gothic" w:hAnsi="Century Gothic" w:cs="Century Gothic"/>
        </w:rPr>
        <w:t xml:space="preserve"> </w:t>
      </w:r>
      <w:r w:rsidR="00D96BE3">
        <w:rPr>
          <w:rFonts w:ascii="Century Gothic" w:eastAsia="Century Gothic" w:hAnsi="Century Gothic" w:cs="Century Gothic"/>
        </w:rPr>
        <w:t>Con fecha del 21 de enero de 2021, el Instituto Nacional de Geografía y Estadística dio a conocer que de acuerdo con los datos recabados en el Censo de Población y Vivienda 2020, habitan en el estado de Chihuahua  Tres millones, setecientos cuarenta y un mil ochocientos sesenta y nueve personas.</w:t>
      </w:r>
      <w:r w:rsidR="001D78E1">
        <w:rPr>
          <w:rStyle w:val="Refdenotaalpie"/>
          <w:rFonts w:ascii="Century Gothic" w:eastAsia="Century Gothic" w:hAnsi="Century Gothic" w:cs="Century Gothic"/>
        </w:rPr>
        <w:footnoteReference w:id="3"/>
      </w:r>
      <w:r w:rsidR="001D78E1">
        <w:rPr>
          <w:rFonts w:ascii="Century Gothic" w:eastAsia="Century Gothic" w:hAnsi="Century Gothic" w:cs="Century Gothic"/>
        </w:rPr>
        <w:t xml:space="preserve"> De acuerdo con los datos </w:t>
      </w:r>
      <w:r w:rsidR="007525A7">
        <w:rPr>
          <w:rFonts w:ascii="Century Gothic" w:eastAsia="Century Gothic" w:hAnsi="Century Gothic" w:cs="Century Gothic"/>
        </w:rPr>
        <w:t>consultados</w:t>
      </w:r>
      <w:r w:rsidR="001D78E1">
        <w:rPr>
          <w:rFonts w:ascii="Century Gothic" w:eastAsia="Century Gothic" w:hAnsi="Century Gothic" w:cs="Century Gothic"/>
        </w:rPr>
        <w:t xml:space="preserve"> por segment</w:t>
      </w:r>
      <w:r w:rsidR="007525A7">
        <w:rPr>
          <w:rFonts w:ascii="Century Gothic" w:eastAsia="Century Gothic" w:hAnsi="Century Gothic" w:cs="Century Gothic"/>
        </w:rPr>
        <w:t>o de</w:t>
      </w:r>
      <w:r w:rsidR="001D78E1">
        <w:rPr>
          <w:rFonts w:ascii="Century Gothic" w:eastAsia="Century Gothic" w:hAnsi="Century Gothic" w:cs="Century Gothic"/>
        </w:rPr>
        <w:t xml:space="preserve"> edad, </w:t>
      </w:r>
      <w:r w:rsidR="00AF504E">
        <w:rPr>
          <w:rFonts w:ascii="Century Gothic" w:eastAsia="Century Gothic" w:hAnsi="Century Gothic" w:cs="Century Gothic"/>
        </w:rPr>
        <w:t xml:space="preserve">más de la mitad de la población de Chihuahua está conformada por jóvenes y </w:t>
      </w:r>
      <w:r w:rsidR="007525A7">
        <w:rPr>
          <w:rFonts w:ascii="Century Gothic" w:eastAsia="Century Gothic" w:hAnsi="Century Gothic" w:cs="Century Gothic"/>
        </w:rPr>
        <w:t>niños</w:t>
      </w:r>
      <w:r>
        <w:rPr>
          <w:rFonts w:ascii="Century Gothic" w:eastAsia="Century Gothic" w:hAnsi="Century Gothic" w:cs="Century Gothic"/>
        </w:rPr>
        <w:t xml:space="preserve">, destacando que dentro de </w:t>
      </w:r>
      <w:r w:rsidR="00AF504E">
        <w:rPr>
          <w:rFonts w:ascii="Century Gothic" w:eastAsia="Century Gothic" w:hAnsi="Century Gothic" w:cs="Century Gothic"/>
        </w:rPr>
        <w:t>este grupo,</w:t>
      </w:r>
      <w:r w:rsidR="00ED5002">
        <w:rPr>
          <w:rFonts w:ascii="Century Gothic" w:eastAsia="Century Gothic" w:hAnsi="Century Gothic" w:cs="Century Gothic"/>
        </w:rPr>
        <w:t xml:space="preserve"> poco</w:t>
      </w:r>
      <w:r w:rsidR="00AF504E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más de un millón de habitantes</w:t>
      </w:r>
      <w:r w:rsidR="001D78E1">
        <w:rPr>
          <w:rFonts w:ascii="Century Gothic" w:eastAsia="Century Gothic" w:hAnsi="Century Gothic" w:cs="Century Gothic"/>
        </w:rPr>
        <w:t xml:space="preserve"> de Chihuahua son jóvenes entre los 29 y 1</w:t>
      </w:r>
      <w:r>
        <w:rPr>
          <w:rFonts w:ascii="Century Gothic" w:eastAsia="Century Gothic" w:hAnsi="Century Gothic" w:cs="Century Gothic"/>
        </w:rPr>
        <w:t>2</w:t>
      </w:r>
      <w:r w:rsidR="001D78E1">
        <w:rPr>
          <w:rFonts w:ascii="Century Gothic" w:eastAsia="Century Gothic" w:hAnsi="Century Gothic" w:cs="Century Gothic"/>
        </w:rPr>
        <w:t xml:space="preserve"> años</w:t>
      </w:r>
      <w:r w:rsidR="007525A7">
        <w:rPr>
          <w:rFonts w:ascii="Century Gothic" w:eastAsia="Century Gothic" w:hAnsi="Century Gothic" w:cs="Century Gothic"/>
        </w:rPr>
        <w:t xml:space="preserve"> de edad</w:t>
      </w:r>
      <w:r w:rsidR="00AF504E">
        <w:rPr>
          <w:rFonts w:ascii="Century Gothic" w:eastAsia="Century Gothic" w:hAnsi="Century Gothic" w:cs="Century Gothic"/>
        </w:rPr>
        <w:t xml:space="preserve">. </w:t>
      </w:r>
    </w:p>
    <w:p w:rsidR="005259F5" w:rsidRDefault="005259F5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AF4B40" w:rsidRDefault="003B6990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 w:rsidRPr="003B6990">
        <w:rPr>
          <w:rFonts w:ascii="Century Gothic" w:eastAsia="Century Gothic" w:hAnsi="Century Gothic" w:cs="Century Gothic"/>
          <w:b/>
          <w:bCs/>
        </w:rPr>
        <w:t xml:space="preserve">Quinta. </w:t>
      </w:r>
      <w:r w:rsidRPr="003B6990">
        <w:rPr>
          <w:rFonts w:ascii="Century Gothic" w:eastAsia="Century Gothic" w:hAnsi="Century Gothic" w:cs="Century Gothic"/>
        </w:rPr>
        <w:t>De acuerdo con la Presentación de Resultados del Censo de Población y Vivienda 2020, el Municipio con la población más grande de jóvenes con relación a su número de habitantes, se localiza en el Distrito 22  local, y es Batopilas de Gómez Morín, puesto que su población total tiene en promedio 21 años de edad.</w:t>
      </w:r>
      <w:r w:rsidR="007333F1">
        <w:rPr>
          <w:rFonts w:ascii="Century Gothic" w:eastAsia="Century Gothic" w:hAnsi="Century Gothic" w:cs="Century Gothic"/>
        </w:rPr>
        <w:t xml:space="preserve">  </w:t>
      </w:r>
      <w:r w:rsidR="007333F1" w:rsidRPr="007333F1">
        <w:rPr>
          <w:rFonts w:ascii="Century Gothic" w:eastAsia="Century Gothic" w:hAnsi="Century Gothic" w:cs="Century Gothic"/>
        </w:rPr>
        <w:t>Cabe destacar que entre los municipios con la mayor cantidad de población de jóvenes además de Ciudad Juárez, están: Ocampo, Morelos, Batopilas, Guachochi, Guadalupe y Calvo y Aquiles Serdán.</w:t>
      </w:r>
    </w:p>
    <w:p w:rsidR="007333F1" w:rsidRDefault="007333F1" w:rsidP="007333F1">
      <w:pPr>
        <w:spacing w:after="160" w:line="259" w:lineRule="auto"/>
        <w:rPr>
          <w:rFonts w:ascii="Century Gothic" w:eastAsia="Century Gothic" w:hAnsi="Century Gothic" w:cs="Century Gothic"/>
        </w:rPr>
      </w:pPr>
    </w:p>
    <w:p w:rsidR="00AF4B40" w:rsidRDefault="00AF4B40" w:rsidP="007333F1">
      <w:pPr>
        <w:spacing w:after="160" w:line="360" w:lineRule="auto"/>
        <w:jc w:val="both"/>
        <w:rPr>
          <w:rFonts w:ascii="Century Gothic" w:eastAsia="Century Gothic" w:hAnsi="Century Gothic" w:cs="Century Gothic"/>
        </w:rPr>
      </w:pPr>
      <w:r w:rsidRPr="007333F1">
        <w:rPr>
          <w:rFonts w:ascii="Century Gothic" w:eastAsia="Century Gothic" w:hAnsi="Century Gothic" w:cs="Century Gothic"/>
          <w:b/>
          <w:bCs/>
        </w:rPr>
        <w:t>Sexta.</w:t>
      </w:r>
      <w:r>
        <w:rPr>
          <w:rFonts w:ascii="Century Gothic" w:eastAsia="Century Gothic" w:hAnsi="Century Gothic" w:cs="Century Gothic"/>
        </w:rPr>
        <w:t xml:space="preserve"> </w:t>
      </w:r>
      <w:r w:rsidR="00AD5482">
        <w:rPr>
          <w:rFonts w:ascii="Century Gothic" w:eastAsia="Century Gothic" w:hAnsi="Century Gothic" w:cs="Century Gothic"/>
        </w:rPr>
        <w:t xml:space="preserve">Como se puede apreciar, </w:t>
      </w:r>
      <w:r w:rsidR="00B946E0">
        <w:rPr>
          <w:rFonts w:ascii="Century Gothic" w:eastAsia="Century Gothic" w:hAnsi="Century Gothic" w:cs="Century Gothic"/>
        </w:rPr>
        <w:t xml:space="preserve">cuatro de los municipios serranos con mayor cantidad de jóvenes se localizan en el Distrito 22. Cabe destacar que los problemas que aquejan a los jóvenes que habitan en la Sierra Tarahumara en muchas ocasiones se tornan más graves y complejos de los que tienen que enfrentar quienes habitan en las zonas urbanas y en sus periferias. Por ejemplo, un joven que quiere estudiar alguna carrera universitaria en determinadas ramas se tiene que mudar a ciudades como Parral, Chihuahua o Ciudad Juárez, ya que la oferta educativa es bastante limitada en las zonas rurales, incluso si quisiera estudiar en línea, muchas comunidades no tienen siquiera acceso a internet o a las tecnologías  digitales. Asimismo las oportunidades de desarrollo personal, social, económico y profesional son mayores en las zonas urbanas, incluyendo otras actividades propias de la juventud como las deportivas, culturales y empresariales. </w:t>
      </w:r>
    </w:p>
    <w:p w:rsidR="007525A7" w:rsidRDefault="00754DDA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 w:rsidRPr="00754DDA">
        <w:rPr>
          <w:rFonts w:ascii="Century Gothic" w:eastAsia="Century Gothic" w:hAnsi="Century Gothic" w:cs="Century Gothic"/>
          <w:b/>
          <w:bCs/>
        </w:rPr>
        <w:t xml:space="preserve">Séptima. </w:t>
      </w:r>
      <w:r w:rsidRPr="00754DDA">
        <w:rPr>
          <w:rFonts w:ascii="Century Gothic" w:eastAsia="Century Gothic" w:hAnsi="Century Gothic" w:cs="Century Gothic"/>
        </w:rPr>
        <w:t>La juventud actual enfrenta</w:t>
      </w:r>
      <w:r>
        <w:rPr>
          <w:rFonts w:ascii="Century Gothic" w:eastAsia="Century Gothic" w:hAnsi="Century Gothic" w:cs="Century Gothic"/>
        </w:rPr>
        <w:t xml:space="preserve"> numerosos retos y adversidades que en otras generaciones no existían. Uno de ellos es el caso del mayor acceso al conocimiento mediante el uso de nuevas tecnologías,</w:t>
      </w:r>
      <w:r w:rsidR="002A5F0D">
        <w:rPr>
          <w:rFonts w:ascii="Century Gothic" w:eastAsia="Century Gothic" w:hAnsi="Century Gothic" w:cs="Century Gothic"/>
        </w:rPr>
        <w:t xml:space="preserve"> así como de</w:t>
      </w:r>
      <w:r>
        <w:rPr>
          <w:rFonts w:ascii="Century Gothic" w:eastAsia="Century Gothic" w:hAnsi="Century Gothic" w:cs="Century Gothic"/>
        </w:rPr>
        <w:t xml:space="preserve"> la información digital, la </w:t>
      </w:r>
      <w:r w:rsidR="002A5F0D">
        <w:rPr>
          <w:rFonts w:ascii="Century Gothic" w:eastAsia="Century Gothic" w:hAnsi="Century Gothic" w:cs="Century Gothic"/>
        </w:rPr>
        <w:t>formación mediante la educación en línea</w:t>
      </w:r>
      <w:r>
        <w:rPr>
          <w:rFonts w:ascii="Century Gothic" w:eastAsia="Century Gothic" w:hAnsi="Century Gothic" w:cs="Century Gothic"/>
        </w:rPr>
        <w:t>, el</w:t>
      </w:r>
      <w:r w:rsidR="002A5F0D">
        <w:rPr>
          <w:rFonts w:ascii="Century Gothic" w:eastAsia="Century Gothic" w:hAnsi="Century Gothic" w:cs="Century Gothic"/>
        </w:rPr>
        <w:t xml:space="preserve"> tele</w:t>
      </w:r>
      <w:r>
        <w:rPr>
          <w:rFonts w:ascii="Century Gothic" w:eastAsia="Century Gothic" w:hAnsi="Century Gothic" w:cs="Century Gothic"/>
        </w:rPr>
        <w:t xml:space="preserve"> trabajo y </w:t>
      </w:r>
      <w:r w:rsidR="002A5F0D">
        <w:rPr>
          <w:rFonts w:ascii="Century Gothic" w:eastAsia="Century Gothic" w:hAnsi="Century Gothic" w:cs="Century Gothic"/>
        </w:rPr>
        <w:t>otras áreas de superación profesional y humana que solamente pueden ser accesibles mediante la tecnología y el internet</w:t>
      </w:r>
      <w:r w:rsidR="0081248C">
        <w:rPr>
          <w:rFonts w:ascii="Century Gothic" w:eastAsia="Century Gothic" w:hAnsi="Century Gothic" w:cs="Century Gothic"/>
        </w:rPr>
        <w:t xml:space="preserve">. Sin embargo, no todos los jóvenes pueden acceder a estas ventajas y nuevos entornos, toda vez que hay municipios, </w:t>
      </w:r>
      <w:r w:rsidR="002A5F0D">
        <w:rPr>
          <w:rFonts w:ascii="Century Gothic" w:eastAsia="Century Gothic" w:hAnsi="Century Gothic" w:cs="Century Gothic"/>
        </w:rPr>
        <w:t>-</w:t>
      </w:r>
      <w:r w:rsidR="0081248C">
        <w:rPr>
          <w:rFonts w:ascii="Century Gothic" w:eastAsia="Century Gothic" w:hAnsi="Century Gothic" w:cs="Century Gothic"/>
        </w:rPr>
        <w:t>solamente por citar el caso de Guadalupe y Calvo</w:t>
      </w:r>
      <w:r w:rsidR="002A5F0D">
        <w:rPr>
          <w:rFonts w:ascii="Century Gothic" w:eastAsia="Century Gothic" w:hAnsi="Century Gothic" w:cs="Century Gothic"/>
        </w:rPr>
        <w:t>-</w:t>
      </w:r>
      <w:r w:rsidR="0081248C">
        <w:rPr>
          <w:rFonts w:ascii="Century Gothic" w:eastAsia="Century Gothic" w:hAnsi="Century Gothic" w:cs="Century Gothic"/>
        </w:rPr>
        <w:t xml:space="preserve"> que además de tener una gran dispersión poblacional, </w:t>
      </w:r>
      <w:r w:rsidR="002A5F0D">
        <w:rPr>
          <w:rFonts w:ascii="Century Gothic" w:eastAsia="Century Gothic" w:hAnsi="Century Gothic" w:cs="Century Gothic"/>
        </w:rPr>
        <w:t>tienen</w:t>
      </w:r>
      <w:r w:rsidR="0081248C">
        <w:rPr>
          <w:rFonts w:ascii="Century Gothic" w:eastAsia="Century Gothic" w:hAnsi="Century Gothic" w:cs="Century Gothic"/>
        </w:rPr>
        <w:t xml:space="preserve"> incluso comunidades </w:t>
      </w:r>
      <w:r w:rsidR="002A5F0D">
        <w:rPr>
          <w:rFonts w:ascii="Century Gothic" w:eastAsia="Century Gothic" w:hAnsi="Century Gothic" w:cs="Century Gothic"/>
        </w:rPr>
        <w:t xml:space="preserve">que </w:t>
      </w:r>
      <w:r w:rsidR="0081248C">
        <w:rPr>
          <w:rFonts w:ascii="Century Gothic" w:eastAsia="Century Gothic" w:hAnsi="Century Gothic" w:cs="Century Gothic"/>
        </w:rPr>
        <w:t>no cuentan con internet</w:t>
      </w:r>
      <w:r w:rsidR="007525A7">
        <w:rPr>
          <w:rFonts w:ascii="Century Gothic" w:eastAsia="Century Gothic" w:hAnsi="Century Gothic" w:cs="Century Gothic"/>
        </w:rPr>
        <w:t>.</w:t>
      </w:r>
    </w:p>
    <w:p w:rsidR="007525A7" w:rsidRDefault="007525A7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81248C" w:rsidRDefault="007525A7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Mucho</w:t>
      </w:r>
      <w:r w:rsidR="0081248C">
        <w:rPr>
          <w:rFonts w:ascii="Century Gothic" w:eastAsia="Century Gothic" w:hAnsi="Century Gothic" w:cs="Century Gothic"/>
        </w:rPr>
        <w:t xml:space="preserve"> menos</w:t>
      </w:r>
      <w:r>
        <w:rPr>
          <w:rFonts w:ascii="Century Gothic" w:eastAsia="Century Gothic" w:hAnsi="Century Gothic" w:cs="Century Gothic"/>
        </w:rPr>
        <w:t>, municipios de la sierra tampoco cuentan con suficientes</w:t>
      </w:r>
      <w:r w:rsidR="0081248C">
        <w:rPr>
          <w:rFonts w:ascii="Century Gothic" w:eastAsia="Century Gothic" w:hAnsi="Century Gothic" w:cs="Century Gothic"/>
        </w:rPr>
        <w:t xml:space="preserve"> computadoras</w:t>
      </w:r>
      <w:r w:rsidR="002A5F0D">
        <w:rPr>
          <w:rFonts w:ascii="Century Gothic" w:eastAsia="Century Gothic" w:hAnsi="Century Gothic" w:cs="Century Gothic"/>
        </w:rPr>
        <w:t>, por lo que sus habitantes que son  mayormente jóvenes, no tienen las mismas</w:t>
      </w:r>
      <w:r w:rsidR="0081248C">
        <w:rPr>
          <w:rFonts w:ascii="Century Gothic" w:eastAsia="Century Gothic" w:hAnsi="Century Gothic" w:cs="Century Gothic"/>
        </w:rPr>
        <w:t xml:space="preserve"> oportunidades </w:t>
      </w:r>
      <w:r w:rsidR="002A5F0D">
        <w:rPr>
          <w:rFonts w:ascii="Century Gothic" w:eastAsia="Century Gothic" w:hAnsi="Century Gothic" w:cs="Century Gothic"/>
        </w:rPr>
        <w:t>de quienes si tienen acceso a esas ventajas, todo lo cual limita su desarrollo personal y humano.</w:t>
      </w:r>
    </w:p>
    <w:p w:rsidR="0081248C" w:rsidRDefault="0081248C" w:rsidP="009B745A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180995" w:rsidRDefault="00D74549" w:rsidP="00D74549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</w:rPr>
        <w:t>O</w:t>
      </w:r>
      <w:r w:rsidR="00F467F6" w:rsidRPr="00F467F6">
        <w:rPr>
          <w:rFonts w:ascii="Century Gothic" w:eastAsia="Century Gothic" w:hAnsi="Century Gothic" w:cs="Century Gothic"/>
          <w:b/>
          <w:bCs/>
        </w:rPr>
        <w:t>ctava.</w:t>
      </w:r>
      <w:r w:rsidR="00F467F6">
        <w:rPr>
          <w:rFonts w:ascii="Century Gothic" w:eastAsia="Century Gothic" w:hAnsi="Century Gothic" w:cs="Century Gothic"/>
        </w:rPr>
        <w:t xml:space="preserve"> </w:t>
      </w:r>
      <w:r w:rsidR="00861EDC">
        <w:rPr>
          <w:rFonts w:ascii="Century Gothic" w:eastAsia="Century Gothic" w:hAnsi="Century Gothic" w:cs="Century Gothic"/>
        </w:rPr>
        <w:t>Hoy es fundamental que los gobierno</w:t>
      </w:r>
      <w:r w:rsidR="006477DB">
        <w:rPr>
          <w:rFonts w:ascii="Century Gothic" w:eastAsia="Century Gothic" w:hAnsi="Century Gothic" w:cs="Century Gothic"/>
        </w:rPr>
        <w:t>s</w:t>
      </w:r>
      <w:r w:rsidR="00861EDC">
        <w:rPr>
          <w:rFonts w:ascii="Century Gothic" w:eastAsia="Century Gothic" w:hAnsi="Century Gothic" w:cs="Century Gothic"/>
        </w:rPr>
        <w:t xml:space="preserve"> estatal y municipales, </w:t>
      </w:r>
      <w:r w:rsidR="007525A7">
        <w:rPr>
          <w:rFonts w:ascii="Century Gothic" w:eastAsia="Century Gothic" w:hAnsi="Century Gothic" w:cs="Century Gothic"/>
        </w:rPr>
        <w:t>entiendan</w:t>
      </w:r>
      <w:r w:rsidR="00861EDC">
        <w:rPr>
          <w:rFonts w:ascii="Century Gothic" w:eastAsia="Century Gothic" w:hAnsi="Century Gothic" w:cs="Century Gothic"/>
        </w:rPr>
        <w:t xml:space="preserve"> que la atención </w:t>
      </w:r>
      <w:r w:rsidR="009A1AB6">
        <w:rPr>
          <w:rFonts w:ascii="Century Gothic" w:eastAsia="Century Gothic" w:hAnsi="Century Gothic" w:cs="Century Gothic"/>
        </w:rPr>
        <w:t>hacia</w:t>
      </w:r>
      <w:r w:rsidR="007525A7">
        <w:rPr>
          <w:rFonts w:ascii="Century Gothic" w:eastAsia="Century Gothic" w:hAnsi="Century Gothic" w:cs="Century Gothic"/>
        </w:rPr>
        <w:t xml:space="preserve"> los</w:t>
      </w:r>
      <w:r w:rsidR="00861EDC">
        <w:rPr>
          <w:rFonts w:ascii="Century Gothic" w:eastAsia="Century Gothic" w:hAnsi="Century Gothic" w:cs="Century Gothic"/>
        </w:rPr>
        <w:t xml:space="preserve"> </w:t>
      </w:r>
      <w:r w:rsidR="007525A7">
        <w:rPr>
          <w:rFonts w:ascii="Century Gothic" w:eastAsia="Century Gothic" w:hAnsi="Century Gothic" w:cs="Century Gothic"/>
        </w:rPr>
        <w:t>jóvenes</w:t>
      </w:r>
      <w:r w:rsidR="00C97C30">
        <w:rPr>
          <w:rFonts w:ascii="Century Gothic" w:eastAsia="Century Gothic" w:hAnsi="Century Gothic" w:cs="Century Gothic"/>
        </w:rPr>
        <w:t>,</w:t>
      </w:r>
      <w:r w:rsidR="00861EDC">
        <w:rPr>
          <w:rFonts w:ascii="Century Gothic" w:eastAsia="Century Gothic" w:hAnsi="Century Gothic" w:cs="Century Gothic"/>
        </w:rPr>
        <w:t xml:space="preserve"> requiere de política </w:t>
      </w:r>
      <w:r w:rsidR="006477DB">
        <w:rPr>
          <w:rFonts w:ascii="Century Gothic" w:eastAsia="Century Gothic" w:hAnsi="Century Gothic" w:cs="Century Gothic"/>
        </w:rPr>
        <w:t>públicas</w:t>
      </w:r>
      <w:r w:rsidR="00861EDC">
        <w:rPr>
          <w:rFonts w:ascii="Century Gothic" w:eastAsia="Century Gothic" w:hAnsi="Century Gothic" w:cs="Century Gothic"/>
        </w:rPr>
        <w:t xml:space="preserve"> orientadas con visión de futuro. El mundo está cambiando y las formas de desarrollo humano, social y personal también están cambiando con el desarrollo tecnológico y el relevo generacional, de ahí que hoy por hoy, sea fundamental que los gobierno</w:t>
      </w:r>
      <w:r w:rsidR="006477DB">
        <w:rPr>
          <w:rFonts w:ascii="Century Gothic" w:eastAsia="Century Gothic" w:hAnsi="Century Gothic" w:cs="Century Gothic"/>
        </w:rPr>
        <w:t>s</w:t>
      </w:r>
      <w:r w:rsidR="00861EDC">
        <w:rPr>
          <w:rFonts w:ascii="Century Gothic" w:eastAsia="Century Gothic" w:hAnsi="Century Gothic" w:cs="Century Gothic"/>
        </w:rPr>
        <w:t xml:space="preserve"> municipales cuenten con áreas especificas de atención, promoción y apoyo a la juventud. Las políticas de atención a la juventud deben ser integrales y no paliativas. La pobreza, el rezago y la marginación nunca se van a resolver regalando dinero de los contribuyentes que sí trabajan, a la gente joven que no trabaja ni es productiva. Tampoco se van a resolver </w:t>
      </w:r>
      <w:r w:rsidR="00180995">
        <w:rPr>
          <w:rFonts w:ascii="Century Gothic" w:eastAsia="Century Gothic" w:hAnsi="Century Gothic" w:cs="Century Gothic"/>
        </w:rPr>
        <w:t>si seguimos pensando que atender a los jóvenes es abrir centros de rehabilitación para las adicciones, en lugar de proveerles espacios creativos y de desarrollo humano que les permitan alcanzar una vida plena a través de</w:t>
      </w:r>
      <w:r w:rsidR="00405028">
        <w:rPr>
          <w:rFonts w:ascii="Century Gothic" w:eastAsia="Century Gothic" w:hAnsi="Century Gothic" w:cs="Century Gothic"/>
        </w:rPr>
        <w:t xml:space="preserve"> las </w:t>
      </w:r>
      <w:r w:rsidR="00180995">
        <w:rPr>
          <w:rFonts w:ascii="Century Gothic" w:eastAsia="Century Gothic" w:hAnsi="Century Gothic" w:cs="Century Gothic"/>
        </w:rPr>
        <w:t>arte</w:t>
      </w:r>
      <w:r w:rsidR="00405028">
        <w:rPr>
          <w:rFonts w:ascii="Century Gothic" w:eastAsia="Century Gothic" w:hAnsi="Century Gothic" w:cs="Century Gothic"/>
        </w:rPr>
        <w:t>s</w:t>
      </w:r>
      <w:r w:rsidR="00180995">
        <w:rPr>
          <w:rFonts w:ascii="Century Gothic" w:eastAsia="Century Gothic" w:hAnsi="Century Gothic" w:cs="Century Gothic"/>
        </w:rPr>
        <w:t>, la cultura, la ciencia</w:t>
      </w:r>
      <w:r w:rsidR="00B93A14">
        <w:rPr>
          <w:rFonts w:ascii="Century Gothic" w:eastAsia="Century Gothic" w:hAnsi="Century Gothic" w:cs="Century Gothic"/>
        </w:rPr>
        <w:t xml:space="preserve">, el deporte </w:t>
      </w:r>
      <w:r w:rsidR="00180995">
        <w:rPr>
          <w:rFonts w:ascii="Century Gothic" w:eastAsia="Century Gothic" w:hAnsi="Century Gothic" w:cs="Century Gothic"/>
        </w:rPr>
        <w:t xml:space="preserve">y </w:t>
      </w:r>
      <w:r w:rsidR="00405028">
        <w:rPr>
          <w:rFonts w:ascii="Century Gothic" w:eastAsia="Century Gothic" w:hAnsi="Century Gothic" w:cs="Century Gothic"/>
        </w:rPr>
        <w:t>la educación.</w:t>
      </w:r>
    </w:p>
    <w:p w:rsidR="00180995" w:rsidRDefault="00180995" w:rsidP="00D74549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</w:p>
    <w:p w:rsidR="00D47BCF" w:rsidRDefault="00227D37" w:rsidP="00D47BC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 por ello que c</w:t>
      </w:r>
      <w:r w:rsidR="004B4538" w:rsidRPr="004B4538">
        <w:rPr>
          <w:rFonts w:ascii="Century Gothic" w:eastAsia="Century Gothic" w:hAnsi="Century Gothic" w:cs="Century Gothic"/>
        </w:rPr>
        <w:t>on base en las consideraciones expuestas, m</w:t>
      </w:r>
      <w:r w:rsidR="00D47BCF" w:rsidRPr="004B4538">
        <w:rPr>
          <w:rFonts w:ascii="Century Gothic" w:eastAsia="Century Gothic" w:hAnsi="Century Gothic" w:cs="Century Gothic"/>
        </w:rPr>
        <w:t>e</w:t>
      </w:r>
      <w:r w:rsidR="00D47BCF" w:rsidRPr="00D47BCF">
        <w:rPr>
          <w:rFonts w:ascii="Century Gothic" w:eastAsia="Century Gothic" w:hAnsi="Century Gothic" w:cs="Century Gothic"/>
        </w:rPr>
        <w:t xml:space="preserve"> permito someter </w:t>
      </w:r>
      <w:r w:rsidR="004B4538">
        <w:rPr>
          <w:rFonts w:ascii="Century Gothic" w:eastAsia="Century Gothic" w:hAnsi="Century Gothic" w:cs="Century Gothic"/>
        </w:rPr>
        <w:t>ante</w:t>
      </w:r>
      <w:r w:rsidR="00D47BCF" w:rsidRPr="00D47BCF">
        <w:rPr>
          <w:rFonts w:ascii="Century Gothic" w:eastAsia="Century Gothic" w:hAnsi="Century Gothic" w:cs="Century Gothic"/>
        </w:rPr>
        <w:t xml:space="preserve"> esta </w:t>
      </w:r>
      <w:r w:rsidR="004B4538">
        <w:rPr>
          <w:rFonts w:ascii="Century Gothic" w:eastAsia="Century Gothic" w:hAnsi="Century Gothic" w:cs="Century Gothic"/>
        </w:rPr>
        <w:t xml:space="preserve">Honorable </w:t>
      </w:r>
      <w:r w:rsidR="008F4DCA">
        <w:rPr>
          <w:rFonts w:ascii="Century Gothic" w:eastAsia="Century Gothic" w:hAnsi="Century Gothic" w:cs="Century Gothic"/>
        </w:rPr>
        <w:t>Asamblea</w:t>
      </w:r>
      <w:r w:rsidR="00D47BCF" w:rsidRPr="00D47BCF">
        <w:rPr>
          <w:rFonts w:ascii="Century Gothic" w:eastAsia="Century Gothic" w:hAnsi="Century Gothic" w:cs="Century Gothic"/>
        </w:rPr>
        <w:t>, el siguiente proyecto de:</w:t>
      </w:r>
    </w:p>
    <w:p w:rsidR="008F4DCA" w:rsidRDefault="008F4DCA" w:rsidP="003525A3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D47BCF" w:rsidRPr="00D47BCF" w:rsidRDefault="00D47BCF" w:rsidP="003525A3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  <w:r w:rsidRPr="00D47BCF">
        <w:rPr>
          <w:rFonts w:ascii="Century Gothic" w:eastAsia="Century Gothic" w:hAnsi="Century Gothic" w:cs="Century Gothic"/>
          <w:b/>
        </w:rPr>
        <w:t>ACUERDO</w:t>
      </w:r>
    </w:p>
    <w:p w:rsidR="004B4538" w:rsidRPr="00F85534" w:rsidRDefault="004B4538" w:rsidP="004B4538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Cs/>
          <w:lang w:val="es-ES"/>
        </w:rPr>
      </w:pPr>
      <w:r>
        <w:rPr>
          <w:rFonts w:ascii="Century Gothic" w:eastAsia="Century Gothic" w:hAnsi="Century Gothic" w:cs="Century Gothic"/>
          <w:b/>
          <w:lang w:val="es-ES"/>
        </w:rPr>
        <w:t>PRIMERO</w:t>
      </w:r>
      <w:r w:rsidR="00D47BCF" w:rsidRPr="00D47BCF">
        <w:rPr>
          <w:rFonts w:ascii="Century Gothic" w:eastAsia="Century Gothic" w:hAnsi="Century Gothic" w:cs="Century Gothic"/>
          <w:lang w:val="es-ES"/>
        </w:rPr>
        <w:t xml:space="preserve">. </w:t>
      </w:r>
      <w:r w:rsidR="007A79BB" w:rsidRPr="003525A3">
        <w:rPr>
          <w:rFonts w:ascii="Century Gothic" w:eastAsia="Century Gothic" w:hAnsi="Century Gothic" w:cs="Century Gothic"/>
          <w:lang w:val="es-ES"/>
        </w:rPr>
        <w:t>El</w:t>
      </w:r>
      <w:r w:rsidR="00D47BCF" w:rsidRPr="003525A3">
        <w:rPr>
          <w:rFonts w:ascii="Century Gothic" w:eastAsia="Century Gothic" w:hAnsi="Century Gothic" w:cs="Century Gothic"/>
          <w:lang w:val="es-ES"/>
        </w:rPr>
        <w:t xml:space="preserve"> Honorable Congreso del Estado de Chihuahua, exhorta de manera respetuosa </w:t>
      </w:r>
      <w:r w:rsidR="00227D37" w:rsidRPr="00F85534">
        <w:rPr>
          <w:rFonts w:ascii="Century Gothic" w:eastAsia="Century Gothic" w:hAnsi="Century Gothic" w:cs="Century Gothic"/>
          <w:bCs/>
          <w:lang w:val="es-ES"/>
        </w:rPr>
        <w:t>a los 67 Ayuntamientos del Estado, Presidentes Municipales y Regidores, para que en el marco de sus facultades, competencias y demarcaciones respectivas, conformen y pongan en funcionamiento Institutos Municipales de Atención a la Juventud, a efecto de que las políticas p</w:t>
      </w:r>
      <w:r w:rsidR="00A0107E">
        <w:rPr>
          <w:rFonts w:ascii="Century Gothic" w:eastAsia="Century Gothic" w:hAnsi="Century Gothic" w:cs="Century Gothic"/>
          <w:bCs/>
          <w:lang w:val="es-ES"/>
        </w:rPr>
        <w:t>ú</w:t>
      </w:r>
      <w:r w:rsidR="00227D37" w:rsidRPr="00F85534">
        <w:rPr>
          <w:rFonts w:ascii="Century Gothic" w:eastAsia="Century Gothic" w:hAnsi="Century Gothic" w:cs="Century Gothic"/>
          <w:bCs/>
          <w:lang w:val="es-ES"/>
        </w:rPr>
        <w:t xml:space="preserve">blicas dirigidas a dicha población, estén orientadas al desarrollo de las capacidades humanas, artísticas, culturales, deportivas, productivas y económicas, entre otras, de manera que las y los jóvenes Chihuahuenses cuenten con </w:t>
      </w:r>
      <w:r w:rsidR="006477DB" w:rsidRPr="00F85534">
        <w:rPr>
          <w:rFonts w:ascii="Century Gothic" w:eastAsia="Century Gothic" w:hAnsi="Century Gothic" w:cs="Century Gothic"/>
          <w:bCs/>
          <w:lang w:val="es-ES"/>
        </w:rPr>
        <w:t>más</w:t>
      </w:r>
      <w:r w:rsidR="00227D37" w:rsidRPr="00F85534">
        <w:rPr>
          <w:rFonts w:ascii="Century Gothic" w:eastAsia="Century Gothic" w:hAnsi="Century Gothic" w:cs="Century Gothic"/>
          <w:bCs/>
          <w:lang w:val="es-ES"/>
        </w:rPr>
        <w:t xml:space="preserve"> y mejores oportunidades de participación</w:t>
      </w:r>
      <w:r w:rsidR="007525A7">
        <w:rPr>
          <w:rFonts w:ascii="Century Gothic" w:eastAsia="Century Gothic" w:hAnsi="Century Gothic" w:cs="Century Gothic"/>
          <w:bCs/>
          <w:lang w:val="es-ES"/>
        </w:rPr>
        <w:t xml:space="preserve"> y desarrollo</w:t>
      </w:r>
      <w:r w:rsidR="00227D37" w:rsidRPr="00F85534">
        <w:rPr>
          <w:rFonts w:ascii="Century Gothic" w:eastAsia="Century Gothic" w:hAnsi="Century Gothic" w:cs="Century Gothic"/>
          <w:bCs/>
          <w:lang w:val="es-ES"/>
        </w:rPr>
        <w:t xml:space="preserve"> en la vida social del Estado.</w:t>
      </w:r>
    </w:p>
    <w:p w:rsidR="00C35887" w:rsidRDefault="00C35887" w:rsidP="004B4538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C35887" w:rsidRPr="003525A3" w:rsidRDefault="00C35887" w:rsidP="004B4538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lang w:val="es-ES"/>
        </w:rPr>
      </w:pPr>
      <w:r>
        <w:rPr>
          <w:rFonts w:ascii="Century Gothic" w:eastAsia="Century Gothic" w:hAnsi="Century Gothic" w:cs="Century Gothic"/>
          <w:b/>
          <w:lang w:val="es-ES"/>
        </w:rPr>
        <w:t xml:space="preserve">SEGUNDO. </w:t>
      </w:r>
      <w:r w:rsidRPr="003525A3">
        <w:rPr>
          <w:rFonts w:ascii="Century Gothic" w:eastAsia="Century Gothic" w:hAnsi="Century Gothic" w:cs="Century Gothic"/>
          <w:lang w:val="es-ES"/>
        </w:rPr>
        <w:t>El Honorable Congreso del Estado de Chihuahua, exhorta de manera respetuosa</w:t>
      </w:r>
      <w:r>
        <w:rPr>
          <w:rFonts w:ascii="Century Gothic" w:eastAsia="Century Gothic" w:hAnsi="Century Gothic" w:cs="Century Gothic"/>
          <w:lang w:val="es-ES"/>
        </w:rPr>
        <w:t xml:space="preserve"> a la Lic. </w:t>
      </w:r>
      <w:r w:rsidRPr="00C35887">
        <w:rPr>
          <w:rFonts w:ascii="Century Gothic" w:eastAsia="Century Gothic" w:hAnsi="Century Gothic" w:cs="Century Gothic"/>
          <w:lang w:val="es-ES"/>
        </w:rPr>
        <w:t>Lucero Nieto Romero</w:t>
      </w:r>
      <w:r>
        <w:rPr>
          <w:rFonts w:ascii="Century Gothic" w:eastAsia="Century Gothic" w:hAnsi="Century Gothic" w:cs="Century Gothic"/>
          <w:lang w:val="es-ES"/>
        </w:rPr>
        <w:t>, Directora del Instituto Chihuahuense de la Juventud,  para que en el ámbito de sus responsabilidades y competencias, otorgue apoyo y asesoría a los 67 Ayuntamientos del Estado</w:t>
      </w:r>
      <w:r w:rsidR="007525A7">
        <w:rPr>
          <w:rFonts w:ascii="Century Gothic" w:eastAsia="Century Gothic" w:hAnsi="Century Gothic" w:cs="Century Gothic"/>
          <w:lang w:val="es-ES"/>
        </w:rPr>
        <w:t>,</w:t>
      </w:r>
      <w:r>
        <w:rPr>
          <w:rFonts w:ascii="Century Gothic" w:eastAsia="Century Gothic" w:hAnsi="Century Gothic" w:cs="Century Gothic"/>
          <w:lang w:val="es-ES"/>
        </w:rPr>
        <w:t xml:space="preserve"> a efecto de que en el ámbito de sus respectivas atribuciones, generen mayores espacios de inclusión y desarrollo humano entre la población de jóvenes entre los 12 y 29 años de edad, mediante la creación de Institutos Municipales de la Juventud</w:t>
      </w:r>
      <w:r w:rsidR="007525A7">
        <w:rPr>
          <w:rFonts w:ascii="Century Gothic" w:eastAsia="Century Gothic" w:hAnsi="Century Gothic" w:cs="Century Gothic"/>
          <w:lang w:val="es-ES"/>
        </w:rPr>
        <w:t>;</w:t>
      </w:r>
      <w:r>
        <w:rPr>
          <w:rFonts w:ascii="Century Gothic" w:eastAsia="Century Gothic" w:hAnsi="Century Gothic" w:cs="Century Gothic"/>
          <w:lang w:val="es-ES"/>
        </w:rPr>
        <w:t xml:space="preserve"> o al menos, de una oficina específica que brinde apoyo y atención a este segmento de la población chihuahuense.</w:t>
      </w:r>
    </w:p>
    <w:p w:rsidR="004B4538" w:rsidRDefault="004B4538" w:rsidP="004B4538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D47BCF" w:rsidRPr="00D47BCF" w:rsidRDefault="00D47BCF" w:rsidP="00D47BCF">
      <w:pPr>
        <w:spacing w:after="200" w:line="360" w:lineRule="auto"/>
        <w:jc w:val="both"/>
        <w:rPr>
          <w:rFonts w:ascii="Century Gothic" w:hAnsi="Century Gothic"/>
        </w:rPr>
      </w:pPr>
      <w:r w:rsidRPr="00D47BCF">
        <w:rPr>
          <w:rFonts w:ascii="Century Gothic" w:eastAsia="Century Gothic" w:hAnsi="Century Gothic" w:cs="Century Gothic"/>
          <w:b/>
        </w:rPr>
        <w:t>ECONÓMICO.-</w:t>
      </w:r>
      <w:r w:rsidRPr="00D47BCF">
        <w:rPr>
          <w:rFonts w:ascii="Century Gothic" w:eastAsia="Century Gothic" w:hAnsi="Century Gothic" w:cs="Century Gothic"/>
        </w:rPr>
        <w:t xml:space="preserve"> Aprobado que sea, túrnese a la Secretaría para que elabore la Minuta de Acuerdo correspondiente.</w:t>
      </w:r>
    </w:p>
    <w:p w:rsidR="007525A7" w:rsidRDefault="007525A7" w:rsidP="00F85534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:rsidR="007525A7" w:rsidRDefault="007525A7" w:rsidP="00F85534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:rsidR="007525A7" w:rsidRDefault="007525A7" w:rsidP="00F85534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:rsidR="00D47BCF" w:rsidRDefault="00D47BCF" w:rsidP="00F85534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 w:rsidRPr="00D47BCF">
        <w:rPr>
          <w:rFonts w:ascii="Century Gothic" w:eastAsia="Century Gothic" w:hAnsi="Century Gothic" w:cs="Century Gothic"/>
          <w:b/>
        </w:rPr>
        <w:t>D A D O</w:t>
      </w:r>
      <w:r w:rsidRPr="00D47BCF">
        <w:rPr>
          <w:rFonts w:ascii="Century Gothic" w:eastAsia="Century Gothic" w:hAnsi="Century Gothic" w:cs="Century Gothic"/>
        </w:rPr>
        <w:t xml:space="preserve"> en </w:t>
      </w:r>
      <w:r w:rsidR="001A746B">
        <w:rPr>
          <w:rFonts w:ascii="Century Gothic" w:eastAsia="Century Gothic" w:hAnsi="Century Gothic" w:cs="Century Gothic"/>
        </w:rPr>
        <w:t>Sesión Virtual y/o de Acceso Remoto del Poder Legislativo de Chihuahua</w:t>
      </w:r>
      <w:r w:rsidRPr="00D47BCF">
        <w:rPr>
          <w:rFonts w:ascii="Century Gothic" w:eastAsia="Century Gothic" w:hAnsi="Century Gothic" w:cs="Century Gothic"/>
        </w:rPr>
        <w:t xml:space="preserve">, </w:t>
      </w:r>
      <w:r w:rsidR="001A746B">
        <w:rPr>
          <w:rFonts w:ascii="Century Gothic" w:eastAsia="Century Gothic" w:hAnsi="Century Gothic" w:cs="Century Gothic"/>
        </w:rPr>
        <w:t>a los 6 días</w:t>
      </w:r>
      <w:r w:rsidRPr="00D47BCF">
        <w:rPr>
          <w:rFonts w:ascii="Century Gothic" w:eastAsia="Century Gothic" w:hAnsi="Century Gothic" w:cs="Century Gothic"/>
        </w:rPr>
        <w:t xml:space="preserve"> del mes de </w:t>
      </w:r>
      <w:r w:rsidR="00F4111F">
        <w:rPr>
          <w:rFonts w:ascii="Century Gothic" w:eastAsia="Century Gothic" w:hAnsi="Century Gothic" w:cs="Century Gothic"/>
        </w:rPr>
        <w:t>abril</w:t>
      </w:r>
      <w:r w:rsidRPr="00D47BCF">
        <w:rPr>
          <w:rFonts w:ascii="Century Gothic" w:eastAsia="Century Gothic" w:hAnsi="Century Gothic" w:cs="Century Gothic"/>
        </w:rPr>
        <w:t xml:space="preserve"> del año </w:t>
      </w:r>
      <w:r w:rsidR="001A746B">
        <w:rPr>
          <w:rFonts w:ascii="Century Gothic" w:eastAsia="Century Gothic" w:hAnsi="Century Gothic" w:cs="Century Gothic"/>
        </w:rPr>
        <w:t>2021</w:t>
      </w:r>
      <w:r w:rsidRPr="00D47BCF">
        <w:rPr>
          <w:rFonts w:ascii="Century Gothic" w:eastAsia="Century Gothic" w:hAnsi="Century Gothic" w:cs="Century Gothic"/>
        </w:rPr>
        <w:t>.</w:t>
      </w:r>
    </w:p>
    <w:p w:rsidR="007525A7" w:rsidRDefault="007525A7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7525A7" w:rsidRDefault="007525A7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D47BCF" w:rsidRPr="00D47BCF" w:rsidRDefault="00D47BCF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  <w:r w:rsidRPr="00D47BCF">
        <w:rPr>
          <w:rFonts w:ascii="Century Gothic" w:eastAsia="Century Gothic" w:hAnsi="Century Gothic" w:cs="Century Gothic"/>
          <w:b/>
        </w:rPr>
        <w:t>A T E N T A M E N T E</w:t>
      </w:r>
    </w:p>
    <w:p w:rsidR="00D47BCF" w:rsidRDefault="00D47BCF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4E23A4" w:rsidRDefault="004E23A4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4E23A4" w:rsidRPr="00D47BCF" w:rsidRDefault="004E23A4" w:rsidP="00D47BCF">
      <w:pPr>
        <w:spacing w:after="200" w:line="360" w:lineRule="auto"/>
        <w:jc w:val="center"/>
        <w:rPr>
          <w:rFonts w:ascii="Century Gothic" w:eastAsia="Century Gothic" w:hAnsi="Century Gothic" w:cs="Century Gothic"/>
          <w:b/>
        </w:rPr>
      </w:pPr>
    </w:p>
    <w:p w:rsidR="00D47BCF" w:rsidRPr="00D47BCF" w:rsidRDefault="00D47BCF" w:rsidP="00D47BCF">
      <w:pPr>
        <w:spacing w:after="200" w:line="360" w:lineRule="auto"/>
        <w:jc w:val="center"/>
      </w:pPr>
      <w:r w:rsidRPr="00D47BCF">
        <w:rPr>
          <w:rFonts w:ascii="Century Gothic" w:eastAsia="Century Gothic" w:hAnsi="Century Gothic" w:cs="Century Gothic"/>
          <w:b/>
        </w:rPr>
        <w:t>DIP. JESUS VELAZQUEZ RODRIGUEZ</w:t>
      </w:r>
    </w:p>
    <w:p w:rsidR="00F92B16" w:rsidRPr="00D47BCF" w:rsidRDefault="00F92B16" w:rsidP="00D47BCF"/>
    <w:sectPr w:rsidR="00F92B16" w:rsidRPr="00D47BCF" w:rsidSect="00B7605D">
      <w:headerReference w:type="default" r:id="rId8"/>
      <w:footerReference w:type="default" r:id="rId9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57" w:rsidRDefault="004E0857" w:rsidP="00226656">
      <w:r>
        <w:separator/>
      </w:r>
    </w:p>
  </w:endnote>
  <w:endnote w:type="continuationSeparator" w:id="0">
    <w:p w:rsidR="004E0857" w:rsidRDefault="004E0857" w:rsidP="0022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01596"/>
      <w:docPartObj>
        <w:docPartGallery w:val="Page Numbers (Bottom of Page)"/>
        <w:docPartUnique/>
      </w:docPartObj>
    </w:sdtPr>
    <w:sdtEndPr/>
    <w:sdtContent>
      <w:p w:rsidR="00A75D70" w:rsidRDefault="006D5775">
        <w:pPr>
          <w:pStyle w:val="Piedepgina"/>
          <w:jc w:val="right"/>
        </w:pPr>
        <w:r>
          <w:fldChar w:fldCharType="begin"/>
        </w:r>
        <w:r w:rsidR="00A75D70">
          <w:instrText>PAGE   \* MERGEFORMAT</w:instrText>
        </w:r>
        <w:r>
          <w:fldChar w:fldCharType="separate"/>
        </w:r>
        <w:r w:rsidR="00E75990" w:rsidRPr="00E75990">
          <w:rPr>
            <w:noProof/>
            <w:lang w:val="es-ES"/>
          </w:rPr>
          <w:t>1</w:t>
        </w:r>
        <w:r>
          <w:fldChar w:fldCharType="end"/>
        </w:r>
      </w:p>
    </w:sdtContent>
  </w:sdt>
  <w:p w:rsidR="005F7DB5" w:rsidRDefault="00E759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57" w:rsidRDefault="004E0857" w:rsidP="00226656">
      <w:r>
        <w:separator/>
      </w:r>
    </w:p>
  </w:footnote>
  <w:footnote w:type="continuationSeparator" w:id="0">
    <w:p w:rsidR="004E0857" w:rsidRDefault="004E0857" w:rsidP="00226656">
      <w:r>
        <w:continuationSeparator/>
      </w:r>
    </w:p>
  </w:footnote>
  <w:footnote w:id="1">
    <w:p w:rsidR="008D09E6" w:rsidRDefault="008D09E6">
      <w:pPr>
        <w:pStyle w:val="Textonotapie"/>
      </w:pPr>
      <w:r>
        <w:rPr>
          <w:rStyle w:val="Refdenotaalpie"/>
        </w:rPr>
        <w:footnoteRef/>
      </w:r>
      <w:r>
        <w:t xml:space="preserve"> Ley Federal del Instituto Mexicano de la Juventud. </w:t>
      </w:r>
      <w:hyperlink r:id="rId1" w:history="1">
        <w:r w:rsidRPr="00EF5711">
          <w:rPr>
            <w:rStyle w:val="Hipervnculo"/>
          </w:rPr>
          <w:t>http://www.diputados.gob.mx/LeyesBiblio/pdf/87_020415.pdf</w:t>
        </w:r>
      </w:hyperlink>
    </w:p>
    <w:p w:rsidR="008D09E6" w:rsidRDefault="008D09E6">
      <w:pPr>
        <w:pStyle w:val="Textonotapie"/>
      </w:pPr>
    </w:p>
  </w:footnote>
  <w:footnote w:id="2">
    <w:p w:rsidR="00C95D6D" w:rsidRDefault="00C95D6D">
      <w:pPr>
        <w:pStyle w:val="Textonotapie"/>
      </w:pPr>
      <w:r>
        <w:rPr>
          <w:rStyle w:val="Refdenotaalpie"/>
        </w:rPr>
        <w:footnoteRef/>
      </w:r>
      <w:r>
        <w:t xml:space="preserve"> Ley de Juventud para el Estado de Chihuahua</w:t>
      </w:r>
    </w:p>
  </w:footnote>
  <w:footnote w:id="3">
    <w:p w:rsidR="001D78E1" w:rsidRDefault="001D78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D78E1">
        <w:t>https://inegi.org.mx/programas/ccpv/2020/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8C" w:rsidRPr="002142B8" w:rsidRDefault="009D058C" w:rsidP="009D058C">
    <w:pPr>
      <w:tabs>
        <w:tab w:val="left" w:pos="1185"/>
        <w:tab w:val="center" w:pos="4419"/>
        <w:tab w:val="right" w:pos="8838"/>
      </w:tabs>
      <w:jc w:val="right"/>
      <w:rPr>
        <w:rFonts w:ascii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-53268</wp:posOffset>
          </wp:positionH>
          <wp:positionV relativeFrom="paragraph">
            <wp:posOffset>-285115</wp:posOffset>
          </wp:positionV>
          <wp:extent cx="1323975" cy="12668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42B8">
      <w:rPr>
        <w:i/>
      </w:rPr>
      <w:t>“</w:t>
    </w:r>
    <w:r w:rsidRPr="002142B8">
      <w:rPr>
        <w:rFonts w:ascii="Arial" w:hAnsi="Arial" w:cs="Arial"/>
        <w:i/>
        <w:sz w:val="20"/>
        <w:szCs w:val="20"/>
      </w:rPr>
      <w:t xml:space="preserve">2021, Año del Bicentenario de la Consumación de la </w:t>
    </w:r>
  </w:p>
  <w:p w:rsidR="009D058C" w:rsidRPr="002142B8" w:rsidRDefault="009D058C" w:rsidP="009D058C">
    <w:pPr>
      <w:tabs>
        <w:tab w:val="left" w:pos="1185"/>
        <w:tab w:val="center" w:pos="4419"/>
        <w:tab w:val="right" w:pos="8838"/>
      </w:tabs>
      <w:jc w:val="right"/>
      <w:rPr>
        <w:rFonts w:ascii="Arial" w:hAnsi="Arial" w:cs="Arial"/>
        <w:i/>
        <w:sz w:val="20"/>
        <w:szCs w:val="20"/>
      </w:rPr>
    </w:pPr>
    <w:r w:rsidRPr="002142B8">
      <w:rPr>
        <w:rFonts w:ascii="Arial" w:hAnsi="Arial" w:cs="Arial"/>
        <w:i/>
        <w:sz w:val="20"/>
        <w:szCs w:val="20"/>
      </w:rPr>
      <w:t>Independencia de México”</w:t>
    </w:r>
  </w:p>
  <w:p w:rsidR="009D058C" w:rsidRPr="002142B8" w:rsidRDefault="009D058C" w:rsidP="009D058C">
    <w:pPr>
      <w:tabs>
        <w:tab w:val="left" w:pos="1185"/>
        <w:tab w:val="center" w:pos="4419"/>
        <w:tab w:val="right" w:pos="8838"/>
      </w:tabs>
      <w:jc w:val="right"/>
      <w:rPr>
        <w:rFonts w:ascii="Arial" w:hAnsi="Arial" w:cs="Arial"/>
        <w:i/>
        <w:sz w:val="20"/>
        <w:szCs w:val="20"/>
      </w:rPr>
    </w:pPr>
  </w:p>
  <w:p w:rsidR="009D058C" w:rsidRPr="002142B8" w:rsidRDefault="009D058C" w:rsidP="009D058C">
    <w:pPr>
      <w:tabs>
        <w:tab w:val="left" w:pos="1185"/>
      </w:tabs>
      <w:jc w:val="right"/>
      <w:rPr>
        <w:rFonts w:ascii="Arial" w:hAnsi="Arial" w:cs="Arial"/>
        <w:i/>
        <w:sz w:val="20"/>
        <w:szCs w:val="20"/>
      </w:rPr>
    </w:pPr>
    <w:r w:rsidRPr="002142B8">
      <w:rPr>
        <w:rFonts w:ascii="Arial" w:hAnsi="Arial" w:cs="Arial"/>
        <w:i/>
        <w:sz w:val="20"/>
        <w:szCs w:val="20"/>
      </w:rPr>
      <w:t>“2021, Año de las Culturas del Norte”</w:t>
    </w:r>
  </w:p>
  <w:p w:rsidR="009D058C" w:rsidRDefault="009D058C" w:rsidP="009D058C">
    <w:pPr>
      <w:pStyle w:val="Encabezado"/>
      <w:tabs>
        <w:tab w:val="clear" w:pos="4419"/>
        <w:tab w:val="clear" w:pos="8838"/>
        <w:tab w:val="left" w:pos="5597"/>
      </w:tabs>
    </w:pPr>
  </w:p>
  <w:p w:rsidR="00A75D70" w:rsidRDefault="00A75D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ECA"/>
    <w:multiLevelType w:val="hybridMultilevel"/>
    <w:tmpl w:val="2BD88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058"/>
    <w:multiLevelType w:val="hybridMultilevel"/>
    <w:tmpl w:val="B172E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7D33"/>
    <w:multiLevelType w:val="hybridMultilevel"/>
    <w:tmpl w:val="E4682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4BA"/>
    <w:multiLevelType w:val="hybridMultilevel"/>
    <w:tmpl w:val="0A689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C1D36"/>
    <w:multiLevelType w:val="hybridMultilevel"/>
    <w:tmpl w:val="1A9897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463A"/>
    <w:multiLevelType w:val="hybridMultilevel"/>
    <w:tmpl w:val="7ED40378"/>
    <w:lvl w:ilvl="0" w:tplc="A3A455BC">
      <w:start w:val="1"/>
      <w:numFmt w:val="upperRoman"/>
      <w:lvlText w:val="%1."/>
      <w:lvlJc w:val="left"/>
      <w:pPr>
        <w:ind w:left="786" w:hanging="360"/>
      </w:pPr>
      <w:rPr>
        <w:rFonts w:cs="Times New Roman" w:hint="default"/>
        <w:b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9F0799"/>
    <w:multiLevelType w:val="hybridMultilevel"/>
    <w:tmpl w:val="4B56B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56"/>
    <w:rsid w:val="00012598"/>
    <w:rsid w:val="00045294"/>
    <w:rsid w:val="0006693B"/>
    <w:rsid w:val="000B715C"/>
    <w:rsid w:val="000E4F69"/>
    <w:rsid w:val="0010487E"/>
    <w:rsid w:val="00143621"/>
    <w:rsid w:val="00153644"/>
    <w:rsid w:val="001670A8"/>
    <w:rsid w:val="00175E9F"/>
    <w:rsid w:val="00180995"/>
    <w:rsid w:val="001A62B0"/>
    <w:rsid w:val="001A746B"/>
    <w:rsid w:val="001B345D"/>
    <w:rsid w:val="001B4220"/>
    <w:rsid w:val="001C7366"/>
    <w:rsid w:val="001D78E1"/>
    <w:rsid w:val="00223DCD"/>
    <w:rsid w:val="00226656"/>
    <w:rsid w:val="00227D37"/>
    <w:rsid w:val="00234CBC"/>
    <w:rsid w:val="002355CB"/>
    <w:rsid w:val="00282585"/>
    <w:rsid w:val="002A5F0D"/>
    <w:rsid w:val="002B4399"/>
    <w:rsid w:val="002B7083"/>
    <w:rsid w:val="002F16B0"/>
    <w:rsid w:val="00320DB0"/>
    <w:rsid w:val="003525A3"/>
    <w:rsid w:val="00375A34"/>
    <w:rsid w:val="003A03E6"/>
    <w:rsid w:val="003B6990"/>
    <w:rsid w:val="003D15E3"/>
    <w:rsid w:val="003F64E6"/>
    <w:rsid w:val="00405028"/>
    <w:rsid w:val="00415F03"/>
    <w:rsid w:val="004627A0"/>
    <w:rsid w:val="00485326"/>
    <w:rsid w:val="00487A43"/>
    <w:rsid w:val="004B4538"/>
    <w:rsid w:val="004E0857"/>
    <w:rsid w:val="004E23A4"/>
    <w:rsid w:val="005126CB"/>
    <w:rsid w:val="005259F5"/>
    <w:rsid w:val="00582F23"/>
    <w:rsid w:val="005B715F"/>
    <w:rsid w:val="005C0388"/>
    <w:rsid w:val="005C1CA3"/>
    <w:rsid w:val="005D5E3E"/>
    <w:rsid w:val="005F50B5"/>
    <w:rsid w:val="00637DBC"/>
    <w:rsid w:val="006477DB"/>
    <w:rsid w:val="00661496"/>
    <w:rsid w:val="006B1E77"/>
    <w:rsid w:val="006C1151"/>
    <w:rsid w:val="006D5775"/>
    <w:rsid w:val="006D6A75"/>
    <w:rsid w:val="00723443"/>
    <w:rsid w:val="007333F1"/>
    <w:rsid w:val="00733C1B"/>
    <w:rsid w:val="007525A7"/>
    <w:rsid w:val="00754DDA"/>
    <w:rsid w:val="00766F81"/>
    <w:rsid w:val="007A79BB"/>
    <w:rsid w:val="0081248C"/>
    <w:rsid w:val="00847E35"/>
    <w:rsid w:val="00861EDC"/>
    <w:rsid w:val="008D09E6"/>
    <w:rsid w:val="008F4DCA"/>
    <w:rsid w:val="00943775"/>
    <w:rsid w:val="00994362"/>
    <w:rsid w:val="009A1AB6"/>
    <w:rsid w:val="009B0148"/>
    <w:rsid w:val="009B745A"/>
    <w:rsid w:val="009C5548"/>
    <w:rsid w:val="009D058C"/>
    <w:rsid w:val="009E24F1"/>
    <w:rsid w:val="00A0107E"/>
    <w:rsid w:val="00A52E93"/>
    <w:rsid w:val="00A75D70"/>
    <w:rsid w:val="00A97C92"/>
    <w:rsid w:val="00AD5482"/>
    <w:rsid w:val="00AF4B40"/>
    <w:rsid w:val="00AF504E"/>
    <w:rsid w:val="00B63A3C"/>
    <w:rsid w:val="00B7605D"/>
    <w:rsid w:val="00B85F31"/>
    <w:rsid w:val="00B93A14"/>
    <w:rsid w:val="00B946E0"/>
    <w:rsid w:val="00BF3CEB"/>
    <w:rsid w:val="00C07B4C"/>
    <w:rsid w:val="00C268CF"/>
    <w:rsid w:val="00C35887"/>
    <w:rsid w:val="00C366C2"/>
    <w:rsid w:val="00C85CF2"/>
    <w:rsid w:val="00C93CE9"/>
    <w:rsid w:val="00C95D6D"/>
    <w:rsid w:val="00C97C30"/>
    <w:rsid w:val="00CA0B50"/>
    <w:rsid w:val="00CC3D93"/>
    <w:rsid w:val="00CD2A02"/>
    <w:rsid w:val="00CF0AB8"/>
    <w:rsid w:val="00CF0F77"/>
    <w:rsid w:val="00CF57FC"/>
    <w:rsid w:val="00D26731"/>
    <w:rsid w:val="00D4315A"/>
    <w:rsid w:val="00D47BCF"/>
    <w:rsid w:val="00D57D02"/>
    <w:rsid w:val="00D61CD3"/>
    <w:rsid w:val="00D71BF2"/>
    <w:rsid w:val="00D74549"/>
    <w:rsid w:val="00D8569A"/>
    <w:rsid w:val="00D96BE3"/>
    <w:rsid w:val="00DA09C7"/>
    <w:rsid w:val="00DB115B"/>
    <w:rsid w:val="00DC4534"/>
    <w:rsid w:val="00DD3767"/>
    <w:rsid w:val="00DF1C3A"/>
    <w:rsid w:val="00E02374"/>
    <w:rsid w:val="00E17F9A"/>
    <w:rsid w:val="00E340C3"/>
    <w:rsid w:val="00E43356"/>
    <w:rsid w:val="00E74A7F"/>
    <w:rsid w:val="00E75990"/>
    <w:rsid w:val="00E76128"/>
    <w:rsid w:val="00E84A2D"/>
    <w:rsid w:val="00E86CA3"/>
    <w:rsid w:val="00ED2102"/>
    <w:rsid w:val="00ED5002"/>
    <w:rsid w:val="00EF408C"/>
    <w:rsid w:val="00F0711E"/>
    <w:rsid w:val="00F21C5D"/>
    <w:rsid w:val="00F4111F"/>
    <w:rsid w:val="00F414EC"/>
    <w:rsid w:val="00F467F6"/>
    <w:rsid w:val="00F47D16"/>
    <w:rsid w:val="00F64885"/>
    <w:rsid w:val="00F67FAE"/>
    <w:rsid w:val="00F85534"/>
    <w:rsid w:val="00F91DE7"/>
    <w:rsid w:val="00F92B16"/>
    <w:rsid w:val="00FE3F48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1B9D885-B1CF-441E-AA88-40432F8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6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656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266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656"/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Normal1">
    <w:name w:val="Normal1"/>
    <w:rsid w:val="00226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66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6656"/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266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2665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7D16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rsid w:val="00175E9F"/>
    <w:pPr>
      <w:ind w:left="720"/>
      <w:contextualSpacing/>
    </w:pPr>
    <w:rPr>
      <w:rFonts w:eastAsia="Calibri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tados.gob.mx/LeyesBiblio/pdf/87_0204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8B91-4F4C-45B2-A423-68EC106B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SOL</dc:creator>
  <cp:lastModifiedBy>Usuario de Windows</cp:lastModifiedBy>
  <cp:revision>2</cp:revision>
  <dcterms:created xsi:type="dcterms:W3CDTF">2021-04-05T18:11:00Z</dcterms:created>
  <dcterms:modified xsi:type="dcterms:W3CDTF">2021-04-05T18:11:00Z</dcterms:modified>
</cp:coreProperties>
</file>