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8226C2" w14:textId="55294A3F" w:rsidR="00164210" w:rsidRPr="00164210" w:rsidRDefault="00164210" w:rsidP="00164210">
      <w:pPr>
        <w:spacing w:line="360" w:lineRule="auto"/>
        <w:rPr>
          <w:rFonts w:ascii="Century Gothic" w:hAnsi="Century Gothic"/>
          <w:b/>
          <w:bCs/>
          <w:sz w:val="24"/>
          <w:szCs w:val="24"/>
        </w:rPr>
      </w:pPr>
      <w:r w:rsidRPr="00164210">
        <w:rPr>
          <w:rFonts w:ascii="Century Gothic" w:hAnsi="Century Gothic"/>
          <w:b/>
          <w:bCs/>
          <w:sz w:val="24"/>
          <w:szCs w:val="24"/>
        </w:rPr>
        <w:t>H. CONGRESO DEL ESTADO</w:t>
      </w:r>
      <w:r w:rsidRPr="00164210">
        <w:rPr>
          <w:rFonts w:ascii="Century Gothic" w:hAnsi="Century Gothic"/>
          <w:b/>
          <w:bCs/>
          <w:sz w:val="24"/>
          <w:szCs w:val="24"/>
        </w:rPr>
        <w:br/>
        <w:t>PRESENTE.</w:t>
      </w:r>
    </w:p>
    <w:p w14:paraId="5FF50853" w14:textId="5236E87F" w:rsidR="005564F6" w:rsidRPr="000D204D" w:rsidRDefault="009F71DC" w:rsidP="0028683B">
      <w:pPr>
        <w:spacing w:line="360" w:lineRule="auto"/>
        <w:jc w:val="both"/>
        <w:rPr>
          <w:rFonts w:ascii="Century Gothic" w:hAnsi="Century Gothic"/>
          <w:sz w:val="24"/>
          <w:szCs w:val="24"/>
        </w:rPr>
      </w:pPr>
      <w:r w:rsidRPr="005564F6">
        <w:rPr>
          <w:rFonts w:ascii="Century Gothic" w:hAnsi="Century Gothic"/>
          <w:sz w:val="24"/>
          <w:szCs w:val="24"/>
        </w:rPr>
        <w:t>El suscrito, </w:t>
      </w:r>
      <w:r w:rsidRPr="005564F6">
        <w:rPr>
          <w:rFonts w:ascii="Century Gothic" w:hAnsi="Century Gothic"/>
          <w:b/>
          <w:bCs/>
          <w:sz w:val="24"/>
          <w:szCs w:val="24"/>
        </w:rPr>
        <w:t>GUSTAVO DE LA ROSA HICKERSON</w:t>
      </w:r>
      <w:r w:rsidRPr="005564F6">
        <w:rPr>
          <w:rFonts w:ascii="Century Gothic" w:hAnsi="Century Gothic"/>
          <w:sz w:val="24"/>
          <w:szCs w:val="24"/>
        </w:rPr>
        <w:t>  en mi carácter de Diputado de la Sexagésima Sexta Legislatura e integrante del Grupo Parlamentario de morena y en el uso de las facultades que me  confiere el artículo 68 fracción I de la Constitución Política del Estado, así como los artículos 169, 174 fracción I y 175 de la Ley Orgánica del Poder Legislativo del Estado de Chihuahua, comparezco ante esta Diputación, con el objeto de presentar punto de acuerdo con carácter de </w:t>
      </w:r>
      <w:r w:rsidRPr="005564F6">
        <w:rPr>
          <w:rFonts w:ascii="Century Gothic" w:hAnsi="Century Gothic"/>
          <w:b/>
          <w:bCs/>
          <w:sz w:val="24"/>
          <w:szCs w:val="24"/>
        </w:rPr>
        <w:t>URGENTE RESOLUCIÓN</w:t>
      </w:r>
      <w:r w:rsidRPr="005564F6">
        <w:rPr>
          <w:rFonts w:ascii="Century Gothic" w:hAnsi="Century Gothic"/>
          <w:sz w:val="24"/>
          <w:szCs w:val="24"/>
        </w:rPr>
        <w:t xml:space="preserve"> a fin de </w:t>
      </w:r>
      <w:r w:rsidRPr="005564F6">
        <w:rPr>
          <w:rFonts w:ascii="Century Gothic" w:hAnsi="Century Gothic"/>
          <w:b/>
          <w:bCs/>
          <w:sz w:val="24"/>
          <w:szCs w:val="24"/>
        </w:rPr>
        <w:t>exhortar a la Comisión de Programación, Presupuesto y Hacienda Pública a efecto de que se etiqueten recursos</w:t>
      </w:r>
      <w:r w:rsidR="008557BE" w:rsidRPr="005564F6">
        <w:rPr>
          <w:rFonts w:ascii="Century Gothic" w:hAnsi="Century Gothic"/>
          <w:b/>
          <w:bCs/>
          <w:sz w:val="24"/>
          <w:szCs w:val="24"/>
        </w:rPr>
        <w:t xml:space="preserve"> dentro </w:t>
      </w:r>
      <w:r w:rsidRPr="005564F6">
        <w:rPr>
          <w:rFonts w:ascii="Century Gothic" w:hAnsi="Century Gothic"/>
          <w:b/>
          <w:bCs/>
          <w:sz w:val="24"/>
          <w:szCs w:val="24"/>
        </w:rPr>
        <w:t xml:space="preserve"> del </w:t>
      </w:r>
      <w:r w:rsidR="008557BE" w:rsidRPr="005564F6">
        <w:rPr>
          <w:rFonts w:ascii="Century Gothic" w:hAnsi="Century Gothic"/>
          <w:b/>
          <w:bCs/>
          <w:sz w:val="24"/>
          <w:szCs w:val="24"/>
        </w:rPr>
        <w:t>P</w:t>
      </w:r>
      <w:r w:rsidRPr="005564F6">
        <w:rPr>
          <w:rFonts w:ascii="Century Gothic" w:hAnsi="Century Gothic"/>
          <w:b/>
          <w:bCs/>
          <w:sz w:val="24"/>
          <w:szCs w:val="24"/>
        </w:rPr>
        <w:t xml:space="preserve">resupuesto de </w:t>
      </w:r>
      <w:r w:rsidR="008557BE" w:rsidRPr="005564F6">
        <w:rPr>
          <w:rFonts w:ascii="Century Gothic" w:hAnsi="Century Gothic"/>
          <w:b/>
          <w:bCs/>
          <w:sz w:val="24"/>
          <w:szCs w:val="24"/>
        </w:rPr>
        <w:t>E</w:t>
      </w:r>
      <w:r w:rsidRPr="005564F6">
        <w:rPr>
          <w:rFonts w:ascii="Century Gothic" w:hAnsi="Century Gothic"/>
          <w:b/>
          <w:bCs/>
          <w:sz w:val="24"/>
          <w:szCs w:val="24"/>
        </w:rPr>
        <w:t xml:space="preserve">gresos para el </w:t>
      </w:r>
      <w:r w:rsidR="008557BE" w:rsidRPr="005564F6">
        <w:rPr>
          <w:rFonts w:ascii="Century Gothic" w:hAnsi="Century Gothic"/>
          <w:b/>
          <w:bCs/>
          <w:sz w:val="24"/>
          <w:szCs w:val="24"/>
        </w:rPr>
        <w:t>E</w:t>
      </w:r>
      <w:r w:rsidRPr="005564F6">
        <w:rPr>
          <w:rFonts w:ascii="Century Gothic" w:hAnsi="Century Gothic"/>
          <w:b/>
          <w:bCs/>
          <w:sz w:val="24"/>
          <w:szCs w:val="24"/>
        </w:rPr>
        <w:t xml:space="preserve">jercicio </w:t>
      </w:r>
      <w:r w:rsidR="008557BE" w:rsidRPr="005564F6">
        <w:rPr>
          <w:rFonts w:ascii="Century Gothic" w:hAnsi="Century Gothic"/>
          <w:b/>
          <w:bCs/>
          <w:sz w:val="24"/>
          <w:szCs w:val="24"/>
        </w:rPr>
        <w:t>F</w:t>
      </w:r>
      <w:r w:rsidRPr="005564F6">
        <w:rPr>
          <w:rFonts w:ascii="Century Gothic" w:hAnsi="Century Gothic"/>
          <w:b/>
          <w:bCs/>
          <w:sz w:val="24"/>
          <w:szCs w:val="24"/>
        </w:rPr>
        <w:t xml:space="preserve">iscal 2021 </w:t>
      </w:r>
      <w:r w:rsidR="0028683B" w:rsidRPr="0028683B">
        <w:rPr>
          <w:rFonts w:ascii="Century Gothic" w:hAnsi="Century Gothic"/>
          <w:b/>
          <w:bCs/>
          <w:sz w:val="24"/>
          <w:szCs w:val="24"/>
        </w:rPr>
        <w:t xml:space="preserve">para proveer la adquisición de los equipos que actualmente se requieren en el área de química del Departamento de Servicios Periciales dependiente de la Fiscalía de Distrito Zona Norte, </w:t>
      </w:r>
      <w:r w:rsidRPr="0028683B">
        <w:rPr>
          <w:rFonts w:ascii="Century Gothic" w:hAnsi="Century Gothic"/>
          <w:b/>
          <w:bCs/>
          <w:sz w:val="24"/>
          <w:szCs w:val="24"/>
        </w:rPr>
        <w:t xml:space="preserve">  </w:t>
      </w:r>
      <w:r w:rsidRPr="005564F6">
        <w:rPr>
          <w:rFonts w:ascii="Century Gothic" w:hAnsi="Century Gothic"/>
          <w:sz w:val="24"/>
          <w:szCs w:val="24"/>
        </w:rPr>
        <w:t>todo esto al tenor de la siguiente: </w:t>
      </w:r>
    </w:p>
    <w:p w14:paraId="5D71BE29" w14:textId="564D4147" w:rsidR="005564F6" w:rsidRPr="005564F6" w:rsidRDefault="009F71DC" w:rsidP="0028683B">
      <w:pPr>
        <w:spacing w:line="360" w:lineRule="auto"/>
        <w:jc w:val="center"/>
        <w:rPr>
          <w:rFonts w:ascii="Century Gothic" w:hAnsi="Century Gothic"/>
          <w:b/>
          <w:bCs/>
          <w:sz w:val="24"/>
          <w:szCs w:val="24"/>
        </w:rPr>
      </w:pPr>
      <w:r w:rsidRPr="005564F6">
        <w:rPr>
          <w:rFonts w:ascii="Century Gothic" w:hAnsi="Century Gothic"/>
          <w:b/>
          <w:bCs/>
          <w:sz w:val="24"/>
          <w:szCs w:val="24"/>
        </w:rPr>
        <w:t>EXPOSICIÓN DE MOTIVOS</w:t>
      </w:r>
    </w:p>
    <w:p w14:paraId="27787687" w14:textId="77777777" w:rsidR="0028683B" w:rsidRPr="0028683B" w:rsidRDefault="0028683B" w:rsidP="0028683B">
      <w:pPr>
        <w:spacing w:line="360" w:lineRule="auto"/>
        <w:jc w:val="both"/>
        <w:rPr>
          <w:rFonts w:ascii="Century Gothic" w:hAnsi="Century Gothic"/>
          <w:sz w:val="24"/>
          <w:szCs w:val="24"/>
        </w:rPr>
      </w:pPr>
      <w:r w:rsidRPr="0028683B">
        <w:rPr>
          <w:rFonts w:ascii="Century Gothic" w:hAnsi="Century Gothic"/>
          <w:sz w:val="24"/>
          <w:szCs w:val="24"/>
        </w:rPr>
        <w:t>En Ciudad Juárez, el 90% de los homicidios están relacionados con el narcomenudeo y se ha convertido en un territorio de consumo, dejando detrás el ser un territorio de tránsito de estupefacientes.</w:t>
      </w:r>
    </w:p>
    <w:p w14:paraId="18476590" w14:textId="32F7F25E" w:rsidR="005564F6" w:rsidRDefault="0028683B" w:rsidP="0028683B">
      <w:pPr>
        <w:spacing w:line="360" w:lineRule="auto"/>
        <w:jc w:val="both"/>
        <w:rPr>
          <w:rFonts w:ascii="Century Gothic" w:hAnsi="Century Gothic"/>
          <w:sz w:val="24"/>
          <w:szCs w:val="24"/>
        </w:rPr>
      </w:pPr>
      <w:r w:rsidRPr="0028683B">
        <w:rPr>
          <w:rFonts w:ascii="Century Gothic" w:hAnsi="Century Gothic"/>
          <w:sz w:val="24"/>
          <w:szCs w:val="24"/>
        </w:rPr>
        <w:t>El municipio es una plaza de comercialización de drogas atractiva para los grupos criminales, que se disputan el territorio, causando homicidios y otros delitos como robo. Delitos como violencia familiar y sexual además del robo, se exacerban con el uso de narcóticos. La tasa de narcomenudeo es 8 veces mayor al promedio nacional en Ciudad Juárez.</w:t>
      </w:r>
    </w:p>
    <w:p w14:paraId="6D19D1BE" w14:textId="76E58129" w:rsidR="00BD739F" w:rsidRPr="00BD739F" w:rsidRDefault="00BD739F" w:rsidP="0028683B">
      <w:pPr>
        <w:spacing w:line="360" w:lineRule="auto"/>
        <w:jc w:val="both"/>
        <w:rPr>
          <w:rFonts w:ascii="Times New Roman" w:hAnsi="Times New Roman" w:cs="Times New Roman"/>
        </w:rPr>
      </w:pPr>
      <w:r w:rsidRPr="00BD739F">
        <w:rPr>
          <w:rFonts w:ascii="Century Gothic" w:hAnsi="Century Gothic" w:cs="Times New Roman"/>
          <w:sz w:val="24"/>
          <w:szCs w:val="24"/>
        </w:rPr>
        <w:t xml:space="preserve">Mediante escrito de 11 de diciembre de 2020, el Coordinador del Comité de Narcomenudeo de la Mesa de Seguridad y Justicia de Ciudad Juárez, licenciado JORGE CONTRERAS FORNELLI, promovió ante esta Soberanía para solicitar se </w:t>
      </w:r>
      <w:r w:rsidRPr="00BD739F">
        <w:rPr>
          <w:rFonts w:ascii="Century Gothic" w:hAnsi="Century Gothic" w:cs="Times New Roman"/>
          <w:sz w:val="24"/>
          <w:szCs w:val="24"/>
        </w:rPr>
        <w:lastRenderedPageBreak/>
        <w:t>discuta y en su caso apruebe, específicamente la adquisición de los equipos que actualmente se requieren en el área de química del Departamento de Servicios Periciales, que se encuentran descritos de forma detallada en el oficio número FGE.6C.ZN.37.LQ.01.084/1/1/00485/2020 de fecha 24 de noviembre de 2020 que en copia anexó a la solicitud. Explicó que Comité de Narcomenudeo de la Mesa de Seguridad y Justicia de Ciudad Juárez que coordina, se estableció en 2017 debido a las problemáticas relacionadas con adicciones y narcomenudeo, convocado por sociedad civil e integrado por los tres poderes, los tres niveles de gobierno y sociedad civil para el combate de delitos contra la salud y atención y prevención de adicciones</w:t>
      </w:r>
      <w:r w:rsidRPr="00C54529">
        <w:rPr>
          <w:rFonts w:ascii="Times New Roman" w:hAnsi="Times New Roman" w:cs="Times New Roman"/>
        </w:rPr>
        <w:t>.</w:t>
      </w:r>
    </w:p>
    <w:p w14:paraId="5CCF8AE8" w14:textId="77777777" w:rsidR="0028683B" w:rsidRPr="0028683B" w:rsidRDefault="0028683B" w:rsidP="0028683B">
      <w:pPr>
        <w:spacing w:line="360" w:lineRule="auto"/>
        <w:jc w:val="both"/>
        <w:rPr>
          <w:rFonts w:ascii="Century Gothic" w:hAnsi="Century Gothic"/>
          <w:sz w:val="24"/>
          <w:szCs w:val="24"/>
        </w:rPr>
      </w:pPr>
      <w:r w:rsidRPr="0028683B">
        <w:rPr>
          <w:rFonts w:ascii="Century Gothic" w:hAnsi="Century Gothic"/>
          <w:sz w:val="24"/>
          <w:szCs w:val="24"/>
        </w:rPr>
        <w:t>El Centro de Operaciones Estratégicas (COE) de la Fiscalía de Distrito Zona Norte, en Ciudad Juárez, recibe un promedio de 550 personas al mes por delitos contra la salud en modalidad de narcomenudeo, de los cuales, aproximadamente 150 detenidos en flagrancia, son puestos a disposición de un Juez de Control y para el 74% restante, no es posible determinar la situación jurídica en virtud de que no se cuenta con el dictamen pericial en materia de identificación de sustancias, necesario para determinar el ejercicio o no de la acción penal.</w:t>
      </w:r>
    </w:p>
    <w:p w14:paraId="2110D7CD" w14:textId="77777777" w:rsidR="0028683B" w:rsidRPr="0028683B" w:rsidRDefault="0028683B" w:rsidP="0028683B">
      <w:pPr>
        <w:spacing w:line="360" w:lineRule="auto"/>
        <w:jc w:val="both"/>
        <w:rPr>
          <w:rFonts w:ascii="Century Gothic" w:hAnsi="Century Gothic"/>
          <w:sz w:val="24"/>
          <w:szCs w:val="24"/>
        </w:rPr>
      </w:pPr>
      <w:r w:rsidRPr="0028683B">
        <w:rPr>
          <w:rFonts w:ascii="Century Gothic" w:hAnsi="Century Gothic"/>
          <w:sz w:val="24"/>
          <w:szCs w:val="24"/>
        </w:rPr>
        <w:t>La problemática data desde inicios de 2017: la Fiscalía de Distrito Zona Norte tiene más de 23,031 carpetas de investigación iniciadas1 por delitos contra la salud en su modalidad de narcomenudeo. Servicios Periciales cuenta con un rezago de 12,471 dictámenes de identificación de sustancias por emitir.</w:t>
      </w:r>
    </w:p>
    <w:p w14:paraId="1E338E12" w14:textId="1258CCD4" w:rsidR="0028683B" w:rsidRDefault="0028683B" w:rsidP="0028683B">
      <w:pPr>
        <w:spacing w:line="360" w:lineRule="auto"/>
        <w:jc w:val="both"/>
        <w:rPr>
          <w:rFonts w:ascii="Century Gothic" w:hAnsi="Century Gothic"/>
          <w:sz w:val="24"/>
          <w:szCs w:val="24"/>
        </w:rPr>
      </w:pPr>
      <w:r w:rsidRPr="0028683B">
        <w:rPr>
          <w:rFonts w:ascii="Century Gothic" w:hAnsi="Century Gothic"/>
          <w:sz w:val="24"/>
          <w:szCs w:val="24"/>
        </w:rPr>
        <w:t xml:space="preserve">Actualmente se requiere un equipo cromatógrafo de gases (CG/MS) acoplado a espectrómetro de Masas, 2 espectrómetros de masas de alta presión portátil, un espectrofotómetro infrarrojo y espectroscopia Raman portátil y un espectrofotómetro infrarrojo, lo anterior para buscar abatir el rezago, atender las puestas a disposición al día y ampliar la capacidad de análisis en casos </w:t>
      </w:r>
      <w:r w:rsidRPr="0028683B">
        <w:rPr>
          <w:rFonts w:ascii="Century Gothic" w:hAnsi="Century Gothic"/>
          <w:sz w:val="24"/>
          <w:szCs w:val="24"/>
        </w:rPr>
        <w:lastRenderedPageBreak/>
        <w:t>complejos donde la sustancia se encuentra en cantidades traza, ya que actualmente con la tecnología que se cuenta no es posible su identificación.</w:t>
      </w:r>
      <w:r>
        <w:rPr>
          <w:rFonts w:ascii="Century Gothic" w:hAnsi="Century Gothic"/>
          <w:sz w:val="24"/>
          <w:szCs w:val="24"/>
        </w:rPr>
        <w:t xml:space="preserve"> </w:t>
      </w:r>
    </w:p>
    <w:p w14:paraId="3F9949DE" w14:textId="77777777" w:rsidR="00BD739F" w:rsidRPr="00BD739F" w:rsidRDefault="00BD739F" w:rsidP="00BD739F">
      <w:pPr>
        <w:spacing w:line="360" w:lineRule="auto"/>
        <w:jc w:val="both"/>
        <w:rPr>
          <w:rFonts w:ascii="Century Gothic" w:hAnsi="Century Gothic"/>
          <w:sz w:val="24"/>
          <w:szCs w:val="24"/>
        </w:rPr>
      </w:pPr>
      <w:r w:rsidRPr="00BD739F">
        <w:rPr>
          <w:rFonts w:ascii="Century Gothic" w:hAnsi="Century Gothic"/>
          <w:sz w:val="24"/>
          <w:szCs w:val="24"/>
        </w:rPr>
        <w:t>En el Comité de Narcomenudeo, se han realizado de manera coordinada diversas acciones que han permitido fortalecer el sistema, entre las que destacan:</w:t>
      </w:r>
    </w:p>
    <w:p w14:paraId="76B39865" w14:textId="77777777" w:rsidR="00BD739F" w:rsidRPr="00BD739F" w:rsidRDefault="00BD739F" w:rsidP="00BD739F">
      <w:pPr>
        <w:spacing w:line="360" w:lineRule="auto"/>
        <w:jc w:val="both"/>
        <w:rPr>
          <w:rFonts w:ascii="Century Gothic" w:hAnsi="Century Gothic"/>
          <w:sz w:val="24"/>
          <w:szCs w:val="24"/>
        </w:rPr>
      </w:pPr>
      <w:r w:rsidRPr="00BD739F">
        <w:rPr>
          <w:rFonts w:ascii="Century Gothic" w:hAnsi="Century Gothic"/>
          <w:sz w:val="24"/>
          <w:szCs w:val="24"/>
        </w:rPr>
        <w:t>a).- Mejoras procesales tales como la priorización de análisis de laboratorio, unificación de criterios dentro de los actores del sistema, mejora de procesos de puestas a disposición, construcción de indicadores de proceso, puesta en marcha del Tribunal Especializado de Narcomenudeo.</w:t>
      </w:r>
    </w:p>
    <w:p w14:paraId="62EA5738" w14:textId="77777777" w:rsidR="00BD739F" w:rsidRPr="00BD739F" w:rsidRDefault="00BD739F" w:rsidP="00BD739F">
      <w:pPr>
        <w:spacing w:line="360" w:lineRule="auto"/>
        <w:jc w:val="both"/>
        <w:rPr>
          <w:rFonts w:ascii="Century Gothic" w:hAnsi="Century Gothic"/>
          <w:sz w:val="24"/>
          <w:szCs w:val="24"/>
        </w:rPr>
      </w:pPr>
      <w:r w:rsidRPr="00BD739F">
        <w:rPr>
          <w:rFonts w:ascii="Century Gothic" w:hAnsi="Century Gothic"/>
          <w:sz w:val="24"/>
          <w:szCs w:val="24"/>
        </w:rPr>
        <w:t>b).- Mejora de Capacidades con la gestión de mayor estado de fuerza y adquisición de equipo de periciales, adquisición de kioscos interactivos que facilite el seguimiento de medidas impuestas por el Tribunal Superior de Justicia, viajes exploratorios de buenas prácticas, entre otros.</w:t>
      </w:r>
    </w:p>
    <w:p w14:paraId="5320FB59" w14:textId="77777777" w:rsidR="00BD739F" w:rsidRPr="00BD739F" w:rsidRDefault="00BD739F" w:rsidP="00BD739F">
      <w:pPr>
        <w:spacing w:line="360" w:lineRule="auto"/>
        <w:jc w:val="both"/>
        <w:rPr>
          <w:rFonts w:ascii="Century Gothic" w:hAnsi="Century Gothic"/>
          <w:sz w:val="24"/>
          <w:szCs w:val="24"/>
        </w:rPr>
      </w:pPr>
      <w:r w:rsidRPr="00BD739F">
        <w:rPr>
          <w:rFonts w:ascii="Century Gothic" w:hAnsi="Century Gothic"/>
          <w:sz w:val="24"/>
          <w:szCs w:val="24"/>
        </w:rPr>
        <w:t>c).- Mejora de condiciones para la atención con la creación del puesto y contratación del Vinculador Social que da servicio al sistema de seguridad y justicia, acercándoles un portafolio de servicios públicos y privados para la referencia y canalización de usuarios, financiamiento de proyectos de prevención de violencia y delincuencia, así como el fortalecimiento a los centros de tratamiento de adicciones.</w:t>
      </w:r>
    </w:p>
    <w:p w14:paraId="335776C6" w14:textId="77777777" w:rsidR="00BD739F" w:rsidRPr="00BD739F" w:rsidRDefault="00BD739F" w:rsidP="00BD739F">
      <w:pPr>
        <w:spacing w:line="360" w:lineRule="auto"/>
        <w:jc w:val="both"/>
        <w:rPr>
          <w:rFonts w:ascii="Century Gothic" w:hAnsi="Century Gothic"/>
          <w:sz w:val="24"/>
          <w:szCs w:val="24"/>
        </w:rPr>
      </w:pPr>
      <w:r w:rsidRPr="00BD739F">
        <w:rPr>
          <w:rFonts w:ascii="Century Gothic" w:hAnsi="Century Gothic"/>
          <w:sz w:val="24"/>
          <w:szCs w:val="24"/>
        </w:rPr>
        <w:t>Se sigue trabajando en acciones que ayuden a disminuir la violencia y la impunidad relacionada a los delitos de narcomenudeo a través de la coordinación y fortalecimiento de las instituciones con una visión de justicia integral para la solución de esta problemática.</w:t>
      </w:r>
    </w:p>
    <w:p w14:paraId="2C4FF730" w14:textId="50818028" w:rsidR="0028683B" w:rsidRDefault="00BD739F" w:rsidP="0028683B">
      <w:pPr>
        <w:spacing w:line="360" w:lineRule="auto"/>
        <w:jc w:val="both"/>
        <w:rPr>
          <w:rFonts w:ascii="Century Gothic" w:hAnsi="Century Gothic"/>
          <w:sz w:val="24"/>
          <w:szCs w:val="24"/>
        </w:rPr>
      </w:pPr>
      <w:r w:rsidRPr="00BD739F">
        <w:rPr>
          <w:rFonts w:ascii="Century Gothic" w:hAnsi="Century Gothic"/>
          <w:sz w:val="24"/>
          <w:szCs w:val="24"/>
        </w:rPr>
        <w:t xml:space="preserve">Los equipos de que se requiere dotar al área de química del Departamento de Servicios Periciales dependiente de la Fiscalía de Distrito Zona Norte, en Ciudad Juárez, permitirán contar con mayor capacidad de análisis de sustancias en </w:t>
      </w:r>
      <w:r w:rsidRPr="00BD739F">
        <w:rPr>
          <w:rFonts w:ascii="Century Gothic" w:hAnsi="Century Gothic"/>
          <w:sz w:val="24"/>
          <w:szCs w:val="24"/>
        </w:rPr>
        <w:lastRenderedPageBreak/>
        <w:t>casos complejos, poder abatir el rezago con el que se cuenta y poder incrementar los dictámenes necesarios de las puestas a disposición con el fin de están en aptitud de resolver de inmediato el ejercicio o no de la acción penal.</w:t>
      </w:r>
    </w:p>
    <w:p w14:paraId="131E512E" w14:textId="045F2C66" w:rsidR="00BD739F" w:rsidRDefault="00164210" w:rsidP="0028683B">
      <w:pPr>
        <w:spacing w:line="360" w:lineRule="auto"/>
        <w:jc w:val="both"/>
        <w:rPr>
          <w:rFonts w:ascii="Century Gothic" w:hAnsi="Century Gothic"/>
          <w:sz w:val="24"/>
          <w:szCs w:val="24"/>
        </w:rPr>
      </w:pPr>
      <w:r>
        <w:rPr>
          <w:rFonts w:ascii="Century Gothic" w:hAnsi="Century Gothic"/>
          <w:sz w:val="24"/>
          <w:szCs w:val="24"/>
        </w:rPr>
        <w:t xml:space="preserve">La inversión de equipo no es solo el cumplimiento de un procedimiento jurídico, es llevar el combate al crimen organizado a la realidad y con ello disminuir la violencia y todas las consecuencias derivadas de ello. </w:t>
      </w:r>
    </w:p>
    <w:p w14:paraId="3BCD352B" w14:textId="6CCE148F" w:rsidR="009F71DC" w:rsidRPr="005564F6" w:rsidRDefault="009F71DC" w:rsidP="0028683B">
      <w:pPr>
        <w:spacing w:line="360" w:lineRule="auto"/>
        <w:jc w:val="both"/>
        <w:rPr>
          <w:rFonts w:ascii="Century Gothic" w:hAnsi="Century Gothic"/>
          <w:sz w:val="24"/>
          <w:szCs w:val="24"/>
        </w:rPr>
      </w:pPr>
      <w:r w:rsidRPr="005564F6">
        <w:rPr>
          <w:rFonts w:ascii="Century Gothic" w:hAnsi="Century Gothic"/>
          <w:sz w:val="24"/>
          <w:szCs w:val="24"/>
        </w:rPr>
        <w:t>Por lo anteriormente expuesto y con fundamento en los artículos 68 fracción I de la Constitución Política del Estado, así como los numerales 169, 174 fracción I y 175 de la Ley Orgánica del Poder Legislativo y el artículo 106 del Reglamento Interior de Prácticas Parlamentarias, someto a consideración el siguiente: </w:t>
      </w:r>
    </w:p>
    <w:p w14:paraId="7B65D035" w14:textId="77777777" w:rsidR="005564F6" w:rsidRPr="005564F6" w:rsidRDefault="005564F6" w:rsidP="0028683B">
      <w:pPr>
        <w:spacing w:line="360" w:lineRule="auto"/>
        <w:jc w:val="both"/>
        <w:rPr>
          <w:rFonts w:ascii="Century Gothic" w:hAnsi="Century Gothic"/>
          <w:sz w:val="24"/>
          <w:szCs w:val="24"/>
        </w:rPr>
      </w:pPr>
    </w:p>
    <w:p w14:paraId="42DD8501" w14:textId="450B9D7E" w:rsidR="005564F6" w:rsidRPr="005564F6" w:rsidRDefault="009F71DC" w:rsidP="0028683B">
      <w:pPr>
        <w:shd w:val="clear" w:color="auto" w:fill="FFFFFF"/>
        <w:spacing w:line="360" w:lineRule="auto"/>
        <w:jc w:val="center"/>
        <w:rPr>
          <w:rFonts w:ascii="Century Gothic" w:eastAsia="Times New Roman" w:hAnsi="Century Gothic" w:cs="Calibri"/>
          <w:b/>
          <w:bCs/>
          <w:sz w:val="24"/>
          <w:szCs w:val="24"/>
          <w:lang w:eastAsia="es-MX"/>
        </w:rPr>
      </w:pPr>
      <w:r w:rsidRPr="005564F6">
        <w:rPr>
          <w:rFonts w:ascii="Century Gothic" w:eastAsia="Times New Roman" w:hAnsi="Century Gothic" w:cs="Calibri"/>
          <w:b/>
          <w:bCs/>
          <w:sz w:val="24"/>
          <w:szCs w:val="24"/>
          <w:lang w:eastAsia="es-MX"/>
        </w:rPr>
        <w:t>ACUERDO</w:t>
      </w:r>
    </w:p>
    <w:p w14:paraId="2373237C" w14:textId="06A45C84" w:rsidR="005564F6" w:rsidRPr="005564F6" w:rsidRDefault="00E11933" w:rsidP="0028683B">
      <w:pPr>
        <w:spacing w:line="360" w:lineRule="auto"/>
        <w:jc w:val="both"/>
        <w:rPr>
          <w:rFonts w:ascii="Century Gothic" w:hAnsi="Century Gothic"/>
          <w:sz w:val="24"/>
          <w:szCs w:val="24"/>
        </w:rPr>
      </w:pPr>
      <w:r w:rsidRPr="005564F6">
        <w:rPr>
          <w:rFonts w:ascii="Century Gothic" w:hAnsi="Century Gothic"/>
          <w:b/>
          <w:bCs/>
          <w:sz w:val="24"/>
          <w:szCs w:val="24"/>
        </w:rPr>
        <w:t>PRIMERO.</w:t>
      </w:r>
      <w:r w:rsidRPr="005564F6">
        <w:rPr>
          <w:rFonts w:ascii="Century Gothic" w:hAnsi="Century Gothic"/>
          <w:sz w:val="24"/>
          <w:szCs w:val="24"/>
        </w:rPr>
        <w:t xml:space="preserve"> La Sexagésima Sexta Legislatura exhorta a la </w:t>
      </w:r>
      <w:r w:rsidR="00BD739F" w:rsidRPr="005564F6">
        <w:rPr>
          <w:rFonts w:ascii="Century Gothic" w:hAnsi="Century Gothic"/>
          <w:b/>
          <w:bCs/>
          <w:sz w:val="24"/>
          <w:szCs w:val="24"/>
        </w:rPr>
        <w:t>Comisión de Programación, Presupuesto y Hacienda Pública</w:t>
      </w:r>
      <w:r w:rsidR="00BD739F">
        <w:rPr>
          <w:rFonts w:ascii="Century Gothic" w:hAnsi="Century Gothic"/>
          <w:b/>
          <w:bCs/>
          <w:sz w:val="24"/>
          <w:szCs w:val="24"/>
        </w:rPr>
        <w:t xml:space="preserve"> de este H. Congreso a</w:t>
      </w:r>
      <w:r w:rsidR="00BD739F" w:rsidRPr="005564F6">
        <w:rPr>
          <w:rFonts w:ascii="Century Gothic" w:hAnsi="Century Gothic"/>
          <w:b/>
          <w:bCs/>
          <w:sz w:val="24"/>
          <w:szCs w:val="24"/>
        </w:rPr>
        <w:t xml:space="preserve"> efecto de que se etiqueten recursos dentro  del Presupuesto de Egresos para el Ejercicio Fiscal 2021 </w:t>
      </w:r>
      <w:r w:rsidR="00BD739F" w:rsidRPr="0028683B">
        <w:rPr>
          <w:rFonts w:ascii="Century Gothic" w:hAnsi="Century Gothic"/>
          <w:b/>
          <w:bCs/>
          <w:sz w:val="24"/>
          <w:szCs w:val="24"/>
        </w:rPr>
        <w:t>para proveer la adquisición de los equipos que actualmente se requieren en el área de química del Departamento de Servicios Periciales dependiente de la Fiscalía de Distrito Zona Norte</w:t>
      </w:r>
      <w:r w:rsidR="00BD739F">
        <w:rPr>
          <w:rFonts w:ascii="Century Gothic" w:hAnsi="Century Gothic"/>
          <w:b/>
          <w:bCs/>
          <w:sz w:val="24"/>
          <w:szCs w:val="24"/>
        </w:rPr>
        <w:t xml:space="preserve">, por una cantidad de $10, 169, 685.21. </w:t>
      </w:r>
      <w:bookmarkStart w:id="0" w:name="_GoBack"/>
      <w:bookmarkEnd w:id="0"/>
    </w:p>
    <w:p w14:paraId="7C596398" w14:textId="0A12307A" w:rsidR="00FB621B" w:rsidRPr="005564F6" w:rsidRDefault="00FB621B" w:rsidP="0028683B">
      <w:pPr>
        <w:spacing w:line="360" w:lineRule="auto"/>
        <w:jc w:val="both"/>
        <w:rPr>
          <w:rFonts w:ascii="Century Gothic" w:hAnsi="Century Gothic"/>
          <w:sz w:val="24"/>
          <w:szCs w:val="24"/>
        </w:rPr>
      </w:pPr>
      <w:r w:rsidRPr="005564F6">
        <w:rPr>
          <w:rFonts w:ascii="Century Gothic" w:hAnsi="Century Gothic"/>
          <w:b/>
          <w:bCs/>
          <w:sz w:val="24"/>
          <w:szCs w:val="24"/>
        </w:rPr>
        <w:t>ECONÓMICO.</w:t>
      </w:r>
      <w:r w:rsidRPr="005564F6">
        <w:rPr>
          <w:rFonts w:ascii="Century Gothic" w:hAnsi="Century Gothic"/>
          <w:sz w:val="24"/>
          <w:szCs w:val="24"/>
        </w:rPr>
        <w:t xml:space="preserve"> - Aprobado que sea túrnese a la secretaria para que elabore la Minuta de Acuerdo correspondiente.</w:t>
      </w:r>
    </w:p>
    <w:p w14:paraId="4308F120" w14:textId="1C409F5A" w:rsidR="00FB621B" w:rsidRPr="005564F6" w:rsidRDefault="00FB621B" w:rsidP="0028683B">
      <w:pPr>
        <w:spacing w:line="360" w:lineRule="auto"/>
        <w:jc w:val="both"/>
        <w:rPr>
          <w:rFonts w:ascii="Century Gothic" w:hAnsi="Century Gothic"/>
          <w:sz w:val="24"/>
          <w:szCs w:val="24"/>
        </w:rPr>
      </w:pPr>
      <w:r w:rsidRPr="005564F6">
        <w:rPr>
          <w:rFonts w:ascii="Century Gothic" w:hAnsi="Century Gothic"/>
          <w:b/>
          <w:bCs/>
          <w:sz w:val="24"/>
          <w:szCs w:val="24"/>
        </w:rPr>
        <w:t>D A D O</w:t>
      </w:r>
      <w:r w:rsidRPr="005564F6">
        <w:rPr>
          <w:rFonts w:ascii="Century Gothic" w:hAnsi="Century Gothic"/>
          <w:sz w:val="24"/>
          <w:szCs w:val="24"/>
        </w:rPr>
        <w:t xml:space="preserve"> en el Salón de Sesiones del Poder Legislativo, en la Ciudad de Chihuahua, Chih., a los </w:t>
      </w:r>
      <w:r w:rsidR="002E67F3" w:rsidRPr="005564F6">
        <w:rPr>
          <w:rFonts w:ascii="Century Gothic" w:hAnsi="Century Gothic"/>
          <w:sz w:val="24"/>
          <w:szCs w:val="24"/>
        </w:rPr>
        <w:t>22</w:t>
      </w:r>
      <w:r w:rsidRPr="005564F6">
        <w:rPr>
          <w:rFonts w:ascii="Century Gothic" w:hAnsi="Century Gothic"/>
          <w:sz w:val="24"/>
          <w:szCs w:val="24"/>
        </w:rPr>
        <w:t xml:space="preserve"> días del mes de diciembre de 2020</w:t>
      </w:r>
      <w:r w:rsidR="005F1A89" w:rsidRPr="005564F6">
        <w:rPr>
          <w:rFonts w:ascii="Century Gothic" w:hAnsi="Century Gothic"/>
          <w:sz w:val="24"/>
          <w:szCs w:val="24"/>
        </w:rPr>
        <w:t>.</w:t>
      </w:r>
    </w:p>
    <w:p w14:paraId="7318C2B7" w14:textId="524DB47E" w:rsidR="00FB621B" w:rsidRPr="005564F6" w:rsidRDefault="00FB621B" w:rsidP="0028683B">
      <w:pPr>
        <w:spacing w:line="360" w:lineRule="auto"/>
        <w:jc w:val="center"/>
        <w:rPr>
          <w:rFonts w:ascii="Century Gothic" w:hAnsi="Century Gothic"/>
          <w:b/>
          <w:bCs/>
          <w:sz w:val="24"/>
          <w:szCs w:val="24"/>
        </w:rPr>
      </w:pPr>
      <w:r w:rsidRPr="005564F6">
        <w:rPr>
          <w:rFonts w:ascii="Century Gothic" w:hAnsi="Century Gothic"/>
          <w:b/>
          <w:bCs/>
          <w:sz w:val="24"/>
          <w:szCs w:val="24"/>
        </w:rPr>
        <w:t>ATENTAMENTE</w:t>
      </w:r>
    </w:p>
    <w:p w14:paraId="17F2E962" w14:textId="77777777" w:rsidR="00DA288E" w:rsidRPr="005564F6" w:rsidRDefault="00FB621B" w:rsidP="0028683B">
      <w:pPr>
        <w:spacing w:line="360" w:lineRule="auto"/>
        <w:jc w:val="center"/>
        <w:rPr>
          <w:rFonts w:ascii="Century Gothic" w:hAnsi="Century Gothic"/>
          <w:b/>
          <w:bCs/>
          <w:sz w:val="24"/>
          <w:szCs w:val="24"/>
        </w:rPr>
      </w:pPr>
      <w:r w:rsidRPr="005564F6">
        <w:rPr>
          <w:rFonts w:ascii="Century Gothic" w:hAnsi="Century Gothic"/>
          <w:b/>
          <w:bCs/>
          <w:sz w:val="24"/>
          <w:szCs w:val="24"/>
        </w:rPr>
        <w:t>DIP. GUSTAVO DE LA ROSA HICKERSON</w:t>
      </w:r>
    </w:p>
    <w:sectPr w:rsidR="00DA288E" w:rsidRPr="005564F6" w:rsidSect="005F1A89">
      <w:headerReference w:type="default" r:id="rId7"/>
      <w:pgSz w:w="12240" w:h="15840"/>
      <w:pgMar w:top="189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443A7B" w14:textId="77777777" w:rsidR="00EC334E" w:rsidRDefault="00EC334E" w:rsidP="005F1A89">
      <w:pPr>
        <w:spacing w:after="0" w:line="240" w:lineRule="auto"/>
      </w:pPr>
      <w:r>
        <w:separator/>
      </w:r>
    </w:p>
  </w:endnote>
  <w:endnote w:type="continuationSeparator" w:id="0">
    <w:p w14:paraId="4516296C" w14:textId="77777777" w:rsidR="00EC334E" w:rsidRDefault="00EC334E" w:rsidP="005F1A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79412F" w14:textId="77777777" w:rsidR="00EC334E" w:rsidRDefault="00EC334E" w:rsidP="005F1A89">
      <w:pPr>
        <w:spacing w:after="0" w:line="240" w:lineRule="auto"/>
      </w:pPr>
      <w:r>
        <w:separator/>
      </w:r>
    </w:p>
  </w:footnote>
  <w:footnote w:type="continuationSeparator" w:id="0">
    <w:p w14:paraId="0483A7E3" w14:textId="77777777" w:rsidR="00EC334E" w:rsidRDefault="00EC334E" w:rsidP="005F1A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F34B0C" w14:textId="77777777" w:rsidR="005F1A89" w:rsidRDefault="005F1A89">
    <w:pPr>
      <w:pStyle w:val="Header"/>
    </w:pPr>
    <w:r w:rsidRPr="00AC3920">
      <w:rPr>
        <w:noProof/>
        <w:lang w:eastAsia="es-MX"/>
      </w:rPr>
      <w:drawing>
        <wp:anchor distT="0" distB="0" distL="114300" distR="114300" simplePos="0" relativeHeight="251659264" behindDoc="1" locked="0" layoutInCell="1" allowOverlap="1" wp14:anchorId="4AD52BC7" wp14:editId="6EFD4ECD">
          <wp:simplePos x="0" y="0"/>
          <wp:positionH relativeFrom="column">
            <wp:posOffset>-647700</wp:posOffset>
          </wp:positionH>
          <wp:positionV relativeFrom="paragraph">
            <wp:posOffset>-266700</wp:posOffset>
          </wp:positionV>
          <wp:extent cx="1026160" cy="1026160"/>
          <wp:effectExtent l="0" t="0" r="0" b="0"/>
          <wp:wrapNone/>
          <wp:docPr id="5" name="Imagen 3" descr="C:\Users\alejandra\Desktop\logo congres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ejandra\Desktop\logo congres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26160" cy="102616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416197"/>
    <w:multiLevelType w:val="multilevel"/>
    <w:tmpl w:val="4DE6FC3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1DC"/>
    <w:rsid w:val="00085496"/>
    <w:rsid w:val="000952B4"/>
    <w:rsid w:val="000D204D"/>
    <w:rsid w:val="00164210"/>
    <w:rsid w:val="001A6AE3"/>
    <w:rsid w:val="00213E35"/>
    <w:rsid w:val="0028683B"/>
    <w:rsid w:val="002E67F3"/>
    <w:rsid w:val="005564F6"/>
    <w:rsid w:val="005D755E"/>
    <w:rsid w:val="005F1A89"/>
    <w:rsid w:val="0063409C"/>
    <w:rsid w:val="00682452"/>
    <w:rsid w:val="008557BE"/>
    <w:rsid w:val="009F71DC"/>
    <w:rsid w:val="00A83F39"/>
    <w:rsid w:val="00A97947"/>
    <w:rsid w:val="00AE1BB5"/>
    <w:rsid w:val="00B62997"/>
    <w:rsid w:val="00BD739F"/>
    <w:rsid w:val="00C25727"/>
    <w:rsid w:val="00DA288E"/>
    <w:rsid w:val="00DC08A1"/>
    <w:rsid w:val="00E11933"/>
    <w:rsid w:val="00E46807"/>
    <w:rsid w:val="00EC334E"/>
    <w:rsid w:val="00EE4582"/>
    <w:rsid w:val="00FB621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4E949"/>
  <w15:chartTrackingRefBased/>
  <w15:docId w15:val="{48C09E1D-3513-4EDE-AB3E-6B0871992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1A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1A89"/>
  </w:style>
  <w:style w:type="paragraph" w:styleId="Footer">
    <w:name w:val="footer"/>
    <w:basedOn w:val="Normal"/>
    <w:link w:val="FooterChar"/>
    <w:uiPriority w:val="99"/>
    <w:unhideWhenUsed/>
    <w:rsid w:val="005F1A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1A89"/>
  </w:style>
  <w:style w:type="paragraph" w:styleId="ListParagraph">
    <w:name w:val="List Paragraph"/>
    <w:basedOn w:val="Normal"/>
    <w:uiPriority w:val="34"/>
    <w:qFormat/>
    <w:rsid w:val="00EE45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9250748">
      <w:bodyDiv w:val="1"/>
      <w:marLeft w:val="0"/>
      <w:marRight w:val="0"/>
      <w:marTop w:val="0"/>
      <w:marBottom w:val="0"/>
      <w:divBdr>
        <w:top w:val="none" w:sz="0" w:space="0" w:color="auto"/>
        <w:left w:val="none" w:sz="0" w:space="0" w:color="auto"/>
        <w:bottom w:val="none" w:sz="0" w:space="0" w:color="auto"/>
        <w:right w:val="none" w:sz="0" w:space="0" w:color="auto"/>
      </w:divBdr>
      <w:divsChild>
        <w:div w:id="412823005">
          <w:blockQuote w:val="1"/>
          <w:marLeft w:val="96"/>
          <w:marRight w:val="720"/>
          <w:marTop w:val="100"/>
          <w:marBottom w:val="100"/>
          <w:divBdr>
            <w:top w:val="none" w:sz="0" w:space="0" w:color="C8C8C8"/>
            <w:left w:val="single" w:sz="18" w:space="6" w:color="C8C8C8"/>
            <w:bottom w:val="none" w:sz="0" w:space="0" w:color="C8C8C8"/>
            <w:right w:val="none" w:sz="0" w:space="0" w:color="C8C8C8"/>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4</Pages>
  <Words>1073</Words>
  <Characters>5902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Isamar Valadez Enríquez</dc:creator>
  <cp:keywords/>
  <dc:description/>
  <cp:lastModifiedBy>Isamar Valadez Enríquez</cp:lastModifiedBy>
  <cp:revision>3</cp:revision>
  <dcterms:created xsi:type="dcterms:W3CDTF">2020-12-21T22:29:00Z</dcterms:created>
  <dcterms:modified xsi:type="dcterms:W3CDTF">2020-12-21T22:55:00Z</dcterms:modified>
</cp:coreProperties>
</file>