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E90617" w:rsidRDefault="00B4737B" w:rsidP="003276F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bookmarkStart w:id="0" w:name="_Hlk38390723"/>
      <w:bookmarkEnd w:id="0"/>
      <w:r w:rsidRPr="00E90617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509AD054" w14:textId="77777777" w:rsidR="00B4737B" w:rsidRPr="00E90617" w:rsidRDefault="00B4737B" w:rsidP="003276F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90617">
        <w:rPr>
          <w:rFonts w:ascii="Arial" w:hAnsi="Arial" w:cs="Arial"/>
          <w:b/>
          <w:i/>
          <w:sz w:val="24"/>
          <w:szCs w:val="24"/>
        </w:rPr>
        <w:t>P R E S E N T E.-</w:t>
      </w:r>
    </w:p>
    <w:p w14:paraId="5E371568" w14:textId="77777777" w:rsidR="00B4737B" w:rsidRPr="00E90617" w:rsidRDefault="00B4737B" w:rsidP="003276F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023D3065" w14:textId="611681E2" w:rsidR="00B4737B" w:rsidRPr="00E90617" w:rsidRDefault="00B4737B" w:rsidP="003276F1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E90617">
        <w:rPr>
          <w:rFonts w:ascii="Arial" w:hAnsi="Arial" w:cs="Arial"/>
          <w:i/>
          <w:sz w:val="24"/>
          <w:szCs w:val="24"/>
        </w:rPr>
        <w:t xml:space="preserve">El suscrito </w:t>
      </w:r>
      <w:r w:rsidRPr="00E90617">
        <w:rPr>
          <w:rFonts w:ascii="Arial" w:hAnsi="Arial" w:cs="Arial"/>
          <w:b/>
          <w:i/>
          <w:sz w:val="24"/>
          <w:szCs w:val="24"/>
        </w:rPr>
        <w:t>Omar Bazán Flores</w:t>
      </w:r>
      <w:r w:rsidRPr="00E90617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4A3250">
        <w:rPr>
          <w:rFonts w:ascii="Arial" w:hAnsi="Arial" w:cs="Arial"/>
          <w:i/>
          <w:sz w:val="24"/>
          <w:szCs w:val="24"/>
        </w:rPr>
        <w:t xml:space="preserve"> </w:t>
      </w:r>
      <w:bookmarkStart w:id="1" w:name="_GoBack"/>
      <w:r w:rsidR="00E402E9" w:rsidRPr="00E402E9">
        <w:rPr>
          <w:rFonts w:ascii="Arial" w:hAnsi="Arial" w:cs="Arial"/>
          <w:b/>
          <w:i/>
          <w:sz w:val="24"/>
          <w:szCs w:val="24"/>
        </w:rPr>
        <w:t xml:space="preserve">Iniciativa con carácter de Punto de Acuerdo a efecto de hacer un llamado y exhorto </w:t>
      </w:r>
      <w:r w:rsidR="008E0B4C" w:rsidRPr="00E402E9">
        <w:rPr>
          <w:rFonts w:ascii="Arial" w:hAnsi="Arial" w:cs="Arial"/>
          <w:b/>
          <w:i/>
          <w:sz w:val="24"/>
          <w:szCs w:val="24"/>
        </w:rPr>
        <w:t xml:space="preserve">al Poder Ejecutivo Estatal, a través de la Secretaria de Hacienda, para </w:t>
      </w:r>
      <w:r w:rsidR="003B4F6F" w:rsidRPr="00E402E9">
        <w:rPr>
          <w:rFonts w:ascii="Arial" w:hAnsi="Arial" w:cs="Arial"/>
          <w:b/>
          <w:i/>
          <w:sz w:val="24"/>
          <w:szCs w:val="24"/>
        </w:rPr>
        <w:t xml:space="preserve">que </w:t>
      </w:r>
      <w:r w:rsidR="004545C6" w:rsidRPr="00E402E9">
        <w:rPr>
          <w:rFonts w:ascii="Arial" w:hAnsi="Arial" w:cs="Arial"/>
          <w:b/>
          <w:i/>
          <w:sz w:val="24"/>
          <w:szCs w:val="24"/>
        </w:rPr>
        <w:t>ante la elaboración del paquete económico 2021</w:t>
      </w:r>
      <w:r w:rsidR="003B4F6F" w:rsidRPr="00E402E9">
        <w:rPr>
          <w:rFonts w:ascii="Arial" w:hAnsi="Arial" w:cs="Arial"/>
          <w:b/>
          <w:i/>
          <w:sz w:val="24"/>
          <w:szCs w:val="24"/>
        </w:rPr>
        <w:t>, presente un Modelo Equilibrado Presupuestalmente, que brinde certidumbre a Municipios y Proveedores de la Administración Estatal</w:t>
      </w:r>
      <w:bookmarkEnd w:id="1"/>
      <w:r w:rsidR="00E402E9">
        <w:rPr>
          <w:rFonts w:ascii="Arial" w:hAnsi="Arial" w:cs="Arial"/>
          <w:b/>
          <w:i/>
          <w:sz w:val="24"/>
          <w:szCs w:val="24"/>
        </w:rPr>
        <w:t>,</w:t>
      </w:r>
      <w:r w:rsidRPr="00E90617">
        <w:rPr>
          <w:rFonts w:ascii="Arial" w:hAnsi="Arial" w:cs="Arial"/>
          <w:i/>
          <w:sz w:val="24"/>
          <w:szCs w:val="24"/>
        </w:rPr>
        <w:t xml:space="preserve"> </w:t>
      </w:r>
      <w:r w:rsidR="00677AA4" w:rsidRPr="00E90617">
        <w:rPr>
          <w:rFonts w:ascii="Arial" w:hAnsi="Arial" w:cs="Arial"/>
          <w:i/>
          <w:sz w:val="24"/>
          <w:szCs w:val="24"/>
        </w:rPr>
        <w:t xml:space="preserve">lo anterior de conformidad </w:t>
      </w:r>
      <w:r w:rsidRPr="00E90617">
        <w:rPr>
          <w:rFonts w:ascii="Arial" w:hAnsi="Arial" w:cs="Arial"/>
          <w:i/>
          <w:sz w:val="24"/>
          <w:szCs w:val="24"/>
        </w:rPr>
        <w:t>con la siguiente:</w:t>
      </w:r>
    </w:p>
    <w:p w14:paraId="54375C9A" w14:textId="77777777" w:rsidR="005E607B" w:rsidRPr="00E90617" w:rsidRDefault="005E607B" w:rsidP="003276F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60D68BCF" w14:textId="7E55EDB1" w:rsidR="00F94CD9" w:rsidRDefault="00B4737B" w:rsidP="003276F1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E90617">
        <w:rPr>
          <w:rFonts w:ascii="Arial" w:hAnsi="Arial" w:cs="Arial"/>
          <w:b/>
          <w:i/>
          <w:sz w:val="24"/>
          <w:szCs w:val="24"/>
        </w:rPr>
        <w:t>EXPOSICIÓN DE MOTIVOS</w:t>
      </w:r>
    </w:p>
    <w:p w14:paraId="418C9CF5" w14:textId="4A6E2E02" w:rsidR="00B03267" w:rsidRPr="00B03267" w:rsidRDefault="00B03267" w:rsidP="003276F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177A774" w14:textId="16695D85" w:rsidR="008F747B" w:rsidRDefault="00B03267" w:rsidP="00626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03267">
        <w:rPr>
          <w:rFonts w:ascii="Arial" w:hAnsi="Arial" w:cs="Arial"/>
          <w:sz w:val="24"/>
          <w:szCs w:val="24"/>
        </w:rPr>
        <w:t xml:space="preserve">La actividad económica en México </w:t>
      </w:r>
      <w:r w:rsidR="00626D6B">
        <w:rPr>
          <w:rFonts w:ascii="Arial" w:hAnsi="Arial" w:cs="Arial"/>
          <w:sz w:val="24"/>
          <w:szCs w:val="24"/>
        </w:rPr>
        <w:t>r</w:t>
      </w:r>
      <w:r w:rsidR="007F79BE" w:rsidRPr="007F79BE">
        <w:rPr>
          <w:rFonts w:ascii="Arial" w:hAnsi="Arial" w:cs="Arial"/>
          <w:sz w:val="24"/>
          <w:szCs w:val="24"/>
        </w:rPr>
        <w:t xml:space="preserve">egistra una contracción histórica. </w:t>
      </w:r>
      <w:r w:rsidR="00626D6B">
        <w:rPr>
          <w:rFonts w:ascii="Arial" w:hAnsi="Arial" w:cs="Arial"/>
          <w:sz w:val="24"/>
          <w:szCs w:val="24"/>
        </w:rPr>
        <w:t>El d</w:t>
      </w:r>
      <w:r w:rsidR="007F79BE" w:rsidRPr="007F79BE">
        <w:rPr>
          <w:rFonts w:ascii="Arial" w:hAnsi="Arial" w:cs="Arial"/>
          <w:sz w:val="24"/>
          <w:szCs w:val="24"/>
        </w:rPr>
        <w:t xml:space="preserve">esempleo, </w:t>
      </w:r>
      <w:r w:rsidR="00626D6B">
        <w:rPr>
          <w:rFonts w:ascii="Arial" w:hAnsi="Arial" w:cs="Arial"/>
          <w:sz w:val="24"/>
          <w:szCs w:val="24"/>
        </w:rPr>
        <w:t xml:space="preserve">cierre de negocios, incremento de </w:t>
      </w:r>
      <w:r w:rsidR="008F747B">
        <w:rPr>
          <w:rFonts w:ascii="Arial" w:hAnsi="Arial" w:cs="Arial"/>
          <w:sz w:val="24"/>
          <w:szCs w:val="24"/>
        </w:rPr>
        <w:t>la pobreza y un crecimiento de la deuda publica en relación al PIB sin haber solicitado un solo crédito, (62%) son parte de los elementos que tendremos que enfrentar en el inmediato plazo.</w:t>
      </w:r>
    </w:p>
    <w:p w14:paraId="426CF3BD" w14:textId="77777777" w:rsidR="008F747B" w:rsidRDefault="008F747B" w:rsidP="00626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58B02B" w14:textId="4DA794CB" w:rsidR="008F747B" w:rsidRDefault="00715EE1" w:rsidP="00626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 la menor producción bruta nacional, la proporción de la deuda pública se incrementa y d</w:t>
      </w:r>
      <w:r w:rsidR="008F747B">
        <w:rPr>
          <w:rFonts w:ascii="Arial" w:hAnsi="Arial" w:cs="Arial"/>
          <w:sz w:val="24"/>
          <w:szCs w:val="24"/>
        </w:rPr>
        <w:t>icha situación puede poner en riesgo el grado de inversión de nuestro país, que aunado a la incertidumbre de la banca privada son grandes riesgos para el siguiente año.</w:t>
      </w:r>
    </w:p>
    <w:p w14:paraId="55A6CFB4" w14:textId="77777777" w:rsidR="00AB50DB" w:rsidRDefault="00AB50DB" w:rsidP="00626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2E05AB" w14:textId="177580B8" w:rsidR="008F747B" w:rsidRDefault="00715EE1" w:rsidP="00626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que, e</w:t>
      </w:r>
      <w:r w:rsidR="008F747B">
        <w:rPr>
          <w:rFonts w:ascii="Arial" w:hAnsi="Arial" w:cs="Arial"/>
          <w:sz w:val="24"/>
          <w:szCs w:val="24"/>
        </w:rPr>
        <w:t>n un escenario de larga recesión</w:t>
      </w:r>
      <w:r>
        <w:rPr>
          <w:rFonts w:ascii="Arial" w:hAnsi="Arial" w:cs="Arial"/>
          <w:sz w:val="24"/>
          <w:szCs w:val="24"/>
        </w:rPr>
        <w:t>,</w:t>
      </w:r>
      <w:r w:rsidR="008F747B">
        <w:rPr>
          <w:rFonts w:ascii="Arial" w:hAnsi="Arial" w:cs="Arial"/>
          <w:sz w:val="24"/>
          <w:szCs w:val="24"/>
        </w:rPr>
        <w:t xml:space="preserve"> según analistas </w:t>
      </w:r>
      <w:r w:rsidR="007F79BE" w:rsidRPr="007F79BE">
        <w:rPr>
          <w:rFonts w:ascii="Arial" w:hAnsi="Arial" w:cs="Arial"/>
          <w:sz w:val="24"/>
          <w:szCs w:val="24"/>
        </w:rPr>
        <w:t>México podría tardar hasta un sexenio para recuperar el tamaño que tuvo la economía</w:t>
      </w:r>
      <w:r w:rsidR="008F747B">
        <w:rPr>
          <w:rFonts w:ascii="Arial" w:hAnsi="Arial" w:cs="Arial"/>
          <w:sz w:val="24"/>
          <w:szCs w:val="24"/>
        </w:rPr>
        <w:t xml:space="preserve"> en 2018, lo que representaría un sexenio perdido y millones de mexicanos incorporándose a la pobreza extrema.</w:t>
      </w:r>
    </w:p>
    <w:p w14:paraId="54AF9E9A" w14:textId="77777777" w:rsidR="008F747B" w:rsidRDefault="008F747B" w:rsidP="00626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CF2305" w14:textId="4D512341" w:rsidR="007F79BE" w:rsidRPr="008F747B" w:rsidRDefault="008F747B" w:rsidP="00B032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decir, después de</w:t>
      </w:r>
      <w:r w:rsidR="007F79BE" w:rsidRPr="007F79BE">
        <w:rPr>
          <w:rFonts w:ascii="Arial" w:hAnsi="Arial" w:cs="Arial"/>
          <w:sz w:val="24"/>
          <w:szCs w:val="24"/>
        </w:rPr>
        <w:t xml:space="preserve"> 30 años de tasas de crecimiento </w:t>
      </w:r>
      <w:r>
        <w:rPr>
          <w:rFonts w:ascii="Arial" w:hAnsi="Arial" w:cs="Arial"/>
          <w:sz w:val="24"/>
          <w:szCs w:val="24"/>
        </w:rPr>
        <w:t xml:space="preserve">del 2.5 por ciento, hoy nos encontramos en recesión económica, si bien es en gran medida por </w:t>
      </w:r>
      <w:r w:rsidR="007F79BE" w:rsidRPr="007F79BE">
        <w:rPr>
          <w:rFonts w:ascii="Arial" w:hAnsi="Arial" w:cs="Arial"/>
          <w:sz w:val="24"/>
          <w:szCs w:val="24"/>
        </w:rPr>
        <w:t>la profunda por la paráli</w:t>
      </w:r>
      <w:r>
        <w:rPr>
          <w:rFonts w:ascii="Arial" w:hAnsi="Arial" w:cs="Arial"/>
          <w:sz w:val="24"/>
          <w:szCs w:val="24"/>
        </w:rPr>
        <w:t>sis a la que obligó el Covid-19, la falta de una política fiscal que ayude a la economía han calado en el agravamiento del escenario económico.</w:t>
      </w:r>
    </w:p>
    <w:p w14:paraId="1510602C" w14:textId="77777777" w:rsidR="00780BDE" w:rsidRDefault="00780BDE" w:rsidP="00780BD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FED1E8" w14:textId="1DAFBFBB" w:rsidR="008859B3" w:rsidRPr="007D7D62" w:rsidRDefault="00715EE1" w:rsidP="00780BD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 esto ha impactado las fianzas publicas este año, en especial la de las entidades federativas, tan solo p</w:t>
      </w:r>
      <w:r w:rsidR="00780BDE" w:rsidRPr="007D7D62">
        <w:rPr>
          <w:rFonts w:ascii="Arial" w:hAnsi="Arial" w:cs="Arial"/>
          <w:sz w:val="24"/>
          <w:szCs w:val="24"/>
        </w:rPr>
        <w:t xml:space="preserve">ara el ejercicio fiscal 2020 se estima una disminución de </w:t>
      </w:r>
      <w:r w:rsidR="00DB2172" w:rsidRPr="007D7D62">
        <w:rPr>
          <w:rFonts w:ascii="Arial" w:hAnsi="Arial" w:cs="Arial"/>
          <w:sz w:val="24"/>
          <w:szCs w:val="24"/>
        </w:rPr>
        <w:t>aproximadamente</w:t>
      </w:r>
      <w:r w:rsidR="00780BDE" w:rsidRPr="007D7D62">
        <w:rPr>
          <w:rFonts w:ascii="Arial" w:hAnsi="Arial" w:cs="Arial"/>
          <w:sz w:val="24"/>
          <w:szCs w:val="24"/>
        </w:rPr>
        <w:t xml:space="preserve"> 90 mmdp en participaciones a estados y municipios</w:t>
      </w:r>
      <w:r w:rsidR="005C6052" w:rsidRPr="007D7D62">
        <w:rPr>
          <w:rFonts w:ascii="Arial" w:hAnsi="Arial" w:cs="Arial"/>
          <w:sz w:val="24"/>
          <w:szCs w:val="24"/>
        </w:rPr>
        <w:t xml:space="preserve">, </w:t>
      </w:r>
      <w:r w:rsidR="008859B3" w:rsidRPr="007D7D62">
        <w:rPr>
          <w:rFonts w:ascii="Arial" w:hAnsi="Arial" w:cs="Arial"/>
          <w:sz w:val="24"/>
          <w:szCs w:val="24"/>
        </w:rPr>
        <w:t xml:space="preserve">situación que será apenas cubierto con el fondo de estabilización </w:t>
      </w:r>
      <w:r w:rsidR="00AA6B96" w:rsidRPr="007D7D62">
        <w:rPr>
          <w:rFonts w:ascii="Arial" w:hAnsi="Arial" w:cs="Arial"/>
          <w:sz w:val="24"/>
          <w:szCs w:val="24"/>
        </w:rPr>
        <w:t>de las E</w:t>
      </w:r>
      <w:r w:rsidR="008859B3" w:rsidRPr="007D7D62">
        <w:rPr>
          <w:rFonts w:ascii="Arial" w:hAnsi="Arial" w:cs="Arial"/>
          <w:sz w:val="24"/>
          <w:szCs w:val="24"/>
        </w:rPr>
        <w:t>ntidades Federativas, aunado a esto tendremos que analizar el impacto financiero en la tributación local.</w:t>
      </w:r>
    </w:p>
    <w:p w14:paraId="4969F1DA" w14:textId="350BC604" w:rsidR="004A22C2" w:rsidRDefault="00AA6B96" w:rsidP="004A22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7D62">
        <w:rPr>
          <w:rFonts w:ascii="Arial" w:hAnsi="Arial" w:cs="Arial"/>
          <w:sz w:val="24"/>
          <w:szCs w:val="24"/>
        </w:rPr>
        <w:t xml:space="preserve">Sin </w:t>
      </w:r>
      <w:r w:rsidR="00715EE1" w:rsidRPr="007D7D62">
        <w:rPr>
          <w:rFonts w:ascii="Arial" w:hAnsi="Arial" w:cs="Arial"/>
          <w:sz w:val="24"/>
          <w:szCs w:val="24"/>
        </w:rPr>
        <w:t>embargo,</w:t>
      </w:r>
      <w:r w:rsidR="00715EE1">
        <w:rPr>
          <w:rFonts w:ascii="Arial" w:hAnsi="Arial" w:cs="Arial"/>
          <w:sz w:val="24"/>
          <w:szCs w:val="24"/>
        </w:rPr>
        <w:t xml:space="preserve"> en Chihuahua</w:t>
      </w:r>
      <w:r w:rsidRPr="007D7D62">
        <w:rPr>
          <w:rFonts w:ascii="Arial" w:hAnsi="Arial" w:cs="Arial"/>
          <w:sz w:val="24"/>
          <w:szCs w:val="24"/>
        </w:rPr>
        <w:t xml:space="preserve"> tenemos</w:t>
      </w:r>
      <w:r w:rsidR="00715EE1">
        <w:rPr>
          <w:rFonts w:ascii="Arial" w:hAnsi="Arial" w:cs="Arial"/>
          <w:sz w:val="24"/>
          <w:szCs w:val="24"/>
        </w:rPr>
        <w:t xml:space="preserve"> ya</w:t>
      </w:r>
      <w:r w:rsidRPr="007D7D62">
        <w:rPr>
          <w:rFonts w:ascii="Arial" w:hAnsi="Arial" w:cs="Arial"/>
          <w:sz w:val="24"/>
          <w:szCs w:val="24"/>
        </w:rPr>
        <w:t xml:space="preserve"> 4 años de presupuestos deficitarios y una administración que ha convertido el manejo de los pasivos a corto plazo en una estrategia de financiamiento para el </w:t>
      </w:r>
      <w:r w:rsidR="007D7D62" w:rsidRPr="007D7D62">
        <w:rPr>
          <w:rFonts w:ascii="Arial" w:hAnsi="Arial" w:cs="Arial"/>
          <w:sz w:val="24"/>
          <w:szCs w:val="24"/>
        </w:rPr>
        <w:t>cumplimiento</w:t>
      </w:r>
      <w:r w:rsidRPr="007D7D62">
        <w:rPr>
          <w:rFonts w:ascii="Arial" w:hAnsi="Arial" w:cs="Arial"/>
          <w:sz w:val="24"/>
          <w:szCs w:val="24"/>
        </w:rPr>
        <w:t xml:space="preserve"> de </w:t>
      </w:r>
      <w:r w:rsidR="007D7D62">
        <w:rPr>
          <w:rFonts w:ascii="Arial" w:hAnsi="Arial" w:cs="Arial"/>
          <w:sz w:val="24"/>
          <w:szCs w:val="24"/>
        </w:rPr>
        <w:t>requerimientos diarios de la administración.</w:t>
      </w:r>
    </w:p>
    <w:p w14:paraId="7F2D90D6" w14:textId="44E145D3" w:rsidR="00EC096B" w:rsidRDefault="00EC096B" w:rsidP="004A22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otro lado, pero en ese mismo sentido, sabemos que l</w:t>
      </w:r>
      <w:r w:rsidR="004A22C2" w:rsidRPr="004A22C2">
        <w:rPr>
          <w:rFonts w:ascii="Arial" w:hAnsi="Arial" w:cs="Arial"/>
          <w:sz w:val="24"/>
          <w:szCs w:val="24"/>
        </w:rPr>
        <w:t xml:space="preserve">os Fondos de Estabilización de los Ingresos Presupuestales y el de Estabilización de los Ingresos de las Entidades Federativas </w:t>
      </w:r>
      <w:r>
        <w:rPr>
          <w:rFonts w:ascii="Arial" w:hAnsi="Arial" w:cs="Arial"/>
          <w:sz w:val="24"/>
          <w:szCs w:val="24"/>
        </w:rPr>
        <w:t xml:space="preserve">se encontraran </w:t>
      </w:r>
      <w:r w:rsidRPr="004A22C2">
        <w:rPr>
          <w:rFonts w:ascii="Arial" w:hAnsi="Arial" w:cs="Arial"/>
          <w:sz w:val="24"/>
          <w:szCs w:val="24"/>
        </w:rPr>
        <w:t>agotados</w:t>
      </w:r>
      <w:r w:rsidR="004A22C2" w:rsidRPr="004A22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el 2021, dicha situación genera mayor incertidumbre para las entidades financieras.</w:t>
      </w:r>
    </w:p>
    <w:p w14:paraId="7056E53E" w14:textId="3B531071" w:rsidR="004A22C2" w:rsidRPr="004A22C2" w:rsidRDefault="00EC096B" w:rsidP="00EC09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declaración del Secretario de Hacienda y Crédito Público menciona que el </w:t>
      </w:r>
      <w:r w:rsidRPr="004A22C2">
        <w:rPr>
          <w:rFonts w:ascii="Arial" w:hAnsi="Arial" w:cs="Arial"/>
          <w:sz w:val="24"/>
          <w:szCs w:val="24"/>
        </w:rPr>
        <w:t>precio</w:t>
      </w:r>
      <w:r w:rsidR="004A22C2" w:rsidRPr="004A22C2">
        <w:rPr>
          <w:rFonts w:ascii="Arial" w:hAnsi="Arial" w:cs="Arial"/>
          <w:sz w:val="24"/>
          <w:szCs w:val="24"/>
        </w:rPr>
        <w:t xml:space="preserve"> de las coberturas petroleras será menor en 22% para 2021</w:t>
      </w:r>
      <w:r>
        <w:rPr>
          <w:rFonts w:ascii="Arial" w:hAnsi="Arial" w:cs="Arial"/>
          <w:sz w:val="24"/>
          <w:szCs w:val="24"/>
        </w:rPr>
        <w:t>, situación que también impactará de mane</w:t>
      </w:r>
      <w:r w:rsidR="004B0DD6">
        <w:rPr>
          <w:rFonts w:ascii="Arial" w:hAnsi="Arial" w:cs="Arial"/>
          <w:sz w:val="24"/>
          <w:szCs w:val="24"/>
        </w:rPr>
        <w:t>ra directa en las aportaciones,</w:t>
      </w:r>
      <w:r>
        <w:rPr>
          <w:rFonts w:ascii="Arial" w:hAnsi="Arial" w:cs="Arial"/>
          <w:sz w:val="24"/>
          <w:szCs w:val="24"/>
        </w:rPr>
        <w:t xml:space="preserve"> transferencias </w:t>
      </w:r>
      <w:r w:rsidR="004B0DD6">
        <w:rPr>
          <w:rFonts w:ascii="Arial" w:hAnsi="Arial" w:cs="Arial"/>
          <w:sz w:val="24"/>
          <w:szCs w:val="24"/>
        </w:rPr>
        <w:t xml:space="preserve">e inversión </w:t>
      </w:r>
      <w:r>
        <w:rPr>
          <w:rFonts w:ascii="Arial" w:hAnsi="Arial" w:cs="Arial"/>
          <w:sz w:val="24"/>
          <w:szCs w:val="24"/>
        </w:rPr>
        <w:t>para las entidades federativas.</w:t>
      </w:r>
    </w:p>
    <w:p w14:paraId="01EA8F24" w14:textId="7CAAA2DA" w:rsidR="00AA6B96" w:rsidRDefault="007D7D62" w:rsidP="00780BD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por esta razón y que ante las declaraciones de un presupuesto federal menor para 2021</w:t>
      </w:r>
      <w:r w:rsidR="004B0DD6">
        <w:rPr>
          <w:rFonts w:ascii="Arial" w:hAnsi="Arial" w:cs="Arial"/>
          <w:sz w:val="24"/>
          <w:szCs w:val="24"/>
        </w:rPr>
        <w:t xml:space="preserve"> </w:t>
      </w:r>
      <w:r w:rsidR="00EC096B">
        <w:rPr>
          <w:rFonts w:ascii="Arial" w:hAnsi="Arial" w:cs="Arial"/>
          <w:sz w:val="24"/>
          <w:szCs w:val="24"/>
        </w:rPr>
        <w:t>y sin deuda</w:t>
      </w:r>
      <w:r>
        <w:rPr>
          <w:rFonts w:ascii="Arial" w:hAnsi="Arial" w:cs="Arial"/>
          <w:sz w:val="24"/>
          <w:szCs w:val="24"/>
        </w:rPr>
        <w:t>, además</w:t>
      </w:r>
      <w:r w:rsidR="00EC096B">
        <w:rPr>
          <w:rFonts w:ascii="Arial" w:hAnsi="Arial" w:cs="Arial"/>
          <w:sz w:val="24"/>
          <w:szCs w:val="24"/>
        </w:rPr>
        <w:t xml:space="preserve"> del previo aviso de que no existirán</w:t>
      </w:r>
      <w:r>
        <w:rPr>
          <w:rFonts w:ascii="Arial" w:hAnsi="Arial" w:cs="Arial"/>
          <w:sz w:val="24"/>
          <w:szCs w:val="24"/>
        </w:rPr>
        <w:t xml:space="preserve"> fondos de cobertura para los requerimientos estatales, es importante que el poder ejecutivo entregue un presupuesto sustentado en la austeridad y responsabilidad financiera, con metas y objetivos reales, garantizando </w:t>
      </w:r>
      <w:r w:rsidR="004A22C2">
        <w:rPr>
          <w:rFonts w:ascii="Arial" w:hAnsi="Arial" w:cs="Arial"/>
          <w:sz w:val="24"/>
          <w:szCs w:val="24"/>
        </w:rPr>
        <w:t>el cumplimiento de sus compromisos financieros en su último año de administración.</w:t>
      </w:r>
    </w:p>
    <w:p w14:paraId="2571C239" w14:textId="653CF1D8" w:rsidR="004B0DD6" w:rsidRDefault="004A22C2" w:rsidP="00780BD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bien la Ley de </w:t>
      </w:r>
      <w:r w:rsidR="00EC096B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 financiera obliga a las entidades federativas a tener liquidadas sus obligaciones de corto plazo </w:t>
      </w:r>
      <w:r w:rsidR="004B0DD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meses </w:t>
      </w:r>
      <w:r w:rsidR="00EC096B">
        <w:rPr>
          <w:rFonts w:ascii="Arial" w:hAnsi="Arial" w:cs="Arial"/>
          <w:sz w:val="24"/>
          <w:szCs w:val="24"/>
        </w:rPr>
        <w:t>antes</w:t>
      </w:r>
      <w:r>
        <w:rPr>
          <w:rFonts w:ascii="Arial" w:hAnsi="Arial" w:cs="Arial"/>
          <w:sz w:val="24"/>
          <w:szCs w:val="24"/>
        </w:rPr>
        <w:t xml:space="preserve"> de concluir su administración, este cumplimiento no debe ser en deterioro de los </w:t>
      </w:r>
      <w:r w:rsidR="00EC096B">
        <w:rPr>
          <w:rFonts w:ascii="Arial" w:hAnsi="Arial" w:cs="Arial"/>
          <w:sz w:val="24"/>
          <w:szCs w:val="24"/>
        </w:rPr>
        <w:t>proveedores</w:t>
      </w:r>
      <w:r>
        <w:rPr>
          <w:rFonts w:ascii="Arial" w:hAnsi="Arial" w:cs="Arial"/>
          <w:sz w:val="24"/>
          <w:szCs w:val="24"/>
        </w:rPr>
        <w:t xml:space="preserve"> locales, por esta razón </w:t>
      </w:r>
      <w:r w:rsidR="00EC096B">
        <w:rPr>
          <w:rFonts w:ascii="Arial" w:hAnsi="Arial" w:cs="Arial"/>
          <w:sz w:val="24"/>
          <w:szCs w:val="24"/>
        </w:rPr>
        <w:t>también</w:t>
      </w:r>
      <w:r>
        <w:rPr>
          <w:rFonts w:ascii="Arial" w:hAnsi="Arial" w:cs="Arial"/>
          <w:sz w:val="24"/>
          <w:szCs w:val="24"/>
        </w:rPr>
        <w:t xml:space="preserve"> como garante de la buena administración, debe incluir en su calendarización </w:t>
      </w:r>
      <w:r w:rsidR="004B0DD6">
        <w:rPr>
          <w:rFonts w:ascii="Arial" w:hAnsi="Arial" w:cs="Arial"/>
          <w:sz w:val="24"/>
          <w:szCs w:val="24"/>
        </w:rPr>
        <w:t>la liquidación de adeudos archivados y garantizar el cumplimiento de los de reciente adquisición.</w:t>
      </w:r>
    </w:p>
    <w:p w14:paraId="639BA605" w14:textId="4C463996" w:rsidR="004B0DD6" w:rsidRPr="00AB19BA" w:rsidRDefault="004B0DD6" w:rsidP="004B0DD6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AB19BA">
        <w:rPr>
          <w:rFonts w:ascii="Arial" w:hAnsi="Arial" w:cs="Arial"/>
          <w:i/>
          <w:sz w:val="24"/>
          <w:szCs w:val="24"/>
        </w:rPr>
        <w:t xml:space="preserve">Así </w:t>
      </w:r>
      <w:r w:rsidR="008F747B" w:rsidRPr="00AB19BA">
        <w:rPr>
          <w:rFonts w:ascii="Arial" w:hAnsi="Arial" w:cs="Arial"/>
          <w:i/>
          <w:sz w:val="24"/>
          <w:szCs w:val="24"/>
        </w:rPr>
        <w:t>pues,</w:t>
      </w:r>
      <w:r w:rsidRPr="00AB19BA">
        <w:rPr>
          <w:rFonts w:ascii="Arial" w:hAnsi="Arial" w:cs="Arial"/>
          <w:i/>
          <w:sz w:val="24"/>
          <w:szCs w:val="24"/>
        </w:rPr>
        <w:t xml:space="preserve"> atendiendo a la responsabilidad que tenemos con la ciudadanía es que con fundamento en los artículos 57 y 58 de la Constitución Política del Estado, me permito someter a la consideración de esta Asamblea el presente proyecto de punto de acuerdo bajo el siguiente:</w:t>
      </w:r>
    </w:p>
    <w:p w14:paraId="0DB2183A" w14:textId="77777777" w:rsidR="00FF0C4A" w:rsidRDefault="00FF0C4A" w:rsidP="00780BDE">
      <w:pPr>
        <w:spacing w:line="360" w:lineRule="auto"/>
        <w:jc w:val="both"/>
        <w:rPr>
          <w:rFonts w:ascii="Verdana" w:hAnsi="Verdana"/>
          <w:color w:val="000000"/>
          <w:sz w:val="21"/>
          <w:szCs w:val="21"/>
          <w:shd w:val="clear" w:color="auto" w:fill="FBFBFB"/>
        </w:rPr>
      </w:pPr>
    </w:p>
    <w:p w14:paraId="2AB9D7E9" w14:textId="0C8F5989" w:rsidR="00AC6F7A" w:rsidRPr="00AC6F7A" w:rsidRDefault="00AC6F7A" w:rsidP="00FF0C4A">
      <w:pPr>
        <w:spacing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</w:pPr>
      <w:r w:rsidRPr="00AC6F7A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4"/>
          <w:szCs w:val="24"/>
          <w:shd w:val="clear" w:color="auto" w:fill="FFFFFF"/>
        </w:rPr>
        <w:t>Constitución Política del Estado, me permito someter a la consideración de esta Soberanía, el presente proyecto con carácter de:</w:t>
      </w:r>
    </w:p>
    <w:p w14:paraId="5AB0955A" w14:textId="77777777" w:rsidR="005E607B" w:rsidRPr="00E90617" w:rsidRDefault="005E607B" w:rsidP="003276F1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6E3FF19" w14:textId="017BE675" w:rsidR="00162C10" w:rsidRDefault="00BE5A3E" w:rsidP="003276F1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E90617">
        <w:rPr>
          <w:rFonts w:ascii="Arial" w:hAnsi="Arial" w:cs="Arial"/>
          <w:b/>
          <w:i/>
          <w:sz w:val="24"/>
          <w:szCs w:val="24"/>
        </w:rPr>
        <w:lastRenderedPageBreak/>
        <w:t>ACUERDO</w:t>
      </w:r>
      <w:r w:rsidR="00162C10" w:rsidRPr="00E90617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E90617" w:rsidRDefault="004806EF" w:rsidP="003276F1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5A49EBF9" w14:textId="41DEFB4C" w:rsidR="00F20DEB" w:rsidRPr="00AB50DB" w:rsidRDefault="00BE5A3E" w:rsidP="003276F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90617">
        <w:rPr>
          <w:rFonts w:ascii="Arial" w:hAnsi="Arial" w:cs="Arial"/>
          <w:b/>
          <w:i/>
          <w:sz w:val="24"/>
          <w:szCs w:val="24"/>
        </w:rPr>
        <w:t>ÚNICO</w:t>
      </w:r>
      <w:r w:rsidRPr="00E90617">
        <w:rPr>
          <w:rFonts w:ascii="Arial" w:hAnsi="Arial" w:cs="Arial"/>
          <w:i/>
          <w:sz w:val="24"/>
          <w:szCs w:val="24"/>
        </w:rPr>
        <w:t>. - La Sexagésima Sexta Legislatu</w:t>
      </w:r>
      <w:r w:rsidRPr="005446FB">
        <w:rPr>
          <w:rFonts w:ascii="Arial" w:hAnsi="Arial" w:cs="Arial"/>
          <w:i/>
          <w:sz w:val="24"/>
          <w:szCs w:val="24"/>
        </w:rPr>
        <w:t>ra del Honorable Congreso del Estado de Chihuahua, exhorta</w:t>
      </w:r>
      <w:r w:rsidR="005E1F35" w:rsidRPr="005446FB">
        <w:rPr>
          <w:rFonts w:ascii="Arial" w:hAnsi="Arial" w:cs="Arial"/>
          <w:i/>
          <w:sz w:val="24"/>
          <w:szCs w:val="24"/>
        </w:rPr>
        <w:t xml:space="preserve"> </w:t>
      </w:r>
      <w:r w:rsidR="00AB50DB" w:rsidRPr="00AB50DB">
        <w:rPr>
          <w:rFonts w:ascii="Arial" w:hAnsi="Arial" w:cs="Arial"/>
          <w:i/>
          <w:sz w:val="24"/>
          <w:szCs w:val="24"/>
        </w:rPr>
        <w:t>al Poder Ejecutivo Estatal, a través de la Secretaria de Hacienda, para que ante la elaboración del paquete económico 2021, presente un Modelo Equilibrado Presupuestalmente, que brinde certidumbre a Municipios y Proveedores de la Administración Estatal</w:t>
      </w:r>
      <w:r w:rsidR="00AB50DB" w:rsidRPr="00AB50DB">
        <w:rPr>
          <w:rFonts w:ascii="Arial" w:hAnsi="Arial" w:cs="Arial"/>
          <w:i/>
          <w:sz w:val="24"/>
          <w:szCs w:val="24"/>
        </w:rPr>
        <w:t>.</w:t>
      </w:r>
    </w:p>
    <w:p w14:paraId="3BBFC6FE" w14:textId="77777777" w:rsidR="00AB50DB" w:rsidRPr="00E90617" w:rsidRDefault="00AB50DB" w:rsidP="003276F1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1DAB3936" w14:textId="40F752AB" w:rsidR="00BE5A3E" w:rsidRPr="00E90617" w:rsidRDefault="00E90617" w:rsidP="003276F1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ECONÓMICO. </w:t>
      </w:r>
      <w:r>
        <w:rPr>
          <w:rFonts w:ascii="Arial" w:eastAsia="Arial" w:hAnsi="Arial" w:cs="Arial"/>
          <w:i/>
          <w:sz w:val="24"/>
          <w:szCs w:val="24"/>
        </w:rPr>
        <w:t>Ap</w:t>
      </w:r>
      <w:r w:rsidR="00BE5A3E" w:rsidRPr="00E90617">
        <w:rPr>
          <w:rFonts w:ascii="Arial" w:eastAsia="Arial" w:hAnsi="Arial" w:cs="Arial"/>
          <w:i/>
          <w:sz w:val="24"/>
          <w:szCs w:val="24"/>
        </w:rPr>
        <w:t>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E90617" w:rsidRDefault="00BE5A3E" w:rsidP="003276F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3E30151D" w:rsidR="00BE5A3E" w:rsidRPr="00E90617" w:rsidRDefault="00BE5A3E" w:rsidP="003276F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90617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1B1D97" w:rsidRPr="00E90617">
        <w:rPr>
          <w:rFonts w:ascii="Arial" w:hAnsi="Arial" w:cs="Arial"/>
          <w:i/>
          <w:sz w:val="24"/>
          <w:szCs w:val="24"/>
        </w:rPr>
        <w:t xml:space="preserve"> </w:t>
      </w:r>
      <w:r w:rsidR="00AB50DB">
        <w:rPr>
          <w:rFonts w:ascii="Arial" w:hAnsi="Arial" w:cs="Arial"/>
          <w:i/>
          <w:sz w:val="24"/>
          <w:szCs w:val="24"/>
        </w:rPr>
        <w:t>29</w:t>
      </w:r>
      <w:r w:rsidR="005E1F35" w:rsidRPr="00E90617">
        <w:rPr>
          <w:rFonts w:ascii="Arial" w:hAnsi="Arial" w:cs="Arial"/>
          <w:i/>
          <w:sz w:val="24"/>
          <w:szCs w:val="24"/>
        </w:rPr>
        <w:t xml:space="preserve"> días</w:t>
      </w:r>
      <w:r w:rsidRPr="00E90617">
        <w:rPr>
          <w:rFonts w:ascii="Arial" w:hAnsi="Arial" w:cs="Arial"/>
          <w:i/>
          <w:sz w:val="24"/>
          <w:szCs w:val="24"/>
        </w:rPr>
        <w:t xml:space="preserve"> del mes de </w:t>
      </w:r>
      <w:r w:rsidR="00AB50DB">
        <w:rPr>
          <w:rFonts w:ascii="Arial" w:hAnsi="Arial" w:cs="Arial"/>
          <w:i/>
          <w:sz w:val="24"/>
          <w:szCs w:val="24"/>
        </w:rPr>
        <w:t>agosto</w:t>
      </w:r>
      <w:r w:rsidR="00F26AFC" w:rsidRPr="00E90617">
        <w:rPr>
          <w:rFonts w:ascii="Arial" w:hAnsi="Arial" w:cs="Arial"/>
          <w:i/>
          <w:sz w:val="24"/>
          <w:szCs w:val="24"/>
        </w:rPr>
        <w:t xml:space="preserve"> </w:t>
      </w:r>
      <w:r w:rsidRPr="00E90617">
        <w:rPr>
          <w:rFonts w:ascii="Arial" w:hAnsi="Arial" w:cs="Arial"/>
          <w:i/>
          <w:sz w:val="24"/>
          <w:szCs w:val="24"/>
        </w:rPr>
        <w:t>del año dos mil veinte.</w:t>
      </w:r>
    </w:p>
    <w:p w14:paraId="6934E6D4" w14:textId="77777777" w:rsidR="00BE5A3E" w:rsidRPr="00E90617" w:rsidRDefault="00BE5A3E" w:rsidP="003276F1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E90617" w:rsidRDefault="00BE5A3E" w:rsidP="003276F1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E90617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E90617" w:rsidRDefault="00BE5A3E" w:rsidP="003276F1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E90617" w:rsidRDefault="00BE5A3E" w:rsidP="003276F1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E90617" w:rsidRDefault="00BE5A3E" w:rsidP="003276F1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E90617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278F5706" w:rsidR="00BE5A3E" w:rsidRPr="00E90617" w:rsidRDefault="00BE5A3E" w:rsidP="003276F1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E90617">
        <w:rPr>
          <w:rFonts w:ascii="Arial" w:hAnsi="Arial" w:cs="Arial"/>
          <w:b/>
          <w:i/>
          <w:sz w:val="24"/>
          <w:szCs w:val="24"/>
        </w:rPr>
        <w:t>Vicepr</w:t>
      </w:r>
      <w:r w:rsidR="00E90617">
        <w:rPr>
          <w:rFonts w:ascii="Arial" w:hAnsi="Arial" w:cs="Arial"/>
          <w:b/>
          <w:i/>
          <w:sz w:val="24"/>
          <w:szCs w:val="24"/>
        </w:rPr>
        <w:t>esi</w:t>
      </w:r>
      <w:r w:rsidRPr="00E90617">
        <w:rPr>
          <w:rFonts w:ascii="Arial" w:hAnsi="Arial" w:cs="Arial"/>
          <w:b/>
          <w:i/>
          <w:sz w:val="24"/>
          <w:szCs w:val="24"/>
        </w:rPr>
        <w:t>d</w:t>
      </w:r>
      <w:r w:rsidR="001B1D97" w:rsidRPr="00E90617">
        <w:rPr>
          <w:rFonts w:ascii="Arial" w:hAnsi="Arial" w:cs="Arial"/>
          <w:b/>
          <w:i/>
          <w:sz w:val="24"/>
          <w:szCs w:val="24"/>
        </w:rPr>
        <w:t>ente del H. Congreso del Estado</w:t>
      </w:r>
    </w:p>
    <w:sectPr w:rsidR="00BE5A3E" w:rsidRPr="00E90617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AB492" w14:textId="77777777" w:rsidR="00FE14FF" w:rsidRDefault="00FE14FF" w:rsidP="007F665E">
      <w:pPr>
        <w:spacing w:after="0" w:line="240" w:lineRule="auto"/>
      </w:pPr>
      <w:r>
        <w:separator/>
      </w:r>
    </w:p>
  </w:endnote>
  <w:endnote w:type="continuationSeparator" w:id="0">
    <w:p w14:paraId="39C20AD4" w14:textId="77777777" w:rsidR="00FE14FF" w:rsidRDefault="00FE14FF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461E7" w14:textId="77777777" w:rsidR="00FE14FF" w:rsidRDefault="00FE14FF" w:rsidP="007F665E">
      <w:pPr>
        <w:spacing w:after="0" w:line="240" w:lineRule="auto"/>
      </w:pPr>
      <w:r>
        <w:separator/>
      </w:r>
    </w:p>
  </w:footnote>
  <w:footnote w:type="continuationSeparator" w:id="0">
    <w:p w14:paraId="1F8A5BCF" w14:textId="77777777" w:rsidR="00FE14FF" w:rsidRDefault="00FE14FF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1972C37"/>
    <w:multiLevelType w:val="hybridMultilevel"/>
    <w:tmpl w:val="072EF1F2"/>
    <w:lvl w:ilvl="0" w:tplc="EA9CFF8A">
      <w:start w:val="5"/>
      <w:numFmt w:val="upperRoman"/>
      <w:lvlText w:val="%1."/>
      <w:lvlJc w:val="left"/>
      <w:pPr>
        <w:ind w:left="1275" w:hanging="72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635" w:hanging="360"/>
      </w:pPr>
    </w:lvl>
    <w:lvl w:ilvl="2" w:tplc="080A001B" w:tentative="1">
      <w:start w:val="1"/>
      <w:numFmt w:val="lowerRoman"/>
      <w:lvlText w:val="%3."/>
      <w:lvlJc w:val="right"/>
      <w:pPr>
        <w:ind w:left="2355" w:hanging="180"/>
      </w:pPr>
    </w:lvl>
    <w:lvl w:ilvl="3" w:tplc="080A000F" w:tentative="1">
      <w:start w:val="1"/>
      <w:numFmt w:val="decimal"/>
      <w:lvlText w:val="%4."/>
      <w:lvlJc w:val="left"/>
      <w:pPr>
        <w:ind w:left="3075" w:hanging="360"/>
      </w:pPr>
    </w:lvl>
    <w:lvl w:ilvl="4" w:tplc="080A0019" w:tentative="1">
      <w:start w:val="1"/>
      <w:numFmt w:val="lowerLetter"/>
      <w:lvlText w:val="%5."/>
      <w:lvlJc w:val="left"/>
      <w:pPr>
        <w:ind w:left="3795" w:hanging="360"/>
      </w:pPr>
    </w:lvl>
    <w:lvl w:ilvl="5" w:tplc="080A001B" w:tentative="1">
      <w:start w:val="1"/>
      <w:numFmt w:val="lowerRoman"/>
      <w:lvlText w:val="%6."/>
      <w:lvlJc w:val="right"/>
      <w:pPr>
        <w:ind w:left="4515" w:hanging="180"/>
      </w:pPr>
    </w:lvl>
    <w:lvl w:ilvl="6" w:tplc="080A000F" w:tentative="1">
      <w:start w:val="1"/>
      <w:numFmt w:val="decimal"/>
      <w:lvlText w:val="%7."/>
      <w:lvlJc w:val="left"/>
      <w:pPr>
        <w:ind w:left="5235" w:hanging="360"/>
      </w:pPr>
    </w:lvl>
    <w:lvl w:ilvl="7" w:tplc="080A0019" w:tentative="1">
      <w:start w:val="1"/>
      <w:numFmt w:val="lowerLetter"/>
      <w:lvlText w:val="%8."/>
      <w:lvlJc w:val="left"/>
      <w:pPr>
        <w:ind w:left="5955" w:hanging="360"/>
      </w:pPr>
    </w:lvl>
    <w:lvl w:ilvl="8" w:tplc="08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62A92"/>
    <w:multiLevelType w:val="multilevel"/>
    <w:tmpl w:val="B1188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A27AF"/>
    <w:multiLevelType w:val="hybridMultilevel"/>
    <w:tmpl w:val="28406A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8C96D47"/>
    <w:multiLevelType w:val="hybridMultilevel"/>
    <w:tmpl w:val="28406A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787F67"/>
    <w:multiLevelType w:val="hybridMultilevel"/>
    <w:tmpl w:val="8B804158"/>
    <w:lvl w:ilvl="0" w:tplc="E39A3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5484D"/>
    <w:multiLevelType w:val="hybridMultilevel"/>
    <w:tmpl w:val="45BE2168"/>
    <w:lvl w:ilvl="0" w:tplc="AA40069E">
      <w:start w:val="5"/>
      <w:numFmt w:val="upperRoman"/>
      <w:lvlText w:val="%1."/>
      <w:lvlJc w:val="left"/>
      <w:pPr>
        <w:ind w:left="127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35" w:hanging="360"/>
      </w:pPr>
    </w:lvl>
    <w:lvl w:ilvl="2" w:tplc="080A001B" w:tentative="1">
      <w:start w:val="1"/>
      <w:numFmt w:val="lowerRoman"/>
      <w:lvlText w:val="%3."/>
      <w:lvlJc w:val="right"/>
      <w:pPr>
        <w:ind w:left="2355" w:hanging="180"/>
      </w:pPr>
    </w:lvl>
    <w:lvl w:ilvl="3" w:tplc="080A000F" w:tentative="1">
      <w:start w:val="1"/>
      <w:numFmt w:val="decimal"/>
      <w:lvlText w:val="%4."/>
      <w:lvlJc w:val="left"/>
      <w:pPr>
        <w:ind w:left="3075" w:hanging="360"/>
      </w:pPr>
    </w:lvl>
    <w:lvl w:ilvl="4" w:tplc="080A0019" w:tentative="1">
      <w:start w:val="1"/>
      <w:numFmt w:val="lowerLetter"/>
      <w:lvlText w:val="%5."/>
      <w:lvlJc w:val="left"/>
      <w:pPr>
        <w:ind w:left="3795" w:hanging="360"/>
      </w:pPr>
    </w:lvl>
    <w:lvl w:ilvl="5" w:tplc="080A001B" w:tentative="1">
      <w:start w:val="1"/>
      <w:numFmt w:val="lowerRoman"/>
      <w:lvlText w:val="%6."/>
      <w:lvlJc w:val="right"/>
      <w:pPr>
        <w:ind w:left="4515" w:hanging="180"/>
      </w:pPr>
    </w:lvl>
    <w:lvl w:ilvl="6" w:tplc="080A000F" w:tentative="1">
      <w:start w:val="1"/>
      <w:numFmt w:val="decimal"/>
      <w:lvlText w:val="%7."/>
      <w:lvlJc w:val="left"/>
      <w:pPr>
        <w:ind w:left="5235" w:hanging="360"/>
      </w:pPr>
    </w:lvl>
    <w:lvl w:ilvl="7" w:tplc="080A0019" w:tentative="1">
      <w:start w:val="1"/>
      <w:numFmt w:val="lowerLetter"/>
      <w:lvlText w:val="%8."/>
      <w:lvlJc w:val="left"/>
      <w:pPr>
        <w:ind w:left="5955" w:hanging="360"/>
      </w:pPr>
    </w:lvl>
    <w:lvl w:ilvl="8" w:tplc="08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>
    <w:nsid w:val="73AC6F6E"/>
    <w:multiLevelType w:val="hybridMultilevel"/>
    <w:tmpl w:val="39586A14"/>
    <w:lvl w:ilvl="0" w:tplc="E39A3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22E1C"/>
    <w:multiLevelType w:val="hybridMultilevel"/>
    <w:tmpl w:val="388A73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5"/>
  </w:num>
  <w:num w:numId="5">
    <w:abstractNumId w:val="15"/>
  </w:num>
  <w:num w:numId="6">
    <w:abstractNumId w:val="1"/>
  </w:num>
  <w:num w:numId="7">
    <w:abstractNumId w:val="4"/>
  </w:num>
  <w:num w:numId="8">
    <w:abstractNumId w:val="9"/>
  </w:num>
  <w:num w:numId="9">
    <w:abstractNumId w:val="2"/>
  </w:num>
  <w:num w:numId="10">
    <w:abstractNumId w:val="12"/>
  </w:num>
  <w:num w:numId="11">
    <w:abstractNumId w:val="14"/>
  </w:num>
  <w:num w:numId="12">
    <w:abstractNumId w:val="3"/>
  </w:num>
  <w:num w:numId="13">
    <w:abstractNumId w:val="13"/>
  </w:num>
  <w:num w:numId="14">
    <w:abstractNumId w:val="6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728"/>
    <w:rsid w:val="00034AF4"/>
    <w:rsid w:val="00051CFE"/>
    <w:rsid w:val="00095890"/>
    <w:rsid w:val="000A6659"/>
    <w:rsid w:val="000C3A1C"/>
    <w:rsid w:val="000D3437"/>
    <w:rsid w:val="000D77B6"/>
    <w:rsid w:val="000E163C"/>
    <w:rsid w:val="000E34DD"/>
    <w:rsid w:val="000E6C8F"/>
    <w:rsid w:val="00110387"/>
    <w:rsid w:val="001162BC"/>
    <w:rsid w:val="00132286"/>
    <w:rsid w:val="001501A9"/>
    <w:rsid w:val="00150395"/>
    <w:rsid w:val="00162C10"/>
    <w:rsid w:val="00170F05"/>
    <w:rsid w:val="00175D90"/>
    <w:rsid w:val="001830A5"/>
    <w:rsid w:val="00194630"/>
    <w:rsid w:val="00195D55"/>
    <w:rsid w:val="001968DE"/>
    <w:rsid w:val="001A5D39"/>
    <w:rsid w:val="001B1D97"/>
    <w:rsid w:val="001D2707"/>
    <w:rsid w:val="001D31ED"/>
    <w:rsid w:val="001E799D"/>
    <w:rsid w:val="001F2EF1"/>
    <w:rsid w:val="001F459F"/>
    <w:rsid w:val="00203C3B"/>
    <w:rsid w:val="002124EF"/>
    <w:rsid w:val="00214D76"/>
    <w:rsid w:val="0021797A"/>
    <w:rsid w:val="00225C83"/>
    <w:rsid w:val="00240F55"/>
    <w:rsid w:val="00275EC3"/>
    <w:rsid w:val="00287E70"/>
    <w:rsid w:val="002907CE"/>
    <w:rsid w:val="00291896"/>
    <w:rsid w:val="002A3493"/>
    <w:rsid w:val="002C6CBA"/>
    <w:rsid w:val="002E019A"/>
    <w:rsid w:val="002E1EC4"/>
    <w:rsid w:val="002E3126"/>
    <w:rsid w:val="003017BF"/>
    <w:rsid w:val="003148B1"/>
    <w:rsid w:val="00326670"/>
    <w:rsid w:val="003276F1"/>
    <w:rsid w:val="0033004F"/>
    <w:rsid w:val="003319E6"/>
    <w:rsid w:val="00334727"/>
    <w:rsid w:val="00372924"/>
    <w:rsid w:val="00373CF8"/>
    <w:rsid w:val="003807EC"/>
    <w:rsid w:val="00392868"/>
    <w:rsid w:val="003963CB"/>
    <w:rsid w:val="003B3809"/>
    <w:rsid w:val="003B4F6F"/>
    <w:rsid w:val="003C4246"/>
    <w:rsid w:val="003D0927"/>
    <w:rsid w:val="003E083F"/>
    <w:rsid w:val="003E4BE4"/>
    <w:rsid w:val="003F5B81"/>
    <w:rsid w:val="00407101"/>
    <w:rsid w:val="00422B0F"/>
    <w:rsid w:val="00424F5B"/>
    <w:rsid w:val="00444C92"/>
    <w:rsid w:val="00450039"/>
    <w:rsid w:val="004545C6"/>
    <w:rsid w:val="0045467C"/>
    <w:rsid w:val="004559E6"/>
    <w:rsid w:val="004731F0"/>
    <w:rsid w:val="004806EF"/>
    <w:rsid w:val="00486004"/>
    <w:rsid w:val="00494321"/>
    <w:rsid w:val="004A22C2"/>
    <w:rsid w:val="004A3250"/>
    <w:rsid w:val="004B0DD6"/>
    <w:rsid w:val="004C5E06"/>
    <w:rsid w:val="004D4D5A"/>
    <w:rsid w:val="004D5B3F"/>
    <w:rsid w:val="004E6485"/>
    <w:rsid w:val="004F5CC3"/>
    <w:rsid w:val="004F6C89"/>
    <w:rsid w:val="00542DA3"/>
    <w:rsid w:val="005446FB"/>
    <w:rsid w:val="00550B2F"/>
    <w:rsid w:val="00561A86"/>
    <w:rsid w:val="00565098"/>
    <w:rsid w:val="005712A6"/>
    <w:rsid w:val="00571812"/>
    <w:rsid w:val="005727AA"/>
    <w:rsid w:val="00575FF1"/>
    <w:rsid w:val="005813DB"/>
    <w:rsid w:val="00582A76"/>
    <w:rsid w:val="00586E95"/>
    <w:rsid w:val="005A3384"/>
    <w:rsid w:val="005A378F"/>
    <w:rsid w:val="005B1F73"/>
    <w:rsid w:val="005B7F73"/>
    <w:rsid w:val="005C5CA8"/>
    <w:rsid w:val="005C6052"/>
    <w:rsid w:val="005E1F35"/>
    <w:rsid w:val="005E2A49"/>
    <w:rsid w:val="005E4E0B"/>
    <w:rsid w:val="005E607B"/>
    <w:rsid w:val="005F1A6B"/>
    <w:rsid w:val="005F7BB2"/>
    <w:rsid w:val="005F7DB5"/>
    <w:rsid w:val="00604AC9"/>
    <w:rsid w:val="00604ADA"/>
    <w:rsid w:val="00606435"/>
    <w:rsid w:val="0061007B"/>
    <w:rsid w:val="00625054"/>
    <w:rsid w:val="00626D6B"/>
    <w:rsid w:val="0062774A"/>
    <w:rsid w:val="0065021D"/>
    <w:rsid w:val="00657CF5"/>
    <w:rsid w:val="006643B5"/>
    <w:rsid w:val="00677AA4"/>
    <w:rsid w:val="00687BDC"/>
    <w:rsid w:val="00695E81"/>
    <w:rsid w:val="006A339C"/>
    <w:rsid w:val="006B4392"/>
    <w:rsid w:val="006C102B"/>
    <w:rsid w:val="006C3DBB"/>
    <w:rsid w:val="006D5379"/>
    <w:rsid w:val="006E4B32"/>
    <w:rsid w:val="00700910"/>
    <w:rsid w:val="0070484A"/>
    <w:rsid w:val="0071453C"/>
    <w:rsid w:val="00715EE1"/>
    <w:rsid w:val="0072780A"/>
    <w:rsid w:val="00734881"/>
    <w:rsid w:val="00740750"/>
    <w:rsid w:val="00767833"/>
    <w:rsid w:val="007718FB"/>
    <w:rsid w:val="00775DC5"/>
    <w:rsid w:val="00780BDE"/>
    <w:rsid w:val="00784CC9"/>
    <w:rsid w:val="007A131F"/>
    <w:rsid w:val="007A4DFA"/>
    <w:rsid w:val="007A56BE"/>
    <w:rsid w:val="007B0E54"/>
    <w:rsid w:val="007B609F"/>
    <w:rsid w:val="007B7C55"/>
    <w:rsid w:val="007C167F"/>
    <w:rsid w:val="007D1E0F"/>
    <w:rsid w:val="007D7D62"/>
    <w:rsid w:val="007F29EE"/>
    <w:rsid w:val="007F2D2B"/>
    <w:rsid w:val="007F54F2"/>
    <w:rsid w:val="007F665E"/>
    <w:rsid w:val="007F79BE"/>
    <w:rsid w:val="008025E4"/>
    <w:rsid w:val="00802824"/>
    <w:rsid w:val="0080766E"/>
    <w:rsid w:val="00852991"/>
    <w:rsid w:val="00855D09"/>
    <w:rsid w:val="00856F33"/>
    <w:rsid w:val="00880F6C"/>
    <w:rsid w:val="008818DB"/>
    <w:rsid w:val="008859B3"/>
    <w:rsid w:val="008B0ED6"/>
    <w:rsid w:val="008C2BD2"/>
    <w:rsid w:val="008D1A94"/>
    <w:rsid w:val="008D69A8"/>
    <w:rsid w:val="008E0B4C"/>
    <w:rsid w:val="008F15F4"/>
    <w:rsid w:val="008F5B89"/>
    <w:rsid w:val="008F6A06"/>
    <w:rsid w:val="008F747B"/>
    <w:rsid w:val="00911DE7"/>
    <w:rsid w:val="00946605"/>
    <w:rsid w:val="00952F24"/>
    <w:rsid w:val="00960DAD"/>
    <w:rsid w:val="009715A5"/>
    <w:rsid w:val="00973CCB"/>
    <w:rsid w:val="0097520B"/>
    <w:rsid w:val="00984D4B"/>
    <w:rsid w:val="00994874"/>
    <w:rsid w:val="009A0AE2"/>
    <w:rsid w:val="009A3FF4"/>
    <w:rsid w:val="009B0889"/>
    <w:rsid w:val="00A1395B"/>
    <w:rsid w:val="00A326FD"/>
    <w:rsid w:val="00A37566"/>
    <w:rsid w:val="00A42F0C"/>
    <w:rsid w:val="00A5608D"/>
    <w:rsid w:val="00A56DB4"/>
    <w:rsid w:val="00A72B0D"/>
    <w:rsid w:val="00A82995"/>
    <w:rsid w:val="00A82A19"/>
    <w:rsid w:val="00A91FF6"/>
    <w:rsid w:val="00A978A9"/>
    <w:rsid w:val="00AA393F"/>
    <w:rsid w:val="00AA6B96"/>
    <w:rsid w:val="00AB50DB"/>
    <w:rsid w:val="00AC2A1A"/>
    <w:rsid w:val="00AC32AF"/>
    <w:rsid w:val="00AC5A2D"/>
    <w:rsid w:val="00AC6F7A"/>
    <w:rsid w:val="00AE7DAE"/>
    <w:rsid w:val="00AF3AF7"/>
    <w:rsid w:val="00AF6447"/>
    <w:rsid w:val="00B03267"/>
    <w:rsid w:val="00B033F1"/>
    <w:rsid w:val="00B04053"/>
    <w:rsid w:val="00B05A50"/>
    <w:rsid w:val="00B10A7F"/>
    <w:rsid w:val="00B130AC"/>
    <w:rsid w:val="00B429F4"/>
    <w:rsid w:val="00B4737B"/>
    <w:rsid w:val="00B5699D"/>
    <w:rsid w:val="00B64EB9"/>
    <w:rsid w:val="00B72A8D"/>
    <w:rsid w:val="00B731A5"/>
    <w:rsid w:val="00B775D8"/>
    <w:rsid w:val="00B8294E"/>
    <w:rsid w:val="00B95705"/>
    <w:rsid w:val="00B95EF7"/>
    <w:rsid w:val="00BA281D"/>
    <w:rsid w:val="00BA28EE"/>
    <w:rsid w:val="00BB24E5"/>
    <w:rsid w:val="00BB44EF"/>
    <w:rsid w:val="00BC53A4"/>
    <w:rsid w:val="00BC55D7"/>
    <w:rsid w:val="00BC63AD"/>
    <w:rsid w:val="00BE5A3E"/>
    <w:rsid w:val="00BF0DAD"/>
    <w:rsid w:val="00BF1C67"/>
    <w:rsid w:val="00BF1D6F"/>
    <w:rsid w:val="00BF7A73"/>
    <w:rsid w:val="00C0081C"/>
    <w:rsid w:val="00C1459A"/>
    <w:rsid w:val="00C17A1B"/>
    <w:rsid w:val="00C2070F"/>
    <w:rsid w:val="00C2725B"/>
    <w:rsid w:val="00C46870"/>
    <w:rsid w:val="00C57690"/>
    <w:rsid w:val="00C60BA9"/>
    <w:rsid w:val="00C825D9"/>
    <w:rsid w:val="00CA7962"/>
    <w:rsid w:val="00CB653A"/>
    <w:rsid w:val="00CB7896"/>
    <w:rsid w:val="00CC0DAB"/>
    <w:rsid w:val="00CC4172"/>
    <w:rsid w:val="00CD379A"/>
    <w:rsid w:val="00CE7F66"/>
    <w:rsid w:val="00CF78E1"/>
    <w:rsid w:val="00D10D02"/>
    <w:rsid w:val="00D22754"/>
    <w:rsid w:val="00D279F9"/>
    <w:rsid w:val="00D45972"/>
    <w:rsid w:val="00D70954"/>
    <w:rsid w:val="00D94CCB"/>
    <w:rsid w:val="00DB19D3"/>
    <w:rsid w:val="00DB2172"/>
    <w:rsid w:val="00DB3F45"/>
    <w:rsid w:val="00DC3369"/>
    <w:rsid w:val="00DE59E5"/>
    <w:rsid w:val="00DF41F5"/>
    <w:rsid w:val="00DF481E"/>
    <w:rsid w:val="00DF5679"/>
    <w:rsid w:val="00E016C9"/>
    <w:rsid w:val="00E05715"/>
    <w:rsid w:val="00E10166"/>
    <w:rsid w:val="00E264D9"/>
    <w:rsid w:val="00E27486"/>
    <w:rsid w:val="00E402E9"/>
    <w:rsid w:val="00E43E96"/>
    <w:rsid w:val="00E517B0"/>
    <w:rsid w:val="00E7590D"/>
    <w:rsid w:val="00E90617"/>
    <w:rsid w:val="00EB7412"/>
    <w:rsid w:val="00EC096B"/>
    <w:rsid w:val="00ED0D53"/>
    <w:rsid w:val="00ED634C"/>
    <w:rsid w:val="00EE755D"/>
    <w:rsid w:val="00F06100"/>
    <w:rsid w:val="00F131A4"/>
    <w:rsid w:val="00F20DEB"/>
    <w:rsid w:val="00F224A5"/>
    <w:rsid w:val="00F262EF"/>
    <w:rsid w:val="00F26AFC"/>
    <w:rsid w:val="00F4479E"/>
    <w:rsid w:val="00F71D85"/>
    <w:rsid w:val="00F802C2"/>
    <w:rsid w:val="00F80B39"/>
    <w:rsid w:val="00F863AD"/>
    <w:rsid w:val="00F94CD9"/>
    <w:rsid w:val="00FB2BF5"/>
    <w:rsid w:val="00FB7FC7"/>
    <w:rsid w:val="00FE1291"/>
    <w:rsid w:val="00FE14FF"/>
    <w:rsid w:val="00FE3A73"/>
    <w:rsid w:val="00FE7D6D"/>
    <w:rsid w:val="00FF0C4A"/>
    <w:rsid w:val="00FF6460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FB77D4"/>
  <w15:chartTrackingRefBased/>
  <w15:docId w15:val="{59FD878D-A16A-48D6-AA90-522BE2C7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tejustify">
    <w:name w:val="rtejustify"/>
    <w:basedOn w:val="Normal"/>
    <w:rsid w:val="00301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17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59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828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2020-08-31T16:20:00Z</dcterms:created>
  <dcterms:modified xsi:type="dcterms:W3CDTF">2020-08-31T16:20:00Z</dcterms:modified>
</cp:coreProperties>
</file>