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17B" w:rsidRPr="004C6B31" w:rsidRDefault="00BA617B" w:rsidP="00322F83">
      <w:pPr>
        <w:spacing w:after="0"/>
        <w:rPr>
          <w:rFonts w:ascii="Arial" w:hAnsi="Arial" w:cs="Arial"/>
          <w:b/>
          <w:color w:val="000000" w:themeColor="text1"/>
          <w:lang w:val="es-ES"/>
        </w:rPr>
      </w:pPr>
      <w:r w:rsidRPr="004C6B31">
        <w:rPr>
          <w:rFonts w:ascii="Arial" w:hAnsi="Arial" w:cs="Arial"/>
          <w:b/>
          <w:color w:val="000000" w:themeColor="text1"/>
          <w:lang w:val="es-ES"/>
        </w:rPr>
        <w:t>H. CONGRESO DEL ESTADO DE CHIHUAHUA</w:t>
      </w:r>
    </w:p>
    <w:p w:rsidR="00BA617B" w:rsidRPr="004C6B31" w:rsidRDefault="006564F5" w:rsidP="00322F83">
      <w:pPr>
        <w:spacing w:after="0"/>
        <w:rPr>
          <w:rFonts w:ascii="Arial" w:hAnsi="Arial" w:cs="Arial"/>
          <w:b/>
          <w:color w:val="000000" w:themeColor="text1"/>
          <w:lang w:val="es-ES"/>
        </w:rPr>
      </w:pPr>
      <w:r w:rsidRPr="004C6B31">
        <w:rPr>
          <w:rFonts w:ascii="Arial" w:hAnsi="Arial" w:cs="Arial"/>
          <w:b/>
          <w:color w:val="000000" w:themeColor="text1"/>
          <w:lang w:val="es-ES"/>
        </w:rPr>
        <w:t>PRESENTE. -</w:t>
      </w:r>
    </w:p>
    <w:p w:rsidR="00BA617B" w:rsidRPr="004C6B31" w:rsidRDefault="00BA617B" w:rsidP="00322F83">
      <w:pPr>
        <w:spacing w:after="0"/>
        <w:jc w:val="both"/>
        <w:rPr>
          <w:rFonts w:ascii="Arial" w:hAnsi="Arial" w:cs="Arial"/>
          <w:color w:val="000000" w:themeColor="text1"/>
          <w:lang w:val="es-ES_tradnl"/>
        </w:rPr>
      </w:pPr>
    </w:p>
    <w:p w:rsidR="00BA617B" w:rsidRPr="004C6B31" w:rsidRDefault="00D67602" w:rsidP="00322F83">
      <w:pPr>
        <w:spacing w:after="0"/>
        <w:jc w:val="both"/>
        <w:rPr>
          <w:rFonts w:ascii="Arial" w:hAnsi="Arial" w:cs="Arial"/>
          <w:color w:val="000000" w:themeColor="text1"/>
          <w:lang w:val="es-ES_tradnl"/>
        </w:rPr>
      </w:pPr>
      <w:r w:rsidRPr="004C6B31">
        <w:rPr>
          <w:rFonts w:ascii="Arial" w:hAnsi="Arial" w:cs="Arial"/>
          <w:color w:val="000000" w:themeColor="text1"/>
          <w:lang w:val="es-ES_tradnl"/>
        </w:rPr>
        <w:t>El</w:t>
      </w:r>
      <w:r w:rsidR="0050369D" w:rsidRPr="004C6B31">
        <w:rPr>
          <w:rFonts w:ascii="Arial" w:hAnsi="Arial" w:cs="Arial"/>
          <w:color w:val="000000" w:themeColor="text1"/>
          <w:lang w:val="es-ES_tradnl"/>
        </w:rPr>
        <w:t xml:space="preserve"> que suscribe</w:t>
      </w:r>
      <w:r w:rsidR="00F45AD4" w:rsidRPr="004C6B31">
        <w:rPr>
          <w:rFonts w:ascii="Arial" w:hAnsi="Arial" w:cs="Arial"/>
          <w:color w:val="000000" w:themeColor="text1"/>
          <w:lang w:val="es-ES_tradnl"/>
        </w:rPr>
        <w:t xml:space="preserve"> </w:t>
      </w:r>
      <w:r w:rsidR="00E355AB" w:rsidRPr="004C6B31">
        <w:rPr>
          <w:rFonts w:ascii="Arial" w:hAnsi="Arial" w:cs="Arial"/>
          <w:b/>
          <w:color w:val="000000" w:themeColor="text1"/>
          <w:lang w:val="es-ES_tradnl"/>
        </w:rPr>
        <w:t>BENJAMÍN CARRERA CHÁVEZ</w:t>
      </w:r>
      <w:r w:rsidR="0050369D" w:rsidRPr="004C6B31">
        <w:rPr>
          <w:rFonts w:ascii="Arial" w:hAnsi="Arial" w:cs="Arial"/>
          <w:color w:val="000000" w:themeColor="text1"/>
          <w:lang w:val="es-ES_tradnl"/>
        </w:rPr>
        <w:t xml:space="preserve">, </w:t>
      </w:r>
      <w:r w:rsidR="00931F56" w:rsidRPr="004C6B31">
        <w:rPr>
          <w:rFonts w:ascii="Arial" w:hAnsi="Arial" w:cs="Arial"/>
          <w:color w:val="000000" w:themeColor="text1"/>
          <w:lang w:val="es-ES_tradnl"/>
        </w:rPr>
        <w:t xml:space="preserve">en </w:t>
      </w:r>
      <w:r w:rsidRPr="004C6B31">
        <w:rPr>
          <w:rFonts w:ascii="Arial" w:hAnsi="Arial" w:cs="Arial"/>
          <w:color w:val="000000" w:themeColor="text1"/>
          <w:lang w:val="es-ES_tradnl"/>
        </w:rPr>
        <w:t>mi</w:t>
      </w:r>
      <w:r w:rsidR="0050369D" w:rsidRPr="004C6B31">
        <w:rPr>
          <w:rFonts w:ascii="Arial" w:hAnsi="Arial" w:cs="Arial"/>
          <w:color w:val="000000" w:themeColor="text1"/>
          <w:lang w:val="es-ES_tradnl"/>
        </w:rPr>
        <w:t xml:space="preserve"> </w:t>
      </w:r>
      <w:r w:rsidR="00931F56" w:rsidRPr="004C6B31">
        <w:rPr>
          <w:rFonts w:ascii="Arial" w:hAnsi="Arial" w:cs="Arial"/>
          <w:color w:val="000000" w:themeColor="text1"/>
          <w:lang w:val="es-ES_tradnl"/>
        </w:rPr>
        <w:t xml:space="preserve">carácter de Diputado a la </w:t>
      </w:r>
      <w:r w:rsidR="00467168">
        <w:rPr>
          <w:rFonts w:ascii="Arial" w:hAnsi="Arial" w:cs="Arial"/>
          <w:color w:val="000000" w:themeColor="text1"/>
          <w:lang w:val="es-ES_tradnl"/>
        </w:rPr>
        <w:t xml:space="preserve">        </w:t>
      </w:r>
      <w:r w:rsidR="00931F56" w:rsidRPr="004C6B31">
        <w:rPr>
          <w:rFonts w:ascii="Arial" w:hAnsi="Arial" w:cs="Arial"/>
          <w:color w:val="000000" w:themeColor="text1"/>
          <w:lang w:val="es-ES_tradnl"/>
        </w:rPr>
        <w:t>Sexagésima Sexta</w:t>
      </w:r>
      <w:r w:rsidR="00BA617B" w:rsidRPr="004C6B31">
        <w:rPr>
          <w:rFonts w:ascii="Arial" w:hAnsi="Arial" w:cs="Arial"/>
          <w:color w:val="000000" w:themeColor="text1"/>
          <w:lang w:val="es-ES_tradnl"/>
        </w:rPr>
        <w:t xml:space="preserve"> Legislatura </w:t>
      </w:r>
      <w:r w:rsidRPr="004C6B31">
        <w:rPr>
          <w:rFonts w:ascii="Arial" w:hAnsi="Arial" w:cs="Arial"/>
          <w:color w:val="000000" w:themeColor="text1"/>
          <w:lang w:val="es-ES_tradnl"/>
        </w:rPr>
        <w:t>e in</w:t>
      </w:r>
      <w:r w:rsidR="00BA617B" w:rsidRPr="004C6B31">
        <w:rPr>
          <w:rFonts w:ascii="Arial" w:hAnsi="Arial" w:cs="Arial"/>
          <w:color w:val="000000" w:themeColor="text1"/>
          <w:lang w:val="es-ES_tradnl"/>
        </w:rPr>
        <w:t>tegra</w:t>
      </w:r>
      <w:r w:rsidR="00F45AD4" w:rsidRPr="004C6B31">
        <w:rPr>
          <w:rFonts w:ascii="Arial" w:hAnsi="Arial" w:cs="Arial"/>
          <w:color w:val="000000" w:themeColor="text1"/>
          <w:lang w:val="es-ES_tradnl"/>
        </w:rPr>
        <w:t xml:space="preserve">nte del Grupo Parlamentario de </w:t>
      </w:r>
      <w:r w:rsidRPr="004C6B31">
        <w:rPr>
          <w:rFonts w:ascii="Arial" w:hAnsi="Arial" w:cs="Arial"/>
          <w:b/>
          <w:color w:val="000000" w:themeColor="text1"/>
          <w:lang w:val="es-ES_tradnl"/>
        </w:rPr>
        <w:t>morena</w:t>
      </w:r>
      <w:r w:rsidR="00BA617B" w:rsidRPr="004C6B31">
        <w:rPr>
          <w:rFonts w:ascii="Arial" w:hAnsi="Arial" w:cs="Arial"/>
          <w:color w:val="000000" w:themeColor="text1"/>
          <w:lang w:val="es-ES_tradnl"/>
        </w:rPr>
        <w:t>, con fundamento en lo establecido por los artículos 64 fracciones I y II, 68 fracción I de la Constitución Política del Estado</w:t>
      </w:r>
      <w:r w:rsidR="00FE750D" w:rsidRPr="004C6B31">
        <w:rPr>
          <w:rFonts w:ascii="Arial" w:hAnsi="Arial" w:cs="Arial"/>
          <w:color w:val="000000" w:themeColor="text1"/>
          <w:lang w:val="es-ES_tradnl"/>
        </w:rPr>
        <w:t xml:space="preserve">, el numeral </w:t>
      </w:r>
      <w:r w:rsidR="00360FB6" w:rsidRPr="004C6B31">
        <w:rPr>
          <w:rFonts w:ascii="Arial" w:hAnsi="Arial" w:cs="Arial"/>
          <w:color w:val="000000" w:themeColor="text1"/>
          <w:lang w:val="es-ES_tradnl"/>
        </w:rPr>
        <w:t xml:space="preserve">167 fracción l </w:t>
      </w:r>
      <w:r w:rsidR="00BA617B" w:rsidRPr="004C6B31">
        <w:rPr>
          <w:rFonts w:ascii="Arial" w:hAnsi="Arial" w:cs="Arial"/>
          <w:color w:val="000000" w:themeColor="text1"/>
          <w:lang w:val="es-ES_tradnl"/>
        </w:rPr>
        <w:t>de la Ley Orgánica</w:t>
      </w:r>
      <w:r w:rsidR="00FE750D" w:rsidRPr="004C6B31">
        <w:rPr>
          <w:rFonts w:ascii="Arial" w:hAnsi="Arial" w:cs="Arial"/>
          <w:color w:val="000000" w:themeColor="text1"/>
          <w:lang w:val="es-ES_tradnl"/>
        </w:rPr>
        <w:t>,</w:t>
      </w:r>
      <w:r w:rsidR="00FE750D" w:rsidRPr="004C6B31">
        <w:rPr>
          <w:rFonts w:ascii="Arial" w:eastAsia="Century Gothic" w:hAnsi="Arial" w:cs="Arial"/>
          <w:color w:val="000000" w:themeColor="text1"/>
        </w:rPr>
        <w:t xml:space="preserve"> así como el artículo 75 del reglamento interior y de prácticas parlamentarias, ambos ordenamientos del poder legislativo del Estado de Chihuahua,</w:t>
      </w:r>
      <w:r w:rsidR="00FE750D" w:rsidRPr="004C6B31">
        <w:rPr>
          <w:rFonts w:ascii="Arial" w:hAnsi="Arial" w:cs="Arial"/>
          <w:color w:val="000000" w:themeColor="text1"/>
          <w:lang w:val="es-ES_tradnl"/>
        </w:rPr>
        <w:t xml:space="preserve"> </w:t>
      </w:r>
      <w:r w:rsidR="00BA617B" w:rsidRPr="004C6B31">
        <w:rPr>
          <w:rFonts w:ascii="Arial" w:hAnsi="Arial" w:cs="Arial"/>
          <w:color w:val="000000" w:themeColor="text1"/>
          <w:lang w:val="es-ES_tradnl"/>
        </w:rPr>
        <w:t>acud</w:t>
      </w:r>
      <w:r w:rsidRPr="004C6B31">
        <w:rPr>
          <w:rFonts w:ascii="Arial" w:hAnsi="Arial" w:cs="Arial"/>
          <w:color w:val="000000" w:themeColor="text1"/>
          <w:lang w:val="es-ES_tradnl"/>
        </w:rPr>
        <w:t>o</w:t>
      </w:r>
      <w:r w:rsidR="0050369D" w:rsidRPr="004C6B31">
        <w:rPr>
          <w:rFonts w:ascii="Arial" w:hAnsi="Arial" w:cs="Arial"/>
          <w:color w:val="000000" w:themeColor="text1"/>
          <w:lang w:val="es-ES_tradnl"/>
        </w:rPr>
        <w:t xml:space="preserve"> </w:t>
      </w:r>
      <w:r w:rsidR="00BA617B" w:rsidRPr="004C6B31">
        <w:rPr>
          <w:rFonts w:ascii="Arial" w:hAnsi="Arial" w:cs="Arial"/>
          <w:color w:val="000000" w:themeColor="text1"/>
          <w:lang w:val="es-ES_tradnl"/>
        </w:rPr>
        <w:t xml:space="preserve">respetuosamente ante esta </w:t>
      </w:r>
      <w:r w:rsidRPr="004C6B31">
        <w:rPr>
          <w:rFonts w:ascii="Arial" w:hAnsi="Arial" w:cs="Arial"/>
          <w:color w:val="000000" w:themeColor="text1"/>
          <w:lang w:val="es-ES_tradnl"/>
        </w:rPr>
        <w:t xml:space="preserve">Diputación Permanente </w:t>
      </w:r>
      <w:r w:rsidR="00FE750D" w:rsidRPr="004C6B31">
        <w:rPr>
          <w:rFonts w:ascii="Arial" w:hAnsi="Arial" w:cs="Arial"/>
          <w:color w:val="000000" w:themeColor="text1"/>
        </w:rPr>
        <w:t xml:space="preserve">a efecto de </w:t>
      </w:r>
      <w:r w:rsidR="00FE750D" w:rsidRPr="004C6B31">
        <w:rPr>
          <w:rFonts w:ascii="Arial" w:eastAsia="Century Gothic" w:hAnsi="Arial" w:cs="Arial"/>
          <w:color w:val="000000" w:themeColor="text1"/>
        </w:rPr>
        <w:t xml:space="preserve">presentar </w:t>
      </w:r>
      <w:r w:rsidR="00FE750D" w:rsidRPr="004C6B31">
        <w:rPr>
          <w:rFonts w:ascii="Arial" w:hAnsi="Arial" w:cs="Arial"/>
          <w:color w:val="000000" w:themeColor="text1"/>
        </w:rPr>
        <w:t xml:space="preserve">la siguiente </w:t>
      </w:r>
      <w:r w:rsidR="005F0BF4" w:rsidRPr="004C6B31">
        <w:rPr>
          <w:rFonts w:ascii="Arial" w:hAnsi="Arial" w:cs="Arial"/>
          <w:bCs/>
          <w:color w:val="000000" w:themeColor="text1"/>
        </w:rPr>
        <w:t xml:space="preserve">iniciativa con </w:t>
      </w:r>
      <w:r w:rsidR="00B9221A" w:rsidRPr="004C6B31">
        <w:rPr>
          <w:rFonts w:ascii="Arial" w:hAnsi="Arial" w:cs="Arial"/>
          <w:bCs/>
          <w:color w:val="000000" w:themeColor="text1"/>
        </w:rPr>
        <w:t xml:space="preserve">carácter </w:t>
      </w:r>
      <w:r w:rsidR="005F0BF4" w:rsidRPr="004C6B31">
        <w:rPr>
          <w:rFonts w:ascii="Arial" w:hAnsi="Arial" w:cs="Arial"/>
          <w:bCs/>
          <w:color w:val="000000" w:themeColor="text1"/>
        </w:rPr>
        <w:t>de</w:t>
      </w:r>
      <w:r w:rsidR="005F0BF4" w:rsidRPr="004C6B31">
        <w:rPr>
          <w:rFonts w:ascii="Arial" w:hAnsi="Arial" w:cs="Arial"/>
          <w:b/>
          <w:color w:val="000000" w:themeColor="text1"/>
        </w:rPr>
        <w:t xml:space="preserve"> </w:t>
      </w:r>
      <w:r w:rsidR="00D436D9" w:rsidRPr="004C6B31">
        <w:rPr>
          <w:rFonts w:ascii="Arial" w:hAnsi="Arial" w:cs="Arial"/>
          <w:b/>
          <w:color w:val="000000" w:themeColor="text1"/>
        </w:rPr>
        <w:t>Decreto</w:t>
      </w:r>
      <w:r w:rsidR="00D436D9" w:rsidRPr="004C6B31">
        <w:rPr>
          <w:rFonts w:ascii="Arial" w:hAnsi="Arial" w:cs="Arial"/>
          <w:color w:val="000000" w:themeColor="text1"/>
        </w:rPr>
        <w:t xml:space="preserve"> </w:t>
      </w:r>
      <w:r w:rsidR="00800AB3" w:rsidRPr="004C6B31">
        <w:rPr>
          <w:rFonts w:ascii="Arial" w:hAnsi="Arial" w:cs="Arial"/>
          <w:color w:val="000000" w:themeColor="text1"/>
        </w:rPr>
        <w:t xml:space="preserve"> con el propósito </w:t>
      </w:r>
      <w:r w:rsidR="00A368EB" w:rsidRPr="004C6B31">
        <w:rPr>
          <w:rFonts w:ascii="Arial" w:hAnsi="Arial" w:cs="Arial"/>
          <w:color w:val="000000" w:themeColor="text1"/>
        </w:rPr>
        <w:t>de reformar el</w:t>
      </w:r>
      <w:r w:rsidR="006207A5" w:rsidRPr="004C6B31">
        <w:rPr>
          <w:rFonts w:ascii="Arial" w:hAnsi="Arial" w:cs="Arial"/>
          <w:color w:val="000000" w:themeColor="text1"/>
        </w:rPr>
        <w:t xml:space="preserve"> artículo 126 bis y adicionar los artículos 126 ter, quáter, quinquies </w:t>
      </w:r>
      <w:r w:rsidR="00467168">
        <w:rPr>
          <w:rFonts w:ascii="Arial" w:hAnsi="Arial" w:cs="Arial"/>
          <w:color w:val="000000" w:themeColor="text1"/>
        </w:rPr>
        <w:t xml:space="preserve">        </w:t>
      </w:r>
      <w:r w:rsidR="006207A5" w:rsidRPr="004C6B31">
        <w:rPr>
          <w:rFonts w:ascii="Arial" w:hAnsi="Arial" w:cs="Arial"/>
          <w:color w:val="000000" w:themeColor="text1"/>
        </w:rPr>
        <w:t xml:space="preserve">y  sexies todos del </w:t>
      </w:r>
      <w:r w:rsidR="00A368EB" w:rsidRPr="004C6B31">
        <w:rPr>
          <w:rFonts w:ascii="Arial" w:hAnsi="Arial" w:cs="Arial"/>
          <w:color w:val="000000" w:themeColor="text1"/>
        </w:rPr>
        <w:t xml:space="preserve">Código Penal del Estado de Chihuahua </w:t>
      </w:r>
      <w:r w:rsidR="001E56FD" w:rsidRPr="004C6B31">
        <w:rPr>
          <w:rFonts w:ascii="Arial" w:hAnsi="Arial" w:cs="Arial"/>
          <w:color w:val="000000" w:themeColor="text1"/>
        </w:rPr>
        <w:t>al</w:t>
      </w:r>
      <w:r w:rsidR="00FE750D" w:rsidRPr="004C6B31">
        <w:rPr>
          <w:rFonts w:ascii="Arial" w:hAnsi="Arial" w:cs="Arial"/>
          <w:color w:val="000000" w:themeColor="text1"/>
        </w:rPr>
        <w:t xml:space="preserve"> tenor de la siguiente</w:t>
      </w:r>
      <w:r w:rsidR="0049313F" w:rsidRPr="004C6B31">
        <w:rPr>
          <w:rFonts w:ascii="Arial" w:hAnsi="Arial" w:cs="Arial"/>
          <w:color w:val="000000" w:themeColor="text1"/>
          <w:lang w:val="es-ES_tradnl"/>
        </w:rPr>
        <w:t>:</w:t>
      </w:r>
    </w:p>
    <w:p w:rsidR="001E56FD" w:rsidRPr="004C6B31" w:rsidRDefault="001E56FD" w:rsidP="00322F83">
      <w:pPr>
        <w:spacing w:after="0"/>
        <w:jc w:val="both"/>
        <w:rPr>
          <w:rFonts w:ascii="Arial" w:hAnsi="Arial" w:cs="Arial"/>
          <w:color w:val="000000" w:themeColor="text1"/>
          <w:lang w:val="es-ES_tradnl"/>
        </w:rPr>
      </w:pPr>
    </w:p>
    <w:p w:rsidR="00BA617B" w:rsidRPr="004C6B31" w:rsidRDefault="0049313F" w:rsidP="00322F83">
      <w:pPr>
        <w:spacing w:after="0"/>
        <w:jc w:val="center"/>
        <w:rPr>
          <w:rFonts w:ascii="Arial" w:hAnsi="Arial" w:cs="Arial"/>
          <w:b/>
          <w:color w:val="000000" w:themeColor="text1"/>
          <w:lang w:val="es-ES"/>
        </w:rPr>
      </w:pPr>
      <w:r w:rsidRPr="004C6B31">
        <w:rPr>
          <w:rFonts w:ascii="Arial" w:hAnsi="Arial" w:cs="Arial"/>
          <w:b/>
          <w:color w:val="000000" w:themeColor="text1"/>
          <w:lang w:val="es-ES"/>
        </w:rPr>
        <w:t>EXPOSICIÓN DE MOTIVOS</w:t>
      </w:r>
    </w:p>
    <w:p w:rsidR="00322F83" w:rsidRPr="004C6B31" w:rsidRDefault="00322F83" w:rsidP="00322F83">
      <w:pPr>
        <w:spacing w:after="0"/>
        <w:jc w:val="center"/>
        <w:rPr>
          <w:rFonts w:ascii="Arial" w:hAnsi="Arial" w:cs="Arial"/>
          <w:b/>
          <w:color w:val="000000" w:themeColor="text1"/>
          <w:lang w:val="es-ES"/>
        </w:rPr>
      </w:pPr>
    </w:p>
    <w:p w:rsidR="00322F83" w:rsidRPr="004C6B31" w:rsidRDefault="00322F83" w:rsidP="00322F83">
      <w:pPr>
        <w:spacing w:after="0"/>
        <w:jc w:val="both"/>
        <w:rPr>
          <w:rFonts w:ascii="Arial" w:hAnsi="Arial" w:cs="Arial"/>
          <w:i/>
          <w:iCs/>
        </w:rPr>
      </w:pPr>
      <w:r w:rsidRPr="004C6B31">
        <w:rPr>
          <w:rFonts w:ascii="Arial" w:hAnsi="Arial" w:cs="Arial"/>
          <w:i/>
          <w:iCs/>
        </w:rPr>
        <w:t xml:space="preserve">La justicia para las mujeres sigue siendo un objetivo a lograr, y es improbable que se </w:t>
      </w:r>
      <w:r w:rsidR="00467168">
        <w:rPr>
          <w:rFonts w:ascii="Arial" w:hAnsi="Arial" w:cs="Arial"/>
          <w:i/>
          <w:iCs/>
        </w:rPr>
        <w:t xml:space="preserve">          </w:t>
      </w:r>
      <w:r w:rsidRPr="004C6B31">
        <w:rPr>
          <w:rFonts w:ascii="Arial" w:hAnsi="Arial" w:cs="Arial"/>
          <w:i/>
          <w:iCs/>
        </w:rPr>
        <w:t>consiga a través de la igualdad formal, porque la forma en la que la sociedad está</w:t>
      </w:r>
      <w:r w:rsidR="00467168">
        <w:rPr>
          <w:rFonts w:ascii="Arial" w:hAnsi="Arial" w:cs="Arial"/>
          <w:i/>
          <w:iCs/>
        </w:rPr>
        <w:t xml:space="preserve">         </w:t>
      </w:r>
      <w:r w:rsidRPr="004C6B31">
        <w:rPr>
          <w:rFonts w:ascii="Arial" w:hAnsi="Arial" w:cs="Arial"/>
          <w:i/>
          <w:iCs/>
        </w:rPr>
        <w:t xml:space="preserve"> estructurada es el resultado de una historia en la que las mujeres estaban legalmente subordinadas y en la cual se daba por supuesto que su papel natural era prestar servicios sexuales y domésticos (incluyendo la importante tarea social de cuidar a los hijos/as) a</w:t>
      </w:r>
      <w:r w:rsidR="00467168">
        <w:rPr>
          <w:rFonts w:ascii="Arial" w:hAnsi="Arial" w:cs="Arial"/>
          <w:i/>
          <w:iCs/>
        </w:rPr>
        <w:t xml:space="preserve">          </w:t>
      </w:r>
      <w:r w:rsidRPr="004C6B31">
        <w:rPr>
          <w:rFonts w:ascii="Arial" w:hAnsi="Arial" w:cs="Arial"/>
          <w:i/>
          <w:iCs/>
        </w:rPr>
        <w:t xml:space="preserve"> cambio de una seguridad económica que implica depender de los hombres.</w:t>
      </w:r>
    </w:p>
    <w:p w:rsidR="00322F83" w:rsidRPr="004C6B31" w:rsidRDefault="00322F83" w:rsidP="00322F83">
      <w:pPr>
        <w:rPr>
          <w:rFonts w:ascii="Arial" w:hAnsi="Arial" w:cs="Arial"/>
          <w:i/>
          <w:iCs/>
        </w:rPr>
      </w:pPr>
    </w:p>
    <w:p w:rsidR="00322F83" w:rsidRPr="004C6B31" w:rsidRDefault="00322F83" w:rsidP="00322F83">
      <w:pPr>
        <w:jc w:val="right"/>
        <w:rPr>
          <w:rFonts w:ascii="Arial" w:hAnsi="Arial" w:cs="Arial"/>
          <w:b/>
          <w:i/>
          <w:iCs/>
          <w:color w:val="000000" w:themeColor="text1"/>
          <w:vertAlign w:val="superscript"/>
          <w:lang w:val="es-ES"/>
        </w:rPr>
      </w:pPr>
      <w:r w:rsidRPr="004C6B31">
        <w:rPr>
          <w:rFonts w:ascii="Arial" w:hAnsi="Arial" w:cs="Arial"/>
          <w:i/>
          <w:iCs/>
          <w:vertAlign w:val="superscript"/>
        </w:rPr>
        <w:t>Okin Moller, Susan, “Liberalismo, política, justicia y género”, en: Perspectivas feministas en teoría política. Editorial Paidós, Paidós Estado y</w:t>
      </w:r>
      <w:r w:rsidR="00467168">
        <w:rPr>
          <w:rFonts w:ascii="Arial" w:hAnsi="Arial" w:cs="Arial"/>
          <w:i/>
          <w:iCs/>
          <w:vertAlign w:val="superscript"/>
        </w:rPr>
        <w:t xml:space="preserve">           </w:t>
      </w:r>
      <w:r w:rsidRPr="004C6B31">
        <w:rPr>
          <w:rFonts w:ascii="Arial" w:hAnsi="Arial" w:cs="Arial"/>
          <w:i/>
          <w:iCs/>
          <w:vertAlign w:val="superscript"/>
        </w:rPr>
        <w:t xml:space="preserve"> Sociedad, Barcelona, España, 1994, pág. 146.</w:t>
      </w:r>
    </w:p>
    <w:p w:rsidR="00883AF3" w:rsidRPr="004C6B31" w:rsidRDefault="00883AF3" w:rsidP="00322F83">
      <w:pPr>
        <w:spacing w:after="0"/>
        <w:jc w:val="center"/>
        <w:rPr>
          <w:rFonts w:ascii="Arial" w:hAnsi="Arial" w:cs="Arial"/>
          <w:b/>
          <w:color w:val="000000" w:themeColor="text1"/>
          <w:lang w:val="es-ES"/>
        </w:rPr>
      </w:pPr>
    </w:p>
    <w:p w:rsidR="00883AF3" w:rsidRPr="004C6B31" w:rsidRDefault="00322F83" w:rsidP="00322F83">
      <w:pPr>
        <w:spacing w:after="0"/>
        <w:jc w:val="both"/>
        <w:rPr>
          <w:rFonts w:ascii="Arial" w:hAnsi="Arial" w:cs="Arial"/>
          <w:bCs/>
          <w:color w:val="000000" w:themeColor="text1"/>
          <w:lang w:val="es-ES"/>
        </w:rPr>
      </w:pPr>
      <w:r w:rsidRPr="004C6B31">
        <w:rPr>
          <w:rFonts w:ascii="Arial" w:hAnsi="Arial" w:cs="Arial"/>
          <w:bCs/>
          <w:color w:val="000000" w:themeColor="text1"/>
          <w:lang w:val="es-ES"/>
        </w:rPr>
        <w:t>La violencia contra las mujeres y las niñas es una de las violaciones de los derechos</w:t>
      </w:r>
      <w:r w:rsidR="00467168">
        <w:rPr>
          <w:rFonts w:ascii="Arial" w:hAnsi="Arial" w:cs="Arial"/>
          <w:bCs/>
          <w:color w:val="000000" w:themeColor="text1"/>
          <w:lang w:val="es-ES"/>
        </w:rPr>
        <w:t xml:space="preserve">             </w:t>
      </w:r>
      <w:r w:rsidRPr="004C6B31">
        <w:rPr>
          <w:rFonts w:ascii="Arial" w:hAnsi="Arial" w:cs="Arial"/>
          <w:bCs/>
          <w:color w:val="000000" w:themeColor="text1"/>
          <w:lang w:val="es-ES"/>
        </w:rPr>
        <w:t xml:space="preserve"> humanos más graves, extendida, arraigada y tolerada en el mundo. Esta violencia es tanto causa como consecuencia de la desigualdad y de la discriminación de género. Prevenirla y eliminarla ha sido plasmado como una prioridad para la comunidad internacional a través</w:t>
      </w:r>
      <w:r w:rsidR="00467168">
        <w:rPr>
          <w:rFonts w:ascii="Arial" w:hAnsi="Arial" w:cs="Arial"/>
          <w:bCs/>
          <w:color w:val="000000" w:themeColor="text1"/>
          <w:lang w:val="es-ES"/>
        </w:rPr>
        <w:t xml:space="preserve">            </w:t>
      </w:r>
      <w:r w:rsidRPr="004C6B31">
        <w:rPr>
          <w:rFonts w:ascii="Arial" w:hAnsi="Arial" w:cs="Arial"/>
          <w:bCs/>
          <w:color w:val="000000" w:themeColor="text1"/>
          <w:lang w:val="es-ES"/>
        </w:rPr>
        <w:t xml:space="preserve"> de la Agenda 2030 y en los Objetivos de Desarrollo Sostenible, incluyendo una meta </w:t>
      </w:r>
      <w:r w:rsidR="00467168">
        <w:rPr>
          <w:rFonts w:ascii="Arial" w:hAnsi="Arial" w:cs="Arial"/>
          <w:bCs/>
          <w:color w:val="000000" w:themeColor="text1"/>
          <w:lang w:val="es-ES"/>
        </w:rPr>
        <w:t xml:space="preserve">   </w:t>
      </w:r>
      <w:r w:rsidRPr="004C6B31">
        <w:rPr>
          <w:rFonts w:ascii="Arial" w:hAnsi="Arial" w:cs="Arial"/>
          <w:bCs/>
          <w:color w:val="000000" w:themeColor="text1"/>
          <w:lang w:val="es-ES"/>
        </w:rPr>
        <w:t xml:space="preserve">específica: “la eliminación de todas las formas de violencia contra las mujeres y las niñas </w:t>
      </w:r>
      <w:r w:rsidR="00467168">
        <w:rPr>
          <w:rFonts w:ascii="Arial" w:hAnsi="Arial" w:cs="Arial"/>
          <w:bCs/>
          <w:color w:val="000000" w:themeColor="text1"/>
          <w:lang w:val="es-ES"/>
        </w:rPr>
        <w:t xml:space="preserve">                 </w:t>
      </w:r>
      <w:r w:rsidRPr="004C6B31">
        <w:rPr>
          <w:rFonts w:ascii="Arial" w:hAnsi="Arial" w:cs="Arial"/>
          <w:bCs/>
          <w:color w:val="000000" w:themeColor="text1"/>
          <w:lang w:val="es-ES"/>
        </w:rPr>
        <w:t xml:space="preserve">en las esferas pública y privada”. </w:t>
      </w:r>
      <w:r w:rsidRPr="004C6B31">
        <w:rPr>
          <w:rFonts w:ascii="Arial" w:hAnsi="Arial" w:cs="Arial"/>
          <w:bCs/>
          <w:color w:val="000000" w:themeColor="text1"/>
          <w:vertAlign w:val="superscript"/>
          <w:lang w:val="es-ES"/>
        </w:rPr>
        <w:t>1</w:t>
      </w:r>
    </w:p>
    <w:p w:rsidR="00322F83" w:rsidRPr="004C6B31" w:rsidRDefault="00322F83" w:rsidP="00322F83">
      <w:pPr>
        <w:spacing w:after="0"/>
        <w:jc w:val="both"/>
        <w:rPr>
          <w:rFonts w:ascii="Arial" w:hAnsi="Arial" w:cs="Arial"/>
          <w:bCs/>
          <w:color w:val="000000" w:themeColor="text1"/>
          <w:lang w:val="es-ES"/>
        </w:rPr>
      </w:pPr>
    </w:p>
    <w:p w:rsidR="00322F83" w:rsidRPr="004C6B31" w:rsidRDefault="00322F83" w:rsidP="00322F83">
      <w:pPr>
        <w:spacing w:after="0"/>
        <w:jc w:val="both"/>
        <w:rPr>
          <w:rFonts w:ascii="Arial" w:hAnsi="Arial" w:cs="Arial"/>
          <w:bCs/>
          <w:color w:val="000000" w:themeColor="text1"/>
          <w:vertAlign w:val="superscript"/>
          <w:lang w:val="es-ES"/>
        </w:rPr>
      </w:pPr>
      <w:r w:rsidRPr="004C6B31">
        <w:rPr>
          <w:rFonts w:ascii="Arial" w:hAnsi="Arial" w:cs="Arial"/>
          <w:bCs/>
          <w:color w:val="000000" w:themeColor="text1"/>
          <w:vertAlign w:val="superscript"/>
          <w:lang w:val="es-ES"/>
        </w:rPr>
        <w:t>1</w:t>
      </w:r>
      <w:hyperlink r:id="rId8" w:history="1">
        <w:r w:rsidRPr="004C6B31">
          <w:rPr>
            <w:rStyle w:val="Hipervnculo"/>
            <w:rFonts w:ascii="Arial" w:hAnsi="Arial" w:cs="Arial"/>
            <w:vertAlign w:val="superscript"/>
          </w:rPr>
          <w:t>https://www2.unwomen.org/media/field%20office%20mexico/documentos/publicaciones/2019/infografa%20violencia%20onu%20mujeres%20espaol_web.pdf?la=es&amp;vs=5828</w:t>
        </w:r>
      </w:hyperlink>
      <w:r w:rsidRPr="004C6B31">
        <w:rPr>
          <w:rFonts w:ascii="Arial" w:hAnsi="Arial" w:cs="Arial"/>
          <w:vertAlign w:val="superscript"/>
        </w:rPr>
        <w:t xml:space="preserve">, consultado </w:t>
      </w:r>
      <w:r w:rsidRPr="004C6B31">
        <w:rPr>
          <w:rFonts w:ascii="Arial" w:hAnsi="Arial" w:cs="Arial"/>
          <w:bCs/>
          <w:color w:val="000000" w:themeColor="text1"/>
          <w:vertAlign w:val="superscript"/>
          <w:lang w:val="es-ES"/>
        </w:rPr>
        <w:t>en fecha 07 de febrero de 2020.</w:t>
      </w:r>
    </w:p>
    <w:p w:rsidR="00322F83" w:rsidRPr="004C6B31" w:rsidRDefault="00322F83" w:rsidP="00322F83">
      <w:pPr>
        <w:spacing w:after="0"/>
        <w:jc w:val="both"/>
        <w:rPr>
          <w:rFonts w:ascii="Arial" w:hAnsi="Arial" w:cs="Arial"/>
        </w:rPr>
      </w:pPr>
      <w:r w:rsidRPr="004C6B31">
        <w:rPr>
          <w:rFonts w:ascii="Arial" w:hAnsi="Arial" w:cs="Arial"/>
        </w:rPr>
        <w:lastRenderedPageBreak/>
        <w:t>Las Observaciones finales al Noveno informe de México respecto al cumplimiento de la CEDAW1 ponen sobre la mesa el contexto de desigualdad y violencia de género que aún</w:t>
      </w:r>
      <w:r w:rsidR="00467168">
        <w:rPr>
          <w:rFonts w:ascii="Arial" w:hAnsi="Arial" w:cs="Arial"/>
        </w:rPr>
        <w:t xml:space="preserve">       </w:t>
      </w:r>
      <w:r w:rsidRPr="004C6B31">
        <w:rPr>
          <w:rFonts w:ascii="Arial" w:hAnsi="Arial" w:cs="Arial"/>
        </w:rPr>
        <w:t xml:space="preserve"> se vive en nuestro país, y constituyen una hoja de ruta para avanzar hacia la igualdad sustantiva y la no discriminación hacia las mujeres y las niñas en México. El Comité </w:t>
      </w:r>
      <w:r w:rsidR="00467168">
        <w:rPr>
          <w:rFonts w:ascii="Arial" w:hAnsi="Arial" w:cs="Arial"/>
        </w:rPr>
        <w:t xml:space="preserve">             </w:t>
      </w:r>
      <w:r w:rsidRPr="004C6B31">
        <w:rPr>
          <w:rFonts w:ascii="Arial" w:hAnsi="Arial" w:cs="Arial"/>
        </w:rPr>
        <w:t xml:space="preserve">recuerda su Recomendación General núm. 35 (2017) sobre la violencia por razón de género contra la mujer, por la que se actualiza la recomendación general núm. 19, y reitera su recomendación al Estado parte de que:  </w:t>
      </w:r>
      <w:r w:rsidRPr="004C6B31">
        <w:rPr>
          <w:rFonts w:ascii="Arial" w:hAnsi="Arial" w:cs="Arial"/>
          <w:vertAlign w:val="superscript"/>
        </w:rPr>
        <w:t>2</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 xml:space="preserve">a) Adopte medidas de carácter urgente para prevenir las muertes violentas, los asesinatos </w:t>
      </w:r>
      <w:r w:rsidR="00467168">
        <w:rPr>
          <w:rFonts w:ascii="Arial" w:hAnsi="Arial" w:cs="Arial"/>
        </w:rPr>
        <w:t xml:space="preserve">        </w:t>
      </w:r>
      <w:r w:rsidRPr="004C6B31">
        <w:rPr>
          <w:rFonts w:ascii="Arial" w:hAnsi="Arial" w:cs="Arial"/>
        </w:rPr>
        <w:t xml:space="preserve">y las desapariciones forzadas de mujeres, en particular combatiendo las causas profundas </w:t>
      </w:r>
      <w:r w:rsidR="00467168">
        <w:rPr>
          <w:rFonts w:ascii="Arial" w:hAnsi="Arial" w:cs="Arial"/>
        </w:rPr>
        <w:t xml:space="preserve">          </w:t>
      </w:r>
      <w:r w:rsidRPr="004C6B31">
        <w:rPr>
          <w:rFonts w:ascii="Arial" w:hAnsi="Arial" w:cs="Arial"/>
        </w:rPr>
        <w:t xml:space="preserve">de esos actos, como la violencia armada, la delincuencia organizada, el tráfico de estupefacientes, los estereotipos discriminatorios, la pobreza y la marginación de las </w:t>
      </w:r>
      <w:r w:rsidR="00467168">
        <w:rPr>
          <w:rFonts w:ascii="Arial" w:hAnsi="Arial" w:cs="Arial"/>
        </w:rPr>
        <w:t xml:space="preserve">           </w:t>
      </w:r>
      <w:r w:rsidRPr="004C6B31">
        <w:rPr>
          <w:rFonts w:ascii="Arial" w:hAnsi="Arial" w:cs="Arial"/>
        </w:rPr>
        <w:t xml:space="preserve">mujeres; </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 xml:space="preserve">b) Investigue, enjuicie y sancione como corresponda a los responsables, incluidos los </w:t>
      </w:r>
      <w:r w:rsidR="00467168">
        <w:rPr>
          <w:rFonts w:ascii="Arial" w:hAnsi="Arial" w:cs="Arial"/>
        </w:rPr>
        <w:t xml:space="preserve">           </w:t>
      </w:r>
      <w:r w:rsidRPr="004C6B31">
        <w:rPr>
          <w:rFonts w:ascii="Arial" w:hAnsi="Arial" w:cs="Arial"/>
        </w:rPr>
        <w:t>agentes estatales y no estatales, como cuestión prioritaria;</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 xml:space="preserve">c) Vele por que se tipifique como delito el feminicidio en todos los códigos penales estatales </w:t>
      </w:r>
      <w:r w:rsidR="00467168">
        <w:rPr>
          <w:rFonts w:ascii="Arial" w:hAnsi="Arial" w:cs="Arial"/>
        </w:rPr>
        <w:t xml:space="preserve">          </w:t>
      </w:r>
      <w:r w:rsidRPr="004C6B31">
        <w:rPr>
          <w:rFonts w:ascii="Arial" w:hAnsi="Arial" w:cs="Arial"/>
        </w:rPr>
        <w:t xml:space="preserve">de conformidad con la Ley General de Acceso de las Mujeres a una Vida Libre de Violencia, normalice los protocolos de investigación policial del feminicidio en todo el Estado parte y garantice la aplicación efectiva de las disposiciones del derecho penal sobre el feminicidio; </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 xml:space="preserve">d) Simplifique y armonice en los estados los procedimientos de activación del Programa </w:t>
      </w:r>
      <w:r w:rsidR="00467168">
        <w:rPr>
          <w:rFonts w:ascii="Arial" w:hAnsi="Arial" w:cs="Arial"/>
        </w:rPr>
        <w:t xml:space="preserve">        </w:t>
      </w:r>
      <w:r w:rsidRPr="004C6B31">
        <w:rPr>
          <w:rFonts w:ascii="Arial" w:hAnsi="Arial" w:cs="Arial"/>
        </w:rPr>
        <w:t xml:space="preserve">Alerta AMBER y el Protocolo Alba, agilice la búsqueda de las mujeres y niñas </w:t>
      </w:r>
      <w:r w:rsidR="00467168">
        <w:rPr>
          <w:rFonts w:ascii="Arial" w:hAnsi="Arial" w:cs="Arial"/>
        </w:rPr>
        <w:t xml:space="preserve">           </w:t>
      </w:r>
      <w:r w:rsidRPr="004C6B31">
        <w:rPr>
          <w:rFonts w:ascii="Arial" w:hAnsi="Arial" w:cs="Arial"/>
        </w:rPr>
        <w:t xml:space="preserve">desaparecidas, adopte políticas y protocolos específicamente orientados a mitigar los </w:t>
      </w:r>
      <w:r w:rsidR="00467168">
        <w:rPr>
          <w:rFonts w:ascii="Arial" w:hAnsi="Arial" w:cs="Arial"/>
        </w:rPr>
        <w:t xml:space="preserve">           </w:t>
      </w:r>
      <w:r w:rsidRPr="004C6B31">
        <w:rPr>
          <w:rFonts w:ascii="Arial" w:hAnsi="Arial" w:cs="Arial"/>
        </w:rPr>
        <w:t xml:space="preserve">riesgos asociados con la desaparición de mujeres y niñas, como el feminicidio y la trata de mujeres y niñas con fines de explotación sexual y trabajo forzoso, y vele por que la Comisión Ejecutiva de Atención a Víctimas refuerce su perspectiva de género; </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 xml:space="preserve">e) Evalúe la repercusión del mecanismo de alerta de violencia de género, a fin de garantizar una utilización amplia y armonizada y la coordinación en los planos federal, estatal y </w:t>
      </w:r>
      <w:r w:rsidR="00467168">
        <w:rPr>
          <w:rFonts w:ascii="Arial" w:hAnsi="Arial" w:cs="Arial"/>
        </w:rPr>
        <w:t xml:space="preserve">            </w:t>
      </w:r>
      <w:r w:rsidRPr="004C6B31">
        <w:rPr>
          <w:rFonts w:ascii="Arial" w:hAnsi="Arial" w:cs="Arial"/>
        </w:rPr>
        <w:t xml:space="preserve">municipal, y vele por la participación de organizaciones no gubernamentales, expertos del mundo académico y defensores de la perspectiva de género y los derechos humanos, así </w:t>
      </w:r>
      <w:r w:rsidR="00467168">
        <w:rPr>
          <w:rFonts w:ascii="Arial" w:hAnsi="Arial" w:cs="Arial"/>
        </w:rPr>
        <w:t xml:space="preserve">                   </w:t>
      </w:r>
      <w:r w:rsidRPr="004C6B31">
        <w:rPr>
          <w:rFonts w:ascii="Arial" w:hAnsi="Arial" w:cs="Arial"/>
        </w:rPr>
        <w:t>como mujeres víctimas de la violencia;</w:t>
      </w:r>
    </w:p>
    <w:p w:rsidR="00470BA9" w:rsidRPr="004C6B31" w:rsidRDefault="00470BA9" w:rsidP="00470BA9">
      <w:pPr>
        <w:spacing w:after="0" w:line="0" w:lineRule="atLeast"/>
        <w:jc w:val="both"/>
        <w:rPr>
          <w:rFonts w:ascii="Arial" w:hAnsi="Arial" w:cs="Arial"/>
          <w:vertAlign w:val="superscript"/>
        </w:rPr>
      </w:pPr>
      <w:r w:rsidRPr="004C6B31">
        <w:rPr>
          <w:rFonts w:ascii="Arial" w:hAnsi="Arial" w:cs="Arial"/>
          <w:vertAlign w:val="superscript"/>
        </w:rPr>
        <w:t>2 Comité CEDAW, Observaciones finales sobre el noveno informe periódico de México (CEDAW/C/MEX/CO/9, 25 de julio de 2018). Consultado en: https://tbinternet.ohchr.org/_layouts/treatybodyexternal/Download.aspx?symbolno=CEDAW%2fC%2fMEX%2fCO%2f9&amp;Lang=en</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lastRenderedPageBreak/>
        <w:t xml:space="preserve">f) Subsane la falta de medidas de protección de la dignidad y la integridad de las mujeres lesbianas, bisexuales y transgénero, en particular concienciando a la población sobre los derechos de estas mujeres, en cooperación con la sociedad civil; </w:t>
      </w:r>
    </w:p>
    <w:p w:rsidR="00322F83" w:rsidRPr="004C6B31" w:rsidRDefault="00322F83" w:rsidP="00322F83">
      <w:pPr>
        <w:spacing w:after="0"/>
        <w:jc w:val="both"/>
        <w:rPr>
          <w:rFonts w:ascii="Arial" w:hAnsi="Arial" w:cs="Arial"/>
        </w:rPr>
      </w:pPr>
    </w:p>
    <w:p w:rsidR="00322F83" w:rsidRPr="004C6B31" w:rsidRDefault="00322F83" w:rsidP="00322F83">
      <w:pPr>
        <w:spacing w:after="0"/>
        <w:jc w:val="both"/>
        <w:rPr>
          <w:rFonts w:ascii="Arial" w:hAnsi="Arial" w:cs="Arial"/>
        </w:rPr>
      </w:pPr>
      <w:r w:rsidRPr="004C6B31">
        <w:rPr>
          <w:rFonts w:ascii="Arial" w:hAnsi="Arial" w:cs="Arial"/>
        </w:rPr>
        <w:t>g) Refuerce los mecanismos de recopilación sistemática de datos sobre la violencia contra</w:t>
      </w:r>
      <w:r w:rsidR="000729C8">
        <w:rPr>
          <w:rFonts w:ascii="Arial" w:hAnsi="Arial" w:cs="Arial"/>
        </w:rPr>
        <w:t xml:space="preserve">       </w:t>
      </w:r>
      <w:r w:rsidRPr="004C6B31">
        <w:rPr>
          <w:rFonts w:ascii="Arial" w:hAnsi="Arial" w:cs="Arial"/>
        </w:rPr>
        <w:t xml:space="preserve"> las mujeres y las niñas, incluidos los feminicidios, y las desapariciones forzadas, </w:t>
      </w:r>
      <w:r w:rsidR="000729C8">
        <w:rPr>
          <w:rFonts w:ascii="Arial" w:hAnsi="Arial" w:cs="Arial"/>
        </w:rPr>
        <w:t xml:space="preserve">            </w:t>
      </w:r>
      <w:r w:rsidRPr="004C6B31">
        <w:rPr>
          <w:rFonts w:ascii="Arial" w:hAnsi="Arial" w:cs="Arial"/>
        </w:rPr>
        <w:t xml:space="preserve">desglosados por tipo de violencia y relación con los perpetradores; </w:t>
      </w:r>
    </w:p>
    <w:p w:rsidR="00322F83" w:rsidRPr="004C6B31" w:rsidRDefault="00322F83" w:rsidP="00322F83">
      <w:pPr>
        <w:spacing w:after="0"/>
        <w:jc w:val="both"/>
        <w:rPr>
          <w:rFonts w:ascii="Arial" w:hAnsi="Arial" w:cs="Arial"/>
        </w:rPr>
      </w:pPr>
    </w:p>
    <w:p w:rsidR="00322F83" w:rsidRDefault="00322F83" w:rsidP="00322F83">
      <w:pPr>
        <w:spacing w:after="0"/>
        <w:jc w:val="both"/>
        <w:rPr>
          <w:rFonts w:ascii="Arial" w:hAnsi="Arial" w:cs="Arial"/>
        </w:rPr>
      </w:pPr>
      <w:r w:rsidRPr="004C6B31">
        <w:rPr>
          <w:rFonts w:ascii="Arial" w:hAnsi="Arial" w:cs="Arial"/>
        </w:rPr>
        <w:t>h) Acelere de manera prioritaria la resolución del caso de Pilar Argüello Trujillo, como recomendó el Comité en su dictamen sobre la comunicación Trujillo Reyes y Argüello</w:t>
      </w:r>
      <w:r w:rsidR="000729C8">
        <w:rPr>
          <w:rFonts w:ascii="Arial" w:hAnsi="Arial" w:cs="Arial"/>
        </w:rPr>
        <w:t xml:space="preserve">          </w:t>
      </w:r>
      <w:r w:rsidRPr="004C6B31">
        <w:rPr>
          <w:rFonts w:ascii="Arial" w:hAnsi="Arial" w:cs="Arial"/>
        </w:rPr>
        <w:t xml:space="preserve"> Morales c. México, con miras a alentar la resolución de otros casos similares en el futuro.</w:t>
      </w:r>
    </w:p>
    <w:p w:rsidR="004C6B31" w:rsidRDefault="004C6B31" w:rsidP="00322F83">
      <w:pPr>
        <w:spacing w:after="0"/>
        <w:jc w:val="both"/>
        <w:rPr>
          <w:rFonts w:ascii="Arial" w:hAnsi="Arial" w:cs="Arial"/>
        </w:rPr>
      </w:pPr>
    </w:p>
    <w:p w:rsidR="004C6B31" w:rsidRDefault="004C6B31" w:rsidP="004C6B31">
      <w:pPr>
        <w:spacing w:after="0"/>
        <w:jc w:val="both"/>
        <w:rPr>
          <w:rFonts w:ascii="Arial" w:hAnsi="Arial" w:cs="Arial"/>
        </w:rPr>
      </w:pPr>
      <w:r w:rsidRPr="004C6B31">
        <w:rPr>
          <w:rFonts w:ascii="Arial" w:hAnsi="Arial" w:cs="Arial"/>
        </w:rPr>
        <w:t>Así, la incorporación a la legislación sustantiva penal del feminicidio ha atendido, por una</w:t>
      </w:r>
      <w:r w:rsidR="000729C8">
        <w:rPr>
          <w:rFonts w:ascii="Arial" w:hAnsi="Arial" w:cs="Arial"/>
        </w:rPr>
        <w:t xml:space="preserve">        </w:t>
      </w:r>
      <w:r w:rsidRPr="004C6B31">
        <w:rPr>
          <w:rFonts w:ascii="Arial" w:hAnsi="Arial" w:cs="Arial"/>
        </w:rPr>
        <w:t xml:space="preserve"> parte, a los compromisos internacionales de nuestro país, tales como las obligaciones </w:t>
      </w:r>
      <w:r w:rsidR="000729C8">
        <w:rPr>
          <w:rFonts w:ascii="Arial" w:hAnsi="Arial" w:cs="Arial"/>
        </w:rPr>
        <w:t xml:space="preserve">    </w:t>
      </w:r>
      <w:r w:rsidRPr="004C6B31">
        <w:rPr>
          <w:rFonts w:ascii="Arial" w:hAnsi="Arial" w:cs="Arial"/>
        </w:rPr>
        <w:t xml:space="preserve">derivadas de la suscripción de la Convención sobre la Eliminación de todas las Formas de Discriminación contra la Mujer (CEDAW) y la Convención Interamericana para Prevenir, Sancionar y Erradicar la Violencia contra las Mujeres (Belém do Pará), así como la </w:t>
      </w:r>
      <w:r w:rsidR="000729C8">
        <w:rPr>
          <w:rFonts w:ascii="Arial" w:hAnsi="Arial" w:cs="Arial"/>
        </w:rPr>
        <w:t xml:space="preserve">            </w:t>
      </w:r>
      <w:r w:rsidRPr="004C6B31">
        <w:rPr>
          <w:rFonts w:ascii="Arial" w:hAnsi="Arial" w:cs="Arial"/>
        </w:rPr>
        <w:t>sentencia de la Corte Interamericana de Derechos Humanos en el Caso González y otras (“Campo Algodonero”) vs México. Por otra parte, ha obedecido a la necesidad de brindar respuestas legislativas eficaces a una realidad en la que se ha recrudecido, de manera creciente, la violencia hacia las mujeres y el feminicidio como su versión más extrema.</w:t>
      </w:r>
    </w:p>
    <w:p w:rsidR="004C6B31" w:rsidRDefault="004C6B31" w:rsidP="004C6B31">
      <w:pPr>
        <w:spacing w:after="0"/>
        <w:jc w:val="both"/>
        <w:rPr>
          <w:rFonts w:ascii="Arial" w:hAnsi="Arial" w:cs="Arial"/>
        </w:rPr>
      </w:pPr>
    </w:p>
    <w:p w:rsidR="004C6B31" w:rsidRDefault="004C6B31" w:rsidP="004C6B31">
      <w:pPr>
        <w:spacing w:after="0"/>
        <w:jc w:val="both"/>
        <w:rPr>
          <w:rFonts w:ascii="Arial" w:hAnsi="Arial" w:cs="Arial"/>
          <w:color w:val="000000" w:themeColor="text1"/>
        </w:rPr>
      </w:pPr>
      <w:r w:rsidRPr="004C6B31">
        <w:rPr>
          <w:rFonts w:ascii="Arial" w:hAnsi="Arial" w:cs="Arial"/>
          <w:color w:val="000000" w:themeColor="text1"/>
        </w:rPr>
        <w:t>Ello es especialmente relevante al considerar la correlación –no siempre armónica–</w:t>
      </w:r>
      <w:r>
        <w:rPr>
          <w:rFonts w:ascii="Arial" w:hAnsi="Arial" w:cs="Arial"/>
          <w:color w:val="000000" w:themeColor="text1"/>
        </w:rPr>
        <w:t xml:space="preserve"> </w:t>
      </w:r>
      <w:r w:rsidRPr="004C6B31">
        <w:rPr>
          <w:rFonts w:ascii="Arial" w:hAnsi="Arial" w:cs="Arial"/>
          <w:color w:val="000000" w:themeColor="text1"/>
        </w:rPr>
        <w:t xml:space="preserve">que </w:t>
      </w:r>
      <w:r w:rsidR="000729C8">
        <w:rPr>
          <w:rFonts w:ascii="Arial" w:hAnsi="Arial" w:cs="Arial"/>
          <w:color w:val="000000" w:themeColor="text1"/>
        </w:rPr>
        <w:t xml:space="preserve">         </w:t>
      </w:r>
      <w:r w:rsidRPr="004C6B31">
        <w:rPr>
          <w:rFonts w:ascii="Arial" w:hAnsi="Arial" w:cs="Arial"/>
          <w:color w:val="000000" w:themeColor="text1"/>
        </w:rPr>
        <w:t>existe entre la descripción típica del delito como expresión de las inquietudes y</w:t>
      </w:r>
      <w:r>
        <w:rPr>
          <w:rFonts w:ascii="Arial" w:hAnsi="Arial" w:cs="Arial"/>
          <w:color w:val="000000" w:themeColor="text1"/>
        </w:rPr>
        <w:t xml:space="preserve"> </w:t>
      </w:r>
      <w:r w:rsidRPr="004C6B31">
        <w:rPr>
          <w:rFonts w:ascii="Arial" w:hAnsi="Arial" w:cs="Arial"/>
          <w:color w:val="000000" w:themeColor="text1"/>
        </w:rPr>
        <w:t>necesidades sociales que se canalizan a través del ejercicio legislativo, y las</w:t>
      </w:r>
      <w:r>
        <w:rPr>
          <w:rFonts w:ascii="Arial" w:hAnsi="Arial" w:cs="Arial"/>
          <w:color w:val="000000" w:themeColor="text1"/>
        </w:rPr>
        <w:t xml:space="preserve"> </w:t>
      </w:r>
      <w:r w:rsidRPr="004C6B31">
        <w:rPr>
          <w:rFonts w:ascii="Arial" w:hAnsi="Arial" w:cs="Arial"/>
          <w:color w:val="000000" w:themeColor="text1"/>
        </w:rPr>
        <w:t>exigencias de esa reflexión convertida en norma penal (y sujeta a los principios de</w:t>
      </w:r>
      <w:r>
        <w:rPr>
          <w:rFonts w:ascii="Arial" w:hAnsi="Arial" w:cs="Arial"/>
          <w:color w:val="000000" w:themeColor="text1"/>
        </w:rPr>
        <w:t xml:space="preserve"> </w:t>
      </w:r>
      <w:r w:rsidRPr="004C6B31">
        <w:rPr>
          <w:rFonts w:ascii="Arial" w:hAnsi="Arial" w:cs="Arial"/>
          <w:color w:val="000000" w:themeColor="text1"/>
        </w:rPr>
        <w:t>exacta aplicación de la ley penal, de seguridad jurídica, del debido proceso y de</w:t>
      </w:r>
      <w:r>
        <w:rPr>
          <w:rFonts w:ascii="Arial" w:hAnsi="Arial" w:cs="Arial"/>
          <w:color w:val="000000" w:themeColor="text1"/>
        </w:rPr>
        <w:t xml:space="preserve"> </w:t>
      </w:r>
      <w:r w:rsidRPr="004C6B31">
        <w:rPr>
          <w:rFonts w:ascii="Arial" w:hAnsi="Arial" w:cs="Arial"/>
          <w:color w:val="000000" w:themeColor="text1"/>
        </w:rPr>
        <w:t>respeto a los derechos humanos), que se</w:t>
      </w:r>
      <w:r w:rsidR="000729C8">
        <w:rPr>
          <w:rFonts w:ascii="Arial" w:hAnsi="Arial" w:cs="Arial"/>
          <w:color w:val="000000" w:themeColor="text1"/>
        </w:rPr>
        <w:t xml:space="preserve">         </w:t>
      </w:r>
      <w:r w:rsidRPr="004C6B31">
        <w:rPr>
          <w:rFonts w:ascii="Arial" w:hAnsi="Arial" w:cs="Arial"/>
          <w:color w:val="000000" w:themeColor="text1"/>
        </w:rPr>
        <w:t xml:space="preserve"> traducen en cargas probatorias y</w:t>
      </w:r>
      <w:r>
        <w:rPr>
          <w:rFonts w:ascii="Arial" w:hAnsi="Arial" w:cs="Arial"/>
          <w:color w:val="000000" w:themeColor="text1"/>
        </w:rPr>
        <w:t xml:space="preserve"> </w:t>
      </w:r>
      <w:r w:rsidRPr="004C6B31">
        <w:rPr>
          <w:rFonts w:ascii="Arial" w:hAnsi="Arial" w:cs="Arial"/>
          <w:color w:val="000000" w:themeColor="text1"/>
        </w:rPr>
        <w:t xml:space="preserve">argumentativas para investigar y probar en juicio los </w:t>
      </w:r>
      <w:r w:rsidR="000729C8">
        <w:rPr>
          <w:rFonts w:ascii="Arial" w:hAnsi="Arial" w:cs="Arial"/>
          <w:color w:val="000000" w:themeColor="text1"/>
        </w:rPr>
        <w:t xml:space="preserve">         </w:t>
      </w:r>
      <w:r w:rsidRPr="004C6B31">
        <w:rPr>
          <w:rFonts w:ascii="Arial" w:hAnsi="Arial" w:cs="Arial"/>
          <w:color w:val="000000" w:themeColor="text1"/>
        </w:rPr>
        <w:t>distintos elementos del delito</w:t>
      </w:r>
      <w:r>
        <w:rPr>
          <w:rFonts w:ascii="Arial" w:hAnsi="Arial" w:cs="Arial"/>
          <w:color w:val="000000" w:themeColor="text1"/>
        </w:rPr>
        <w:t xml:space="preserve"> </w:t>
      </w:r>
      <w:r w:rsidRPr="004C6B31">
        <w:rPr>
          <w:rFonts w:ascii="Arial" w:hAnsi="Arial" w:cs="Arial"/>
          <w:color w:val="000000" w:themeColor="text1"/>
        </w:rPr>
        <w:t>(elementos objetivos, subjetivos y normativos).</w:t>
      </w:r>
    </w:p>
    <w:p w:rsidR="004C6B31" w:rsidRDefault="004C6B31" w:rsidP="004C6B31">
      <w:pPr>
        <w:spacing w:after="0"/>
        <w:jc w:val="both"/>
        <w:rPr>
          <w:rFonts w:ascii="Arial" w:hAnsi="Arial" w:cs="Arial"/>
          <w:color w:val="000000" w:themeColor="text1"/>
        </w:rPr>
      </w:pPr>
    </w:p>
    <w:p w:rsidR="004C6B31" w:rsidRDefault="004C6B31" w:rsidP="004C6B31">
      <w:pPr>
        <w:spacing w:after="0"/>
        <w:jc w:val="both"/>
        <w:rPr>
          <w:rFonts w:ascii="Arial" w:hAnsi="Arial" w:cs="Arial"/>
          <w:vertAlign w:val="superscript"/>
        </w:rPr>
      </w:pPr>
      <w:r w:rsidRPr="004C6B31">
        <w:rPr>
          <w:rFonts w:ascii="Arial" w:hAnsi="Arial" w:cs="Arial"/>
        </w:rPr>
        <w:t>La especial nota distintiva de esas variaciones en la regulación del feminicidio suelen</w:t>
      </w:r>
      <w:r w:rsidR="000729C8">
        <w:rPr>
          <w:rFonts w:ascii="Arial" w:hAnsi="Arial" w:cs="Arial"/>
        </w:rPr>
        <w:t xml:space="preserve">        </w:t>
      </w:r>
      <w:r w:rsidRPr="004C6B31">
        <w:rPr>
          <w:rFonts w:ascii="Arial" w:hAnsi="Arial" w:cs="Arial"/>
        </w:rPr>
        <w:t xml:space="preserve"> derivar en complejizaciones interpretativas innecesarias del delito (al añadir elementos subjetivos de significación abierta, condicionar su existencia a la acreditación previa de un </w:t>
      </w:r>
      <w:r w:rsidR="000729C8">
        <w:rPr>
          <w:rFonts w:ascii="Arial" w:hAnsi="Arial" w:cs="Arial"/>
        </w:rPr>
        <w:t xml:space="preserve"> </w:t>
      </w:r>
      <w:r w:rsidRPr="004C6B31">
        <w:rPr>
          <w:rFonts w:ascii="Arial" w:hAnsi="Arial" w:cs="Arial"/>
        </w:rPr>
        <w:t xml:space="preserve">delito diverso, incorporar elementos normativos de valoración jurídica que corresponden a conductas típicas de naturaleza jurídica distinta) que inhiben su propia utilización, quedando como discursos legislativos más que como normas eficaces por las propias dificultades de acreditar los extremos de esas hipótesis rebuscadas. Ello incentiva que las fiscalías y los </w:t>
      </w:r>
      <w:r w:rsidRPr="004C6B31">
        <w:rPr>
          <w:rFonts w:ascii="Arial" w:hAnsi="Arial" w:cs="Arial"/>
        </w:rPr>
        <w:lastRenderedPageBreak/>
        <w:t>juzgadores acudan al delito de homicidio agravado antes que al de feminicidio. En razón de</w:t>
      </w:r>
      <w:r w:rsidR="000729C8">
        <w:rPr>
          <w:rFonts w:ascii="Arial" w:hAnsi="Arial" w:cs="Arial"/>
        </w:rPr>
        <w:t xml:space="preserve">       </w:t>
      </w:r>
      <w:r w:rsidRPr="004C6B31">
        <w:rPr>
          <w:rFonts w:ascii="Arial" w:hAnsi="Arial" w:cs="Arial"/>
        </w:rPr>
        <w:t xml:space="preserve"> lo anterior, se desvaloriza el mensaje especialmente enfático de prevención especial y </w:t>
      </w:r>
      <w:r w:rsidR="000729C8">
        <w:rPr>
          <w:rFonts w:ascii="Arial" w:hAnsi="Arial" w:cs="Arial"/>
        </w:rPr>
        <w:t xml:space="preserve">          </w:t>
      </w:r>
      <w:r w:rsidRPr="004C6B31">
        <w:rPr>
          <w:rFonts w:ascii="Arial" w:hAnsi="Arial" w:cs="Arial"/>
        </w:rPr>
        <w:t xml:space="preserve">general que se persigue con la tipificación diferenciada del feminicidio como forma </w:t>
      </w:r>
      <w:r w:rsidR="000729C8">
        <w:rPr>
          <w:rFonts w:ascii="Arial" w:hAnsi="Arial" w:cs="Arial"/>
        </w:rPr>
        <w:t xml:space="preserve">          </w:t>
      </w:r>
      <w:r w:rsidRPr="004C6B31">
        <w:rPr>
          <w:rFonts w:ascii="Arial" w:hAnsi="Arial" w:cs="Arial"/>
        </w:rPr>
        <w:t>extremada de violencia contra las mujeres.</w:t>
      </w:r>
      <w:r>
        <w:rPr>
          <w:rFonts w:ascii="Arial" w:hAnsi="Arial" w:cs="Arial"/>
        </w:rPr>
        <w:t xml:space="preserve"> </w:t>
      </w:r>
    </w:p>
    <w:p w:rsidR="004C6B31" w:rsidRDefault="004C6B31" w:rsidP="004C6B31">
      <w:pPr>
        <w:spacing w:after="0"/>
        <w:jc w:val="both"/>
        <w:rPr>
          <w:rFonts w:ascii="Arial" w:hAnsi="Arial" w:cs="Arial"/>
          <w:vertAlign w:val="superscript"/>
        </w:rPr>
      </w:pPr>
    </w:p>
    <w:p w:rsidR="004C6B31" w:rsidRDefault="004C6B31" w:rsidP="004C6B31">
      <w:pPr>
        <w:spacing w:after="0"/>
        <w:jc w:val="both"/>
        <w:rPr>
          <w:rFonts w:ascii="Arial" w:hAnsi="Arial" w:cs="Arial"/>
        </w:rPr>
      </w:pPr>
      <w:r w:rsidRPr="004C6B31">
        <w:rPr>
          <w:rFonts w:ascii="Arial" w:hAnsi="Arial" w:cs="Arial"/>
        </w:rPr>
        <w:t xml:space="preserve">Así, del análisis de las codificaciones penales sustantivas del país, se evidencia la </w:t>
      </w:r>
      <w:r w:rsidR="000729C8">
        <w:rPr>
          <w:rFonts w:ascii="Arial" w:hAnsi="Arial" w:cs="Arial"/>
        </w:rPr>
        <w:t xml:space="preserve">         </w:t>
      </w:r>
      <w:r w:rsidRPr="004C6B31">
        <w:rPr>
          <w:rFonts w:ascii="Arial" w:hAnsi="Arial" w:cs="Arial"/>
        </w:rPr>
        <w:t>necesidad de facilitar la interpretación normativa del feminicidio (y el consecuente ejercicio probatorio y argumentativo), en aras de potenciar los resultados de las autoridades de procuración e impartición de justicia para inhibir la impunidad de esta forma de violencia y atentado a la dignidad humana; de tal modo que el derecho penal pueda cumplir su función</w:t>
      </w:r>
      <w:r w:rsidR="000729C8">
        <w:rPr>
          <w:rFonts w:ascii="Arial" w:hAnsi="Arial" w:cs="Arial"/>
        </w:rPr>
        <w:t xml:space="preserve">          </w:t>
      </w:r>
      <w:r w:rsidRPr="004C6B31">
        <w:rPr>
          <w:rFonts w:ascii="Arial" w:hAnsi="Arial" w:cs="Arial"/>
        </w:rPr>
        <w:t xml:space="preserve"> de ultima ratio en la protección de la vida de las mujeres. </w:t>
      </w:r>
    </w:p>
    <w:p w:rsidR="004C6B31" w:rsidRDefault="004C6B31" w:rsidP="004C6B31">
      <w:pPr>
        <w:spacing w:after="0"/>
        <w:jc w:val="both"/>
        <w:rPr>
          <w:rFonts w:ascii="Arial" w:hAnsi="Arial" w:cs="Arial"/>
        </w:rPr>
      </w:pPr>
    </w:p>
    <w:p w:rsidR="004C6B31" w:rsidRDefault="004C6B31" w:rsidP="004C6B31">
      <w:pPr>
        <w:spacing w:after="0"/>
        <w:jc w:val="both"/>
        <w:rPr>
          <w:rFonts w:ascii="Arial" w:hAnsi="Arial" w:cs="Arial"/>
        </w:rPr>
      </w:pPr>
      <w:r w:rsidRPr="004C6B31">
        <w:rPr>
          <w:rFonts w:ascii="Arial" w:hAnsi="Arial" w:cs="Arial"/>
        </w:rPr>
        <w:t>Es indispensable que los supuestos que actualicen la comisión de esta conducta delictiva reflejen de manera clara el contenido concreto de las razones de género que permiten diferenciar el feminicidio del homicidio. El análisis en cuestión hace evidente la necesidad</w:t>
      </w:r>
      <w:r w:rsidR="000729C8">
        <w:rPr>
          <w:rFonts w:ascii="Arial" w:hAnsi="Arial" w:cs="Arial"/>
        </w:rPr>
        <w:t xml:space="preserve">            </w:t>
      </w:r>
      <w:r w:rsidRPr="004C6B31">
        <w:rPr>
          <w:rFonts w:ascii="Arial" w:hAnsi="Arial" w:cs="Arial"/>
        </w:rPr>
        <w:t xml:space="preserve"> de dar certeza a la sociedad y a los propios operadores del sistema de justicia de los</w:t>
      </w:r>
      <w:r w:rsidR="000729C8">
        <w:rPr>
          <w:rFonts w:ascii="Arial" w:hAnsi="Arial" w:cs="Arial"/>
        </w:rPr>
        <w:t xml:space="preserve">       </w:t>
      </w:r>
      <w:r w:rsidRPr="004C6B31">
        <w:rPr>
          <w:rFonts w:ascii="Arial" w:hAnsi="Arial" w:cs="Arial"/>
        </w:rPr>
        <w:t xml:space="preserve"> supuestos que actualizan el feminicidio, con miras a dar resultados coherentes como </w:t>
      </w:r>
      <w:r w:rsidR="000729C8">
        <w:rPr>
          <w:rFonts w:ascii="Arial" w:hAnsi="Arial" w:cs="Arial"/>
        </w:rPr>
        <w:t xml:space="preserve">             </w:t>
      </w:r>
      <w:r w:rsidRPr="004C6B31">
        <w:rPr>
          <w:rFonts w:ascii="Arial" w:hAnsi="Arial" w:cs="Arial"/>
        </w:rPr>
        <w:t xml:space="preserve">Estado mexicano en el combate a este fenómeno que lacera por igual en las distintas partes </w:t>
      </w:r>
      <w:r w:rsidR="000729C8">
        <w:rPr>
          <w:rFonts w:ascii="Arial" w:hAnsi="Arial" w:cs="Arial"/>
        </w:rPr>
        <w:t xml:space="preserve">           </w:t>
      </w:r>
      <w:r w:rsidRPr="004C6B31">
        <w:rPr>
          <w:rFonts w:ascii="Arial" w:hAnsi="Arial" w:cs="Arial"/>
        </w:rPr>
        <w:t xml:space="preserve">de nuestro territorio. Esta necesidad también se identifica en las amplias divergencias existentes en: </w:t>
      </w:r>
    </w:p>
    <w:p w:rsidR="004C6B31" w:rsidRDefault="004C6B31" w:rsidP="004C6B31">
      <w:pPr>
        <w:spacing w:after="0"/>
        <w:jc w:val="both"/>
        <w:rPr>
          <w:rFonts w:ascii="Arial" w:hAnsi="Arial" w:cs="Arial"/>
        </w:rPr>
      </w:pPr>
    </w:p>
    <w:p w:rsidR="004C6B31" w:rsidRDefault="004C6B31" w:rsidP="004C6B31">
      <w:pPr>
        <w:spacing w:after="0"/>
        <w:jc w:val="both"/>
        <w:rPr>
          <w:rFonts w:ascii="Arial" w:hAnsi="Arial" w:cs="Arial"/>
        </w:rPr>
      </w:pPr>
      <w:r w:rsidRPr="004C6B31">
        <w:rPr>
          <w:rFonts w:ascii="Arial" w:hAnsi="Arial" w:cs="Arial"/>
        </w:rPr>
        <w:t xml:space="preserve">a) La aplicación de agravantes (que algunas legislaciones consideran más bien como tipos básicos); </w:t>
      </w:r>
    </w:p>
    <w:p w:rsidR="004C6B31" w:rsidRDefault="004C6B31" w:rsidP="004C6B31">
      <w:pPr>
        <w:spacing w:after="0"/>
        <w:jc w:val="both"/>
        <w:rPr>
          <w:rFonts w:ascii="Arial" w:hAnsi="Arial" w:cs="Arial"/>
        </w:rPr>
      </w:pPr>
    </w:p>
    <w:p w:rsidR="004C6B31" w:rsidRPr="004C6B31" w:rsidRDefault="004C6B31" w:rsidP="004C6B31">
      <w:pPr>
        <w:spacing w:after="0"/>
        <w:jc w:val="both"/>
        <w:rPr>
          <w:rFonts w:ascii="Arial" w:hAnsi="Arial" w:cs="Arial"/>
        </w:rPr>
      </w:pPr>
      <w:r w:rsidRPr="004C6B31">
        <w:rPr>
          <w:rFonts w:ascii="Arial" w:hAnsi="Arial" w:cs="Arial"/>
        </w:rPr>
        <w:t xml:space="preserve">b) La pérdida o no de derechos del sujeto activo respecto de la víctima (pues una parte importante de las codificaciones no consideran este supuesto como parte de las sanciones, </w:t>
      </w:r>
      <w:r w:rsidR="000729C8">
        <w:rPr>
          <w:rFonts w:ascii="Arial" w:hAnsi="Arial" w:cs="Arial"/>
        </w:rPr>
        <w:t xml:space="preserve">          </w:t>
      </w:r>
      <w:r w:rsidRPr="004C6B31">
        <w:rPr>
          <w:rFonts w:ascii="Arial" w:hAnsi="Arial" w:cs="Arial"/>
        </w:rPr>
        <w:t xml:space="preserve">sin mencionar que solo una contempla que esa sanción se extienda no solo a la víctima </w:t>
      </w:r>
      <w:r w:rsidR="000729C8">
        <w:rPr>
          <w:rFonts w:ascii="Arial" w:hAnsi="Arial" w:cs="Arial"/>
        </w:rPr>
        <w:t xml:space="preserve">            </w:t>
      </w:r>
      <w:r w:rsidRPr="004C6B31">
        <w:rPr>
          <w:rFonts w:ascii="Arial" w:hAnsi="Arial" w:cs="Arial"/>
        </w:rPr>
        <w:t>sino a los derechos respecto de los hijos en común, según sea el caso);</w:t>
      </w:r>
    </w:p>
    <w:p w:rsidR="004C6B31" w:rsidRPr="004C6B31" w:rsidRDefault="004C6B31" w:rsidP="004C6B31">
      <w:pPr>
        <w:spacing w:after="0"/>
        <w:jc w:val="both"/>
        <w:rPr>
          <w:rFonts w:ascii="Arial" w:hAnsi="Arial" w:cs="Arial"/>
        </w:rPr>
      </w:pPr>
    </w:p>
    <w:p w:rsidR="004C6B31" w:rsidRPr="004C6B31" w:rsidRDefault="004C6B31" w:rsidP="004C6B31">
      <w:pPr>
        <w:spacing w:after="0"/>
        <w:jc w:val="both"/>
        <w:rPr>
          <w:rFonts w:ascii="Arial" w:hAnsi="Arial" w:cs="Arial"/>
        </w:rPr>
      </w:pPr>
      <w:r w:rsidRPr="004C6B31">
        <w:rPr>
          <w:rFonts w:ascii="Arial" w:hAnsi="Arial" w:cs="Arial"/>
        </w:rPr>
        <w:t xml:space="preserve">c) En la tipificación como delito cometido por servidor público cuando se obstruye la </w:t>
      </w:r>
      <w:r w:rsidR="000729C8">
        <w:rPr>
          <w:rFonts w:ascii="Arial" w:hAnsi="Arial" w:cs="Arial"/>
        </w:rPr>
        <w:t xml:space="preserve">   </w:t>
      </w:r>
      <w:r w:rsidRPr="004C6B31">
        <w:rPr>
          <w:rFonts w:ascii="Arial" w:hAnsi="Arial" w:cs="Arial"/>
        </w:rPr>
        <w:t xml:space="preserve">procuración e impartición de justicia (prácticamente la mitad de las codificaciones no lo contemplan); </w:t>
      </w:r>
    </w:p>
    <w:p w:rsidR="004C6B31" w:rsidRPr="004C6B31" w:rsidRDefault="004C6B31" w:rsidP="004C6B31">
      <w:pPr>
        <w:spacing w:after="0"/>
        <w:jc w:val="both"/>
        <w:rPr>
          <w:rFonts w:ascii="Arial" w:hAnsi="Arial" w:cs="Arial"/>
        </w:rPr>
      </w:pPr>
    </w:p>
    <w:p w:rsidR="004C6B31" w:rsidRPr="004C6B31" w:rsidRDefault="004C6B31" w:rsidP="004C6B31">
      <w:pPr>
        <w:spacing w:after="0"/>
        <w:jc w:val="both"/>
        <w:rPr>
          <w:rFonts w:ascii="Arial" w:hAnsi="Arial" w:cs="Arial"/>
        </w:rPr>
      </w:pPr>
      <w:r w:rsidRPr="004C6B31">
        <w:rPr>
          <w:rFonts w:ascii="Arial" w:hAnsi="Arial" w:cs="Arial"/>
        </w:rPr>
        <w:t xml:space="preserve">d) Lo mismo puede señalarse respecto de los montos de las penas para el mismo tipo de conducta prohibida (con una disparidad de hasta 20 años en el monto mínimo y de hasta </w:t>
      </w:r>
      <w:r w:rsidR="000729C8">
        <w:rPr>
          <w:rFonts w:ascii="Arial" w:hAnsi="Arial" w:cs="Arial"/>
        </w:rPr>
        <w:t xml:space="preserve">           </w:t>
      </w:r>
      <w:r w:rsidRPr="004C6B31">
        <w:rPr>
          <w:rFonts w:ascii="Arial" w:hAnsi="Arial" w:cs="Arial"/>
        </w:rPr>
        <w:t xml:space="preserve">30 en el máximo de la punibilidad); así como, </w:t>
      </w:r>
    </w:p>
    <w:p w:rsidR="004C6B31" w:rsidRPr="004C6B31" w:rsidRDefault="004C6B31" w:rsidP="004C6B31">
      <w:pPr>
        <w:spacing w:after="0"/>
        <w:jc w:val="both"/>
        <w:rPr>
          <w:rFonts w:ascii="Arial" w:hAnsi="Arial" w:cs="Arial"/>
        </w:rPr>
      </w:pPr>
    </w:p>
    <w:p w:rsidR="004C6B31" w:rsidRPr="004C6B31" w:rsidRDefault="004C6B31" w:rsidP="004C6B31">
      <w:pPr>
        <w:spacing w:after="0"/>
        <w:jc w:val="both"/>
        <w:rPr>
          <w:rFonts w:ascii="Arial" w:hAnsi="Arial" w:cs="Arial"/>
        </w:rPr>
      </w:pPr>
      <w:r w:rsidRPr="004C6B31">
        <w:rPr>
          <w:rFonts w:ascii="Arial" w:hAnsi="Arial" w:cs="Arial"/>
        </w:rPr>
        <w:lastRenderedPageBreak/>
        <w:t>e) La exigencia o no del pago de una multa y su respectivo monto.</w:t>
      </w:r>
      <w:r>
        <w:rPr>
          <w:rFonts w:ascii="Arial" w:hAnsi="Arial" w:cs="Arial"/>
        </w:rPr>
        <w:t xml:space="preserve"> </w:t>
      </w:r>
      <w:r w:rsidRPr="004C6B31">
        <w:rPr>
          <w:rFonts w:ascii="Arial" w:hAnsi="Arial" w:cs="Arial"/>
          <w:vertAlign w:val="superscript"/>
        </w:rPr>
        <w:t>3</w:t>
      </w:r>
    </w:p>
    <w:p w:rsidR="004C6B31" w:rsidRPr="004C6B31" w:rsidRDefault="004C6B31" w:rsidP="004C6B31">
      <w:pPr>
        <w:spacing w:after="0"/>
        <w:jc w:val="both"/>
        <w:rPr>
          <w:rFonts w:ascii="Arial" w:hAnsi="Arial" w:cs="Arial"/>
          <w:color w:val="000000" w:themeColor="text1"/>
        </w:rPr>
      </w:pPr>
    </w:p>
    <w:p w:rsidR="00470BA9" w:rsidRPr="004C6B31" w:rsidRDefault="00470BA9" w:rsidP="00470BA9">
      <w:pPr>
        <w:spacing w:after="0"/>
        <w:jc w:val="both"/>
        <w:rPr>
          <w:rFonts w:ascii="Arial" w:hAnsi="Arial" w:cs="Arial"/>
          <w:b/>
          <w:bCs/>
          <w:color w:val="000000" w:themeColor="text1"/>
        </w:rPr>
      </w:pPr>
      <w:r w:rsidRPr="004C6B31">
        <w:rPr>
          <w:rFonts w:ascii="Arial" w:hAnsi="Arial" w:cs="Arial"/>
          <w:b/>
          <w:bCs/>
          <w:color w:val="000000" w:themeColor="text1"/>
        </w:rPr>
        <w:t>LAS DEFUNCIONES FEMENINAS EN EL NIVEL MUNICIPAL.</w:t>
      </w:r>
    </w:p>
    <w:p w:rsidR="00470BA9" w:rsidRPr="004C6B31" w:rsidRDefault="00470BA9" w:rsidP="00470BA9">
      <w:pPr>
        <w:spacing w:after="0"/>
        <w:jc w:val="both"/>
        <w:rPr>
          <w:rFonts w:ascii="Arial" w:hAnsi="Arial" w:cs="Arial"/>
          <w:color w:val="000000" w:themeColor="text1"/>
        </w:rPr>
      </w:pPr>
    </w:p>
    <w:p w:rsidR="00470BA9" w:rsidRPr="004C6B31" w:rsidRDefault="00470BA9" w:rsidP="00470BA9">
      <w:pPr>
        <w:spacing w:after="0"/>
        <w:jc w:val="both"/>
        <w:rPr>
          <w:rFonts w:ascii="Arial" w:hAnsi="Arial" w:cs="Arial"/>
          <w:color w:val="000000" w:themeColor="text1"/>
        </w:rPr>
      </w:pPr>
      <w:r w:rsidRPr="004C6B31">
        <w:rPr>
          <w:rFonts w:ascii="Arial" w:hAnsi="Arial" w:cs="Arial"/>
          <w:color w:val="000000" w:themeColor="text1"/>
        </w:rPr>
        <w:t xml:space="preserve">Los diez municipios que concentraron el mayor número de defunciones femeninas con presunción de homicidio fueron: Tijuana, </w:t>
      </w:r>
      <w:r w:rsidRPr="004C6B31">
        <w:rPr>
          <w:rFonts w:ascii="Arial" w:hAnsi="Arial" w:cs="Arial"/>
          <w:b/>
          <w:bCs/>
          <w:color w:val="000000" w:themeColor="text1"/>
        </w:rPr>
        <w:t>Juárez</w:t>
      </w:r>
      <w:r w:rsidRPr="004C6B31">
        <w:rPr>
          <w:rFonts w:ascii="Arial" w:hAnsi="Arial" w:cs="Arial"/>
          <w:color w:val="000000" w:themeColor="text1"/>
        </w:rPr>
        <w:t xml:space="preserve">, Acapulco de Juárez, Ecatepec de </w:t>
      </w:r>
      <w:r w:rsidR="000303EB">
        <w:rPr>
          <w:rFonts w:ascii="Arial" w:hAnsi="Arial" w:cs="Arial"/>
          <w:color w:val="000000" w:themeColor="text1"/>
        </w:rPr>
        <w:t xml:space="preserve">             </w:t>
      </w:r>
      <w:r w:rsidRPr="004C6B31">
        <w:rPr>
          <w:rFonts w:ascii="Arial" w:hAnsi="Arial" w:cs="Arial"/>
          <w:color w:val="000000" w:themeColor="text1"/>
        </w:rPr>
        <w:t xml:space="preserve">Morelos, </w:t>
      </w:r>
      <w:r w:rsidRPr="004C6B31">
        <w:rPr>
          <w:rFonts w:ascii="Arial" w:hAnsi="Arial" w:cs="Arial"/>
          <w:b/>
          <w:bCs/>
          <w:color w:val="000000" w:themeColor="text1"/>
        </w:rPr>
        <w:t>Chihuahua</w:t>
      </w:r>
      <w:r w:rsidRPr="004C6B31">
        <w:rPr>
          <w:rFonts w:ascii="Arial" w:hAnsi="Arial" w:cs="Arial"/>
          <w:color w:val="000000" w:themeColor="text1"/>
        </w:rPr>
        <w:t>, Los Cabos, Victoria, León, Culiacán y Manzanillo, los cuales en</w:t>
      </w:r>
      <w:r w:rsidR="000303EB">
        <w:rPr>
          <w:rFonts w:ascii="Arial" w:hAnsi="Arial" w:cs="Arial"/>
          <w:color w:val="000000" w:themeColor="text1"/>
        </w:rPr>
        <w:t xml:space="preserve">         </w:t>
      </w:r>
      <w:r w:rsidRPr="004C6B31">
        <w:rPr>
          <w:rFonts w:ascii="Arial" w:hAnsi="Arial" w:cs="Arial"/>
          <w:color w:val="000000" w:themeColor="text1"/>
        </w:rPr>
        <w:t xml:space="preserve"> conjunto concentran una de cada cinco defunciones femeninas con presunción de homicidio ocurridas en el país.</w:t>
      </w:r>
    </w:p>
    <w:p w:rsidR="00470BA9" w:rsidRDefault="00470BA9" w:rsidP="004C6B31">
      <w:pPr>
        <w:spacing w:after="0"/>
        <w:jc w:val="both"/>
        <w:rPr>
          <w:rFonts w:ascii="Arial" w:hAnsi="Arial" w:cs="Arial"/>
          <w:color w:val="000000" w:themeColor="text1"/>
          <w:vertAlign w:val="superscript"/>
        </w:rPr>
      </w:pPr>
    </w:p>
    <w:p w:rsidR="00470BA9" w:rsidRPr="00470BA9" w:rsidRDefault="00470BA9" w:rsidP="00470BA9">
      <w:pPr>
        <w:spacing w:after="0"/>
        <w:jc w:val="both"/>
        <w:rPr>
          <w:rFonts w:ascii="Arial" w:hAnsi="Arial" w:cs="Arial"/>
          <w:color w:val="000000" w:themeColor="text1"/>
        </w:rPr>
      </w:pPr>
      <w:r w:rsidRPr="00470BA9">
        <w:rPr>
          <w:rFonts w:ascii="Arial" w:hAnsi="Arial" w:cs="Arial"/>
          <w:color w:val="000000" w:themeColor="text1"/>
        </w:rPr>
        <w:t>En lo que va de enero de 2020, ocho mujeres han sido víctimas de feminicidio. El primer</w:t>
      </w:r>
      <w:r w:rsidR="000303EB">
        <w:rPr>
          <w:rFonts w:ascii="Arial" w:hAnsi="Arial" w:cs="Arial"/>
          <w:color w:val="000000" w:themeColor="text1"/>
        </w:rPr>
        <w:t xml:space="preserve">           </w:t>
      </w:r>
      <w:r w:rsidRPr="00470BA9">
        <w:rPr>
          <w:rFonts w:ascii="Arial" w:hAnsi="Arial" w:cs="Arial"/>
          <w:color w:val="000000" w:themeColor="text1"/>
        </w:rPr>
        <w:t xml:space="preserve"> caso en esta ciudad fronteriza fue reportado el 8 de enero. La víctima fue identificada como Aidee Ivonne Tovar Salazar, de 30 años, quien murió a causa de asfixia por </w:t>
      </w:r>
      <w:r w:rsidR="000303EB">
        <w:rPr>
          <w:rFonts w:ascii="Arial" w:hAnsi="Arial" w:cs="Arial"/>
          <w:color w:val="000000" w:themeColor="text1"/>
        </w:rPr>
        <w:t xml:space="preserve">            </w:t>
      </w:r>
      <w:r w:rsidRPr="00470BA9">
        <w:rPr>
          <w:rFonts w:ascii="Arial" w:hAnsi="Arial" w:cs="Arial"/>
          <w:color w:val="000000" w:themeColor="text1"/>
        </w:rPr>
        <w:t>estrangulamiento con un alambre.</w:t>
      </w:r>
    </w:p>
    <w:p w:rsidR="00470BA9" w:rsidRPr="00470BA9" w:rsidRDefault="00470BA9" w:rsidP="00470BA9">
      <w:pPr>
        <w:spacing w:after="0"/>
        <w:jc w:val="both"/>
        <w:rPr>
          <w:rFonts w:ascii="Arial" w:hAnsi="Arial" w:cs="Arial"/>
          <w:color w:val="000000" w:themeColor="text1"/>
        </w:rPr>
      </w:pPr>
    </w:p>
    <w:p w:rsidR="00470BA9" w:rsidRPr="00470BA9" w:rsidRDefault="00470BA9" w:rsidP="00470BA9">
      <w:pPr>
        <w:spacing w:after="0"/>
        <w:jc w:val="both"/>
        <w:rPr>
          <w:rFonts w:ascii="Arial" w:hAnsi="Arial" w:cs="Arial"/>
          <w:color w:val="000000" w:themeColor="text1"/>
        </w:rPr>
      </w:pPr>
      <w:r w:rsidRPr="00470BA9">
        <w:rPr>
          <w:rFonts w:ascii="Arial" w:hAnsi="Arial" w:cs="Arial"/>
          <w:color w:val="000000" w:themeColor="text1"/>
        </w:rPr>
        <w:t xml:space="preserve">Ese mismo día, personal médico del Hospital Juárez reportó al Ministerio Público la muerte </w:t>
      </w:r>
      <w:r w:rsidR="000303EB">
        <w:rPr>
          <w:rFonts w:ascii="Arial" w:hAnsi="Arial" w:cs="Arial"/>
          <w:color w:val="000000" w:themeColor="text1"/>
        </w:rPr>
        <w:t xml:space="preserve">          </w:t>
      </w:r>
      <w:r w:rsidRPr="00470BA9">
        <w:rPr>
          <w:rFonts w:ascii="Arial" w:hAnsi="Arial" w:cs="Arial"/>
          <w:color w:val="000000" w:themeColor="text1"/>
        </w:rPr>
        <w:t xml:space="preserve">de una bebé llamada Lía, quien falleció a consecuencia de una hemorragia subaracnoidea, </w:t>
      </w:r>
      <w:r w:rsidR="000303EB">
        <w:rPr>
          <w:rFonts w:ascii="Arial" w:hAnsi="Arial" w:cs="Arial"/>
          <w:color w:val="000000" w:themeColor="text1"/>
        </w:rPr>
        <w:t xml:space="preserve">         </w:t>
      </w:r>
      <w:r w:rsidRPr="00470BA9">
        <w:rPr>
          <w:rFonts w:ascii="Arial" w:hAnsi="Arial" w:cs="Arial"/>
          <w:color w:val="000000" w:themeColor="text1"/>
        </w:rPr>
        <w:t>tras ser probablemente golpeada de forma brutal cuando su padre “la cuidaba” y quien ya</w:t>
      </w:r>
      <w:r w:rsidR="000303EB">
        <w:rPr>
          <w:rFonts w:ascii="Arial" w:hAnsi="Arial" w:cs="Arial"/>
          <w:color w:val="000000" w:themeColor="text1"/>
        </w:rPr>
        <w:t xml:space="preserve">            </w:t>
      </w:r>
      <w:r w:rsidRPr="00470BA9">
        <w:rPr>
          <w:rFonts w:ascii="Arial" w:hAnsi="Arial" w:cs="Arial"/>
          <w:color w:val="000000" w:themeColor="text1"/>
        </w:rPr>
        <w:t xml:space="preserve"> fue arrestado.</w:t>
      </w:r>
    </w:p>
    <w:p w:rsidR="00470BA9" w:rsidRPr="00470BA9" w:rsidRDefault="00470BA9" w:rsidP="00470BA9">
      <w:pPr>
        <w:spacing w:after="0"/>
        <w:jc w:val="both"/>
        <w:rPr>
          <w:rFonts w:ascii="Arial" w:hAnsi="Arial" w:cs="Arial"/>
          <w:color w:val="000000" w:themeColor="text1"/>
        </w:rPr>
      </w:pPr>
    </w:p>
    <w:p w:rsidR="00470BA9" w:rsidRDefault="00470BA9" w:rsidP="00470BA9">
      <w:pPr>
        <w:spacing w:after="0"/>
        <w:jc w:val="both"/>
        <w:rPr>
          <w:rFonts w:ascii="Arial" w:hAnsi="Arial" w:cs="Arial"/>
          <w:color w:val="000000" w:themeColor="text1"/>
        </w:rPr>
      </w:pPr>
      <w:r w:rsidRPr="00470BA9">
        <w:rPr>
          <w:rFonts w:ascii="Arial" w:hAnsi="Arial" w:cs="Arial"/>
          <w:color w:val="000000" w:themeColor="text1"/>
        </w:rPr>
        <w:t xml:space="preserve">El 17 de enero fue localizado el cuerpo de Tania Tamara Saldaña Martínez, de 29 años, en </w:t>
      </w:r>
      <w:r w:rsidR="000303EB">
        <w:rPr>
          <w:rFonts w:ascii="Arial" w:hAnsi="Arial" w:cs="Arial"/>
          <w:color w:val="000000" w:themeColor="text1"/>
        </w:rPr>
        <w:t xml:space="preserve">            </w:t>
      </w:r>
      <w:r w:rsidRPr="00470BA9">
        <w:rPr>
          <w:rFonts w:ascii="Arial" w:hAnsi="Arial" w:cs="Arial"/>
          <w:color w:val="000000" w:themeColor="text1"/>
        </w:rPr>
        <w:t>el interior de un hotel localizado en la zona Centro. Un día después se encontró el cuerpo</w:t>
      </w:r>
      <w:r w:rsidR="000303EB">
        <w:rPr>
          <w:rFonts w:ascii="Arial" w:hAnsi="Arial" w:cs="Arial"/>
          <w:color w:val="000000" w:themeColor="text1"/>
        </w:rPr>
        <w:t xml:space="preserve">           </w:t>
      </w:r>
      <w:r w:rsidRPr="00470BA9">
        <w:rPr>
          <w:rFonts w:ascii="Arial" w:hAnsi="Arial" w:cs="Arial"/>
          <w:color w:val="000000" w:themeColor="text1"/>
        </w:rPr>
        <w:t xml:space="preserve"> de Isabel Cabanillas De la Torre, de 26 años, tras haber sido reportada desaparecida.</w:t>
      </w:r>
    </w:p>
    <w:p w:rsidR="00044B08" w:rsidRDefault="00044B08" w:rsidP="00470BA9">
      <w:pPr>
        <w:spacing w:after="0"/>
        <w:jc w:val="both"/>
        <w:rPr>
          <w:rFonts w:ascii="Arial" w:hAnsi="Arial" w:cs="Arial"/>
          <w:color w:val="000000" w:themeColor="text1"/>
        </w:rPr>
      </w:pPr>
    </w:p>
    <w:p w:rsidR="00044B08" w:rsidRPr="00044B08" w:rsidRDefault="00044B08" w:rsidP="00044B08">
      <w:pPr>
        <w:spacing w:after="0"/>
        <w:jc w:val="both"/>
        <w:rPr>
          <w:rFonts w:ascii="Arial" w:hAnsi="Arial" w:cs="Arial"/>
          <w:color w:val="000000" w:themeColor="text1"/>
        </w:rPr>
      </w:pPr>
      <w:r w:rsidRPr="00044B08">
        <w:rPr>
          <w:rFonts w:ascii="Arial" w:hAnsi="Arial" w:cs="Arial"/>
          <w:color w:val="000000" w:themeColor="text1"/>
        </w:rPr>
        <w:t>Isabel, de 26 años edad, era madre de un niño de 4 años, diseñadora de ropa y formaba</w:t>
      </w:r>
      <w:r w:rsidR="000303EB">
        <w:rPr>
          <w:rFonts w:ascii="Arial" w:hAnsi="Arial" w:cs="Arial"/>
          <w:color w:val="000000" w:themeColor="text1"/>
        </w:rPr>
        <w:t xml:space="preserve">               </w:t>
      </w:r>
      <w:r w:rsidRPr="00044B08">
        <w:rPr>
          <w:rFonts w:ascii="Arial" w:hAnsi="Arial" w:cs="Arial"/>
          <w:color w:val="000000" w:themeColor="text1"/>
        </w:rPr>
        <w:t xml:space="preserve"> parte del colectivo “Hijas de Nuestra Maquilera Madre”, el cual lucha contra el feminicidio,</w:t>
      </w:r>
      <w:r w:rsidR="000303EB">
        <w:rPr>
          <w:rFonts w:ascii="Arial" w:hAnsi="Arial" w:cs="Arial"/>
          <w:color w:val="000000" w:themeColor="text1"/>
        </w:rPr>
        <w:t xml:space="preserve">                  </w:t>
      </w:r>
      <w:r w:rsidRPr="00044B08">
        <w:rPr>
          <w:rFonts w:ascii="Arial" w:hAnsi="Arial" w:cs="Arial"/>
          <w:color w:val="000000" w:themeColor="text1"/>
        </w:rPr>
        <w:t xml:space="preserve"> la desaparición forzada y la trata de personas.</w:t>
      </w:r>
    </w:p>
    <w:p w:rsidR="00044B08" w:rsidRPr="00044B08" w:rsidRDefault="00044B08" w:rsidP="00044B08">
      <w:pPr>
        <w:spacing w:after="0"/>
        <w:jc w:val="both"/>
        <w:rPr>
          <w:rFonts w:ascii="Arial" w:hAnsi="Arial" w:cs="Arial"/>
          <w:color w:val="000000" w:themeColor="text1"/>
        </w:rPr>
      </w:pPr>
    </w:p>
    <w:p w:rsidR="00044B08" w:rsidRDefault="00044B08" w:rsidP="00044B08">
      <w:pPr>
        <w:spacing w:after="0"/>
        <w:jc w:val="both"/>
        <w:rPr>
          <w:rFonts w:ascii="Arial" w:hAnsi="Arial" w:cs="Arial"/>
          <w:color w:val="000000" w:themeColor="text1"/>
        </w:rPr>
      </w:pPr>
      <w:r w:rsidRPr="00044B08">
        <w:rPr>
          <w:rFonts w:ascii="Arial" w:hAnsi="Arial" w:cs="Arial"/>
          <w:color w:val="000000" w:themeColor="text1"/>
        </w:rPr>
        <w:t>El 21 de enero fue localizado el cuerpo de otra mujer en la intersección de la avenida 16 de Septiembre y Camino Real en la colonia Ampliación Felipe Ángeles. Mientras que al día siguiente fue encontrado el cadáver de Teresa Gaytán Teniente, de 43 años, en Villa Residencial. Más tarde fue hallado el cuerpo de una mujer en la colonia Partido Romero.</w:t>
      </w:r>
    </w:p>
    <w:p w:rsidR="00DF6CD7" w:rsidRPr="00044B08" w:rsidRDefault="00DF6CD7" w:rsidP="00044B08">
      <w:pPr>
        <w:spacing w:after="0"/>
        <w:jc w:val="both"/>
        <w:rPr>
          <w:rFonts w:ascii="Arial" w:hAnsi="Arial" w:cs="Arial"/>
          <w:color w:val="000000" w:themeColor="text1"/>
        </w:rPr>
      </w:pPr>
    </w:p>
    <w:p w:rsidR="00DF6CD7" w:rsidRDefault="00DF6CD7" w:rsidP="00DF6CD7">
      <w:pPr>
        <w:spacing w:after="0"/>
        <w:jc w:val="both"/>
        <w:rPr>
          <w:rFonts w:ascii="Arial" w:hAnsi="Arial" w:cs="Arial"/>
          <w:color w:val="000000" w:themeColor="text1"/>
          <w:vertAlign w:val="superscript"/>
        </w:rPr>
      </w:pPr>
      <w:r w:rsidRPr="004C6B31">
        <w:rPr>
          <w:rFonts w:ascii="Arial" w:hAnsi="Arial" w:cs="Arial"/>
          <w:color w:val="000000" w:themeColor="text1"/>
          <w:vertAlign w:val="superscript"/>
        </w:rPr>
        <w:t xml:space="preserve">3 iniciativa del Sen. Ricardo Monreal Ávila, </w:t>
      </w:r>
      <w:r>
        <w:rPr>
          <w:rFonts w:ascii="Arial" w:hAnsi="Arial" w:cs="Arial"/>
          <w:color w:val="000000" w:themeColor="text1"/>
          <w:vertAlign w:val="superscript"/>
        </w:rPr>
        <w:t>en gaceta del Senado de la Republica con fecha de 06 de febrero de 2020, consultada den fecha 07 de febrero de 2020.</w:t>
      </w:r>
    </w:p>
    <w:p w:rsidR="00044B08" w:rsidRPr="00044B08" w:rsidRDefault="00044B08" w:rsidP="00044B08">
      <w:pPr>
        <w:spacing w:after="0"/>
        <w:jc w:val="both"/>
        <w:rPr>
          <w:rFonts w:ascii="Arial" w:hAnsi="Arial" w:cs="Arial"/>
          <w:color w:val="000000" w:themeColor="text1"/>
        </w:rPr>
      </w:pPr>
    </w:p>
    <w:p w:rsidR="00044B08" w:rsidRPr="00470BA9" w:rsidRDefault="00044B08" w:rsidP="00044B08">
      <w:pPr>
        <w:spacing w:after="0"/>
        <w:jc w:val="both"/>
        <w:rPr>
          <w:rFonts w:ascii="Arial" w:hAnsi="Arial" w:cs="Arial"/>
          <w:color w:val="000000" w:themeColor="text1"/>
        </w:rPr>
      </w:pPr>
      <w:r w:rsidRPr="00044B08">
        <w:rPr>
          <w:rFonts w:ascii="Arial" w:hAnsi="Arial" w:cs="Arial"/>
          <w:color w:val="000000" w:themeColor="text1"/>
        </w:rPr>
        <w:lastRenderedPageBreak/>
        <w:t>El caso más reciente se registró la tarde del viernes 24 de enero. El cuerpo de una mujer</w:t>
      </w:r>
      <w:r w:rsidR="000303EB">
        <w:rPr>
          <w:rFonts w:ascii="Arial" w:hAnsi="Arial" w:cs="Arial"/>
          <w:color w:val="000000" w:themeColor="text1"/>
        </w:rPr>
        <w:t xml:space="preserve">           </w:t>
      </w:r>
      <w:r w:rsidRPr="00044B08">
        <w:rPr>
          <w:rFonts w:ascii="Arial" w:hAnsi="Arial" w:cs="Arial"/>
          <w:color w:val="000000" w:themeColor="text1"/>
        </w:rPr>
        <w:t xml:space="preserve"> fue encontrado en calles de la colonia Franja del Río, cercana a la colonia Felipe Ángeles.</w:t>
      </w:r>
    </w:p>
    <w:p w:rsidR="00470BA9" w:rsidRPr="009C1EAE" w:rsidRDefault="00470BA9" w:rsidP="00470BA9">
      <w:pPr>
        <w:spacing w:after="0"/>
        <w:jc w:val="both"/>
        <w:rPr>
          <w:rFonts w:ascii="Arial" w:hAnsi="Arial" w:cs="Arial"/>
          <w:color w:val="000000" w:themeColor="text1"/>
        </w:rPr>
      </w:pPr>
    </w:p>
    <w:p w:rsidR="009C1EAE" w:rsidRPr="009C1EAE" w:rsidRDefault="009C1EAE" w:rsidP="009C1EAE">
      <w:pPr>
        <w:spacing w:after="0"/>
        <w:jc w:val="both"/>
        <w:rPr>
          <w:rFonts w:ascii="Arial" w:hAnsi="Arial" w:cs="Arial"/>
          <w:color w:val="000000" w:themeColor="text1"/>
        </w:rPr>
      </w:pPr>
      <w:r w:rsidRPr="009C1EAE">
        <w:rPr>
          <w:rFonts w:ascii="Arial" w:hAnsi="Arial" w:cs="Arial"/>
          <w:color w:val="000000" w:themeColor="text1"/>
        </w:rPr>
        <w:t>El gobierno de Chihuahua admitió el asesinato de 379 mujeres en Ciudad Juárez entre 1993</w:t>
      </w:r>
      <w:r w:rsidR="000303EB">
        <w:rPr>
          <w:rFonts w:ascii="Arial" w:hAnsi="Arial" w:cs="Arial"/>
          <w:color w:val="000000" w:themeColor="text1"/>
        </w:rPr>
        <w:t xml:space="preserve">         </w:t>
      </w:r>
      <w:r w:rsidRPr="009C1EAE">
        <w:rPr>
          <w:rFonts w:ascii="Arial" w:hAnsi="Arial" w:cs="Arial"/>
          <w:color w:val="000000" w:themeColor="text1"/>
        </w:rPr>
        <w:t xml:space="preserve"> y 2005, dato que fue rebatido por el Colegio de la Frontera Norte y de la Comisión para </w:t>
      </w:r>
      <w:r w:rsidR="000303EB">
        <w:rPr>
          <w:rFonts w:ascii="Arial" w:hAnsi="Arial" w:cs="Arial"/>
          <w:color w:val="000000" w:themeColor="text1"/>
        </w:rPr>
        <w:t xml:space="preserve">        </w:t>
      </w:r>
      <w:r w:rsidRPr="009C1EAE">
        <w:rPr>
          <w:rFonts w:ascii="Arial" w:hAnsi="Arial" w:cs="Arial"/>
          <w:color w:val="000000" w:themeColor="text1"/>
        </w:rPr>
        <w:t>Prevenir y Erradicar la Violencia contra las Mujeres de la Secretaría de Gobernación</w:t>
      </w:r>
      <w:r w:rsidR="000303EB">
        <w:rPr>
          <w:rFonts w:ascii="Arial" w:hAnsi="Arial" w:cs="Arial"/>
          <w:color w:val="000000" w:themeColor="text1"/>
        </w:rPr>
        <w:t xml:space="preserve">       </w:t>
      </w:r>
      <w:r w:rsidRPr="009C1EAE">
        <w:rPr>
          <w:rFonts w:ascii="Arial" w:hAnsi="Arial" w:cs="Arial"/>
          <w:color w:val="000000" w:themeColor="text1"/>
        </w:rPr>
        <w:t xml:space="preserve"> (Segob) que documentaron 422 feminicidios.</w:t>
      </w:r>
    </w:p>
    <w:p w:rsidR="009C1EAE" w:rsidRPr="009C1EAE" w:rsidRDefault="009C1EAE" w:rsidP="009C1EAE">
      <w:pPr>
        <w:spacing w:after="0"/>
        <w:jc w:val="both"/>
        <w:rPr>
          <w:rFonts w:ascii="Arial" w:hAnsi="Arial" w:cs="Arial"/>
          <w:color w:val="000000" w:themeColor="text1"/>
        </w:rPr>
      </w:pPr>
    </w:p>
    <w:p w:rsidR="00470BA9" w:rsidRDefault="009C1EAE" w:rsidP="009C1EAE">
      <w:pPr>
        <w:spacing w:after="0"/>
        <w:jc w:val="both"/>
        <w:rPr>
          <w:rFonts w:ascii="Arial" w:hAnsi="Arial" w:cs="Arial"/>
          <w:color w:val="000000" w:themeColor="text1"/>
        </w:rPr>
      </w:pPr>
      <w:r w:rsidRPr="009C1EAE">
        <w:rPr>
          <w:rFonts w:ascii="Arial" w:hAnsi="Arial" w:cs="Arial"/>
          <w:color w:val="000000" w:themeColor="text1"/>
        </w:rPr>
        <w:t xml:space="preserve">Por lo general, las víctimas eran de escasos recursos (muchas de ellas trabajaban en </w:t>
      </w:r>
      <w:r w:rsidR="000303EB">
        <w:rPr>
          <w:rFonts w:ascii="Arial" w:hAnsi="Arial" w:cs="Arial"/>
          <w:color w:val="000000" w:themeColor="text1"/>
        </w:rPr>
        <w:t xml:space="preserve">            </w:t>
      </w:r>
      <w:r w:rsidRPr="009C1EAE">
        <w:rPr>
          <w:rFonts w:ascii="Arial" w:hAnsi="Arial" w:cs="Arial"/>
          <w:color w:val="000000" w:themeColor="text1"/>
        </w:rPr>
        <w:t>alguna de las maquiladoras y fábricas que inundan la ciudad), sus edades rondaban entre</w:t>
      </w:r>
      <w:r w:rsidR="000303EB">
        <w:rPr>
          <w:rFonts w:ascii="Arial" w:hAnsi="Arial" w:cs="Arial"/>
          <w:color w:val="000000" w:themeColor="text1"/>
        </w:rPr>
        <w:t xml:space="preserve">           </w:t>
      </w:r>
      <w:r w:rsidRPr="009C1EAE">
        <w:rPr>
          <w:rFonts w:ascii="Arial" w:hAnsi="Arial" w:cs="Arial"/>
          <w:color w:val="000000" w:themeColor="text1"/>
        </w:rPr>
        <w:t xml:space="preserve"> los 15 y 25 años.</w:t>
      </w:r>
    </w:p>
    <w:p w:rsidR="00211FFA" w:rsidRDefault="00211FFA" w:rsidP="009C1EAE">
      <w:pPr>
        <w:spacing w:after="0"/>
        <w:jc w:val="both"/>
        <w:rPr>
          <w:rFonts w:ascii="Arial" w:hAnsi="Arial" w:cs="Arial"/>
          <w:color w:val="000000" w:themeColor="text1"/>
        </w:rPr>
      </w:pPr>
    </w:p>
    <w:p w:rsidR="00211FFA" w:rsidRDefault="00211FFA" w:rsidP="009C1EAE">
      <w:pPr>
        <w:spacing w:after="0"/>
        <w:jc w:val="both"/>
        <w:rPr>
          <w:rFonts w:ascii="Arial" w:hAnsi="Arial" w:cs="Arial"/>
          <w:color w:val="000000" w:themeColor="text1"/>
        </w:rPr>
      </w:pPr>
      <w:r w:rsidRPr="00211FFA">
        <w:rPr>
          <w:rFonts w:ascii="Arial" w:hAnsi="Arial" w:cs="Arial"/>
          <w:color w:val="000000" w:themeColor="text1"/>
        </w:rPr>
        <w:t xml:space="preserve">De acuerdo con el Secretariado Ejecutivo del Sistema Nacional de Seguridad Pública (SESNSP) de enero a diciembre de 2019 se cometieron 976 presuntos feminicidios en </w:t>
      </w:r>
      <w:r w:rsidR="000303EB">
        <w:rPr>
          <w:rFonts w:ascii="Arial" w:hAnsi="Arial" w:cs="Arial"/>
          <w:color w:val="000000" w:themeColor="text1"/>
        </w:rPr>
        <w:t xml:space="preserve">         </w:t>
      </w:r>
      <w:r w:rsidRPr="00211FFA">
        <w:rPr>
          <w:rFonts w:ascii="Arial" w:hAnsi="Arial" w:cs="Arial"/>
          <w:color w:val="000000" w:themeColor="text1"/>
        </w:rPr>
        <w:t>México, de los cuales, el estado de Veracruz ocupó el primer lugar con 157 casos, seguido</w:t>
      </w:r>
      <w:r w:rsidR="000303EB">
        <w:rPr>
          <w:rFonts w:ascii="Arial" w:hAnsi="Arial" w:cs="Arial"/>
          <w:color w:val="000000" w:themeColor="text1"/>
        </w:rPr>
        <w:t xml:space="preserve">        </w:t>
      </w:r>
      <w:r w:rsidRPr="00211FFA">
        <w:rPr>
          <w:rFonts w:ascii="Arial" w:hAnsi="Arial" w:cs="Arial"/>
          <w:color w:val="000000" w:themeColor="text1"/>
        </w:rPr>
        <w:t xml:space="preserve"> del Estado de México con 122 y la Ciudad de México con 68 sucesos. Chihuahua reportó</w:t>
      </w:r>
      <w:r w:rsidR="000303EB">
        <w:rPr>
          <w:rFonts w:ascii="Arial" w:hAnsi="Arial" w:cs="Arial"/>
          <w:color w:val="000000" w:themeColor="text1"/>
        </w:rPr>
        <w:t xml:space="preserve">         </w:t>
      </w:r>
      <w:r w:rsidRPr="00211FFA">
        <w:rPr>
          <w:rFonts w:ascii="Arial" w:hAnsi="Arial" w:cs="Arial"/>
          <w:color w:val="000000" w:themeColor="text1"/>
        </w:rPr>
        <w:t xml:space="preserve"> el décimo lugar con 29 feminicidios.</w:t>
      </w:r>
    </w:p>
    <w:p w:rsidR="00463395" w:rsidRDefault="00463395" w:rsidP="009C1EAE">
      <w:pPr>
        <w:spacing w:after="0"/>
        <w:jc w:val="both"/>
        <w:rPr>
          <w:rFonts w:ascii="Arial" w:hAnsi="Arial" w:cs="Arial"/>
          <w:color w:val="000000" w:themeColor="text1"/>
        </w:rPr>
      </w:pPr>
    </w:p>
    <w:p w:rsidR="00463395" w:rsidRDefault="00463395" w:rsidP="009C1EAE">
      <w:pPr>
        <w:spacing w:after="0"/>
        <w:jc w:val="both"/>
        <w:rPr>
          <w:rFonts w:ascii="Arial" w:hAnsi="Arial" w:cs="Arial"/>
          <w:color w:val="000000" w:themeColor="text1"/>
        </w:rPr>
      </w:pPr>
      <w:r>
        <w:rPr>
          <w:rFonts w:ascii="Arial" w:hAnsi="Arial" w:cs="Arial"/>
          <w:color w:val="000000" w:themeColor="text1"/>
        </w:rPr>
        <w:t xml:space="preserve">Razones que se consideran suficientes para presentar esta iniciativa que pretende </w:t>
      </w:r>
      <w:r w:rsidR="000303EB">
        <w:rPr>
          <w:rFonts w:ascii="Arial" w:hAnsi="Arial" w:cs="Arial"/>
          <w:color w:val="000000" w:themeColor="text1"/>
        </w:rPr>
        <w:t xml:space="preserve">          </w:t>
      </w:r>
      <w:r>
        <w:rPr>
          <w:rFonts w:ascii="Arial" w:hAnsi="Arial" w:cs="Arial"/>
          <w:color w:val="000000" w:themeColor="text1"/>
        </w:rPr>
        <w:t>armonizar con la federación el tipo penal de feminicidio, de acuerdo a lo siguiente:</w:t>
      </w:r>
    </w:p>
    <w:p w:rsidR="000303EB" w:rsidRDefault="000303EB" w:rsidP="009C1EAE">
      <w:pPr>
        <w:spacing w:after="0"/>
        <w:jc w:val="both"/>
        <w:rPr>
          <w:rFonts w:ascii="Arial" w:hAnsi="Arial" w:cs="Arial"/>
          <w:color w:val="000000" w:themeColor="text1"/>
        </w:rPr>
      </w:pPr>
    </w:p>
    <w:p w:rsidR="00A368EB" w:rsidRPr="004C6B31" w:rsidRDefault="00A368EB" w:rsidP="004C6B31">
      <w:pPr>
        <w:spacing w:after="0"/>
        <w:jc w:val="both"/>
        <w:rPr>
          <w:rFonts w:ascii="Arial" w:hAnsi="Arial" w:cs="Arial"/>
          <w:bCs/>
          <w:color w:val="000000" w:themeColor="text1"/>
        </w:rPr>
      </w:pPr>
    </w:p>
    <w:tbl>
      <w:tblPr>
        <w:tblStyle w:val="Tablaconcuadrcula"/>
        <w:tblW w:w="0" w:type="auto"/>
        <w:tblLook w:val="04A0"/>
      </w:tblPr>
      <w:tblGrid>
        <w:gridCol w:w="4414"/>
        <w:gridCol w:w="5050"/>
      </w:tblGrid>
      <w:tr w:rsidR="006207A5" w:rsidRPr="004C6B31" w:rsidTr="000303EB">
        <w:tc>
          <w:tcPr>
            <w:tcW w:w="4414" w:type="dxa"/>
            <w:shd w:val="clear" w:color="auto" w:fill="BFBFBF" w:themeFill="background1" w:themeFillShade="BF"/>
          </w:tcPr>
          <w:p w:rsidR="00A368EB" w:rsidRPr="004C6B31" w:rsidRDefault="00A368EB" w:rsidP="00322F83">
            <w:pPr>
              <w:spacing w:line="276" w:lineRule="auto"/>
              <w:jc w:val="center"/>
              <w:rPr>
                <w:rFonts w:ascii="Arial" w:hAnsi="Arial" w:cs="Arial"/>
                <w:b/>
                <w:color w:val="000000" w:themeColor="text1"/>
              </w:rPr>
            </w:pPr>
            <w:r w:rsidRPr="004C6B31">
              <w:rPr>
                <w:rFonts w:ascii="Arial" w:hAnsi="Arial" w:cs="Arial"/>
                <w:b/>
                <w:color w:val="000000" w:themeColor="text1"/>
              </w:rPr>
              <w:t>Texto vigente</w:t>
            </w:r>
          </w:p>
        </w:tc>
        <w:tc>
          <w:tcPr>
            <w:tcW w:w="5050" w:type="dxa"/>
            <w:shd w:val="clear" w:color="auto" w:fill="BFBFBF" w:themeFill="background1" w:themeFillShade="BF"/>
          </w:tcPr>
          <w:p w:rsidR="00A368EB" w:rsidRPr="004C6B31" w:rsidRDefault="00A368EB" w:rsidP="00322F83">
            <w:pPr>
              <w:spacing w:line="276" w:lineRule="auto"/>
              <w:jc w:val="center"/>
              <w:rPr>
                <w:rFonts w:ascii="Arial" w:hAnsi="Arial" w:cs="Arial"/>
                <w:b/>
                <w:color w:val="000000" w:themeColor="text1"/>
              </w:rPr>
            </w:pPr>
            <w:r w:rsidRPr="004C6B31">
              <w:rPr>
                <w:rFonts w:ascii="Arial" w:hAnsi="Arial" w:cs="Arial"/>
                <w:b/>
                <w:color w:val="000000" w:themeColor="text1"/>
              </w:rPr>
              <w:t>Texto propuesto</w:t>
            </w:r>
          </w:p>
        </w:tc>
      </w:tr>
      <w:tr w:rsidR="006207A5" w:rsidRPr="004C6B31" w:rsidTr="000303EB">
        <w:tc>
          <w:tcPr>
            <w:tcW w:w="4414" w:type="dxa"/>
          </w:tcPr>
          <w:p w:rsidR="00A368EB" w:rsidRPr="004C6B31" w:rsidRDefault="00A368EB" w:rsidP="00322F83">
            <w:pPr>
              <w:spacing w:line="276" w:lineRule="auto"/>
              <w:jc w:val="both"/>
              <w:rPr>
                <w:rFonts w:ascii="Arial" w:hAnsi="Arial" w:cs="Arial"/>
                <w:bCs/>
                <w:color w:val="000000" w:themeColor="text1"/>
              </w:rPr>
            </w:pPr>
            <w:r w:rsidRPr="004C6B31">
              <w:rPr>
                <w:rFonts w:ascii="Arial" w:hAnsi="Arial" w:cs="Arial"/>
                <w:color w:val="000000" w:themeColor="text1"/>
              </w:rPr>
              <w:t>Artículo 126 bis. A quien prive de la vida a una mujer por razones de género, se le impondrá de treinta a sesenta años de prisión y la reparación integral del daño. Existen razones de género cuando se presente cualquiera de las siguientes circunstancias:</w:t>
            </w:r>
          </w:p>
        </w:tc>
        <w:tc>
          <w:tcPr>
            <w:tcW w:w="5050" w:type="dxa"/>
          </w:tcPr>
          <w:p w:rsidR="00A368EB" w:rsidRPr="004C6B31" w:rsidRDefault="00196B6F" w:rsidP="00322F83">
            <w:pPr>
              <w:spacing w:line="276" w:lineRule="auto"/>
              <w:jc w:val="both"/>
              <w:rPr>
                <w:rFonts w:ascii="Arial" w:hAnsi="Arial" w:cs="Arial"/>
                <w:b/>
                <w:bCs/>
                <w:color w:val="000000" w:themeColor="text1"/>
              </w:rPr>
            </w:pPr>
            <w:r w:rsidRPr="004C6B31">
              <w:rPr>
                <w:rFonts w:ascii="Arial" w:hAnsi="Arial" w:cs="Arial"/>
                <w:b/>
                <w:bCs/>
                <w:color w:val="000000" w:themeColor="text1"/>
              </w:rPr>
              <w:t xml:space="preserve">Artículo 126 bis. </w:t>
            </w:r>
            <w:r w:rsidR="00A368EB" w:rsidRPr="004C6B31">
              <w:rPr>
                <w:rFonts w:ascii="Arial" w:hAnsi="Arial" w:cs="Arial"/>
                <w:b/>
                <w:bCs/>
                <w:color w:val="000000" w:themeColor="text1"/>
              </w:rPr>
              <w:t>Comete el delito de feminicidio quien prive de la vida por</w:t>
            </w:r>
            <w:r w:rsidR="000303EB">
              <w:rPr>
                <w:rFonts w:ascii="Arial" w:hAnsi="Arial" w:cs="Arial"/>
                <w:b/>
                <w:bCs/>
                <w:color w:val="000000" w:themeColor="text1"/>
              </w:rPr>
              <w:t xml:space="preserve">         </w:t>
            </w:r>
            <w:r w:rsidR="00A368EB" w:rsidRPr="004C6B31">
              <w:rPr>
                <w:rFonts w:ascii="Arial" w:hAnsi="Arial" w:cs="Arial"/>
                <w:b/>
                <w:bCs/>
                <w:color w:val="000000" w:themeColor="text1"/>
              </w:rPr>
              <w:t xml:space="preserve"> razones de género a una mujer o a una persona por motivos de su identidad de género como mujer. Se considera que </w:t>
            </w:r>
            <w:r w:rsidR="000303EB">
              <w:rPr>
                <w:rFonts w:ascii="Arial" w:hAnsi="Arial" w:cs="Arial"/>
                <w:b/>
                <w:bCs/>
                <w:color w:val="000000" w:themeColor="text1"/>
              </w:rPr>
              <w:t xml:space="preserve"> </w:t>
            </w:r>
            <w:r w:rsidR="00A368EB" w:rsidRPr="004C6B31">
              <w:rPr>
                <w:rFonts w:ascii="Arial" w:hAnsi="Arial" w:cs="Arial"/>
                <w:b/>
                <w:bCs/>
                <w:color w:val="000000" w:themeColor="text1"/>
              </w:rPr>
              <w:t xml:space="preserve">existen razones de género o razones por motivo de la identidad de género, </w:t>
            </w:r>
            <w:r w:rsidR="000303EB">
              <w:rPr>
                <w:rFonts w:ascii="Arial" w:hAnsi="Arial" w:cs="Arial"/>
                <w:b/>
                <w:bCs/>
                <w:color w:val="000000" w:themeColor="text1"/>
              </w:rPr>
              <w:t xml:space="preserve">         </w:t>
            </w:r>
            <w:r w:rsidR="00A368EB" w:rsidRPr="004C6B31">
              <w:rPr>
                <w:rFonts w:ascii="Arial" w:hAnsi="Arial" w:cs="Arial"/>
                <w:b/>
                <w:bCs/>
                <w:color w:val="000000" w:themeColor="text1"/>
              </w:rPr>
              <w:t xml:space="preserve">cuando concurra alguna de las </w:t>
            </w:r>
            <w:r w:rsidR="000303EB">
              <w:rPr>
                <w:rFonts w:ascii="Arial" w:hAnsi="Arial" w:cs="Arial"/>
                <w:b/>
                <w:bCs/>
                <w:color w:val="000000" w:themeColor="text1"/>
              </w:rPr>
              <w:t xml:space="preserve">         </w:t>
            </w:r>
            <w:r w:rsidR="00A368EB" w:rsidRPr="004C6B31">
              <w:rPr>
                <w:rFonts w:ascii="Arial" w:hAnsi="Arial" w:cs="Arial"/>
                <w:b/>
                <w:bCs/>
                <w:color w:val="000000" w:themeColor="text1"/>
              </w:rPr>
              <w:t>siguientes circunstancias:</w:t>
            </w:r>
          </w:p>
        </w:tc>
      </w:tr>
      <w:tr w:rsidR="00196B6F" w:rsidRPr="004C6B31" w:rsidTr="000303EB">
        <w:tc>
          <w:tcPr>
            <w:tcW w:w="4414" w:type="dxa"/>
          </w:tcPr>
          <w:p w:rsidR="00196B6F" w:rsidRPr="004C6B31" w:rsidRDefault="00196B6F" w:rsidP="00322F83">
            <w:pPr>
              <w:spacing w:line="276" w:lineRule="auto"/>
              <w:jc w:val="both"/>
              <w:rPr>
                <w:rFonts w:ascii="Arial" w:hAnsi="Arial" w:cs="Arial"/>
                <w:color w:val="000000" w:themeColor="text1"/>
              </w:rPr>
            </w:pPr>
            <w:r w:rsidRPr="004C6B31">
              <w:rPr>
                <w:rFonts w:ascii="Arial" w:hAnsi="Arial" w:cs="Arial"/>
                <w:color w:val="000000" w:themeColor="text1"/>
              </w:rPr>
              <w:t xml:space="preserve">III. Existan antecedentes o datos que establezcan que el activo ejerció sobre la víctima de forma anterior a la privación de la vida, violencia física, psicológica, </w:t>
            </w:r>
            <w:r w:rsidRPr="004C6B31">
              <w:rPr>
                <w:rFonts w:ascii="Arial" w:hAnsi="Arial" w:cs="Arial"/>
                <w:color w:val="000000" w:themeColor="text1"/>
              </w:rPr>
              <w:lastRenderedPageBreak/>
              <w:t>económica, patrimonial o de cualquier tipo; independientemente de que exista denuncia o haya sido del conocimiento de alguna autoridad.</w:t>
            </w:r>
          </w:p>
        </w:tc>
        <w:tc>
          <w:tcPr>
            <w:tcW w:w="5050" w:type="dxa"/>
          </w:tcPr>
          <w:p w:rsidR="00196B6F" w:rsidRPr="004C6B31" w:rsidRDefault="00196B6F" w:rsidP="00322F83">
            <w:pPr>
              <w:spacing w:line="276" w:lineRule="auto"/>
              <w:jc w:val="both"/>
              <w:rPr>
                <w:rFonts w:ascii="Arial" w:hAnsi="Arial" w:cs="Arial"/>
                <w:color w:val="000000" w:themeColor="text1"/>
              </w:rPr>
            </w:pPr>
            <w:r w:rsidRPr="004C6B31">
              <w:rPr>
                <w:rFonts w:ascii="Arial" w:hAnsi="Arial" w:cs="Arial"/>
                <w:color w:val="000000" w:themeColor="text1"/>
              </w:rPr>
              <w:lastRenderedPageBreak/>
              <w:t xml:space="preserve">III. Existan antecedentes o datos que establezcan que el activo ejerció sobre la </w:t>
            </w:r>
            <w:r w:rsidR="000303EB">
              <w:rPr>
                <w:rFonts w:ascii="Arial" w:hAnsi="Arial" w:cs="Arial"/>
                <w:color w:val="000000" w:themeColor="text1"/>
              </w:rPr>
              <w:t xml:space="preserve">    </w:t>
            </w:r>
            <w:r w:rsidRPr="004C6B31">
              <w:rPr>
                <w:rFonts w:ascii="Arial" w:hAnsi="Arial" w:cs="Arial"/>
                <w:color w:val="000000" w:themeColor="text1"/>
              </w:rPr>
              <w:t>víctima de forma anterior a la privación de</w:t>
            </w:r>
            <w:r w:rsidR="000303EB">
              <w:rPr>
                <w:rFonts w:ascii="Arial" w:hAnsi="Arial" w:cs="Arial"/>
                <w:color w:val="000000" w:themeColor="text1"/>
              </w:rPr>
              <w:t xml:space="preserve">         </w:t>
            </w:r>
            <w:r w:rsidRPr="004C6B31">
              <w:rPr>
                <w:rFonts w:ascii="Arial" w:hAnsi="Arial" w:cs="Arial"/>
                <w:color w:val="000000" w:themeColor="text1"/>
              </w:rPr>
              <w:t xml:space="preserve"> la vida, violencia física, psicológica, </w:t>
            </w:r>
            <w:r w:rsidR="000303EB">
              <w:rPr>
                <w:rFonts w:ascii="Arial" w:hAnsi="Arial" w:cs="Arial"/>
                <w:color w:val="000000" w:themeColor="text1"/>
              </w:rPr>
              <w:t xml:space="preserve">      </w:t>
            </w:r>
            <w:r w:rsidRPr="004C6B31">
              <w:rPr>
                <w:rFonts w:ascii="Arial" w:hAnsi="Arial" w:cs="Arial"/>
                <w:color w:val="000000" w:themeColor="text1"/>
              </w:rPr>
              <w:lastRenderedPageBreak/>
              <w:t xml:space="preserve">económica, patrimonial, o de cualquier tipo </w:t>
            </w:r>
            <w:r w:rsidR="00B84419">
              <w:rPr>
                <w:rFonts w:ascii="Arial" w:hAnsi="Arial" w:cs="Arial"/>
                <w:color w:val="000000" w:themeColor="text1"/>
              </w:rPr>
              <w:t xml:space="preserve">       </w:t>
            </w:r>
            <w:r w:rsidRPr="004C6B31">
              <w:rPr>
                <w:rFonts w:ascii="Arial" w:hAnsi="Arial" w:cs="Arial"/>
                <w:b/>
                <w:bCs/>
                <w:color w:val="000000" w:themeColor="text1"/>
              </w:rPr>
              <w:t xml:space="preserve">en el ámbito familiar, laboral, </w:t>
            </w:r>
            <w:r w:rsidR="00B84419">
              <w:rPr>
                <w:rFonts w:ascii="Arial" w:hAnsi="Arial" w:cs="Arial"/>
                <w:b/>
                <w:bCs/>
                <w:color w:val="000000" w:themeColor="text1"/>
              </w:rPr>
              <w:t xml:space="preserve">             </w:t>
            </w:r>
            <w:r w:rsidRPr="004C6B31">
              <w:rPr>
                <w:rFonts w:ascii="Arial" w:hAnsi="Arial" w:cs="Arial"/>
                <w:b/>
                <w:bCs/>
                <w:color w:val="000000" w:themeColor="text1"/>
              </w:rPr>
              <w:t>profesional, escolar o social entre otros;</w:t>
            </w:r>
            <w:r w:rsidRPr="004C6B31">
              <w:rPr>
                <w:rFonts w:ascii="Arial" w:hAnsi="Arial" w:cs="Arial"/>
                <w:color w:val="000000" w:themeColor="text1"/>
              </w:rPr>
              <w:t xml:space="preserve"> independientemente de que exista </w:t>
            </w:r>
            <w:r w:rsidR="00B84419">
              <w:rPr>
                <w:rFonts w:ascii="Arial" w:hAnsi="Arial" w:cs="Arial"/>
                <w:color w:val="000000" w:themeColor="text1"/>
              </w:rPr>
              <w:t xml:space="preserve">          </w:t>
            </w:r>
            <w:r w:rsidRPr="004C6B31">
              <w:rPr>
                <w:rFonts w:ascii="Arial" w:hAnsi="Arial" w:cs="Arial"/>
                <w:color w:val="000000" w:themeColor="text1"/>
              </w:rPr>
              <w:t xml:space="preserve">denuncia o haya sido del conocimiento de </w:t>
            </w:r>
            <w:r w:rsidR="00B84419">
              <w:rPr>
                <w:rFonts w:ascii="Arial" w:hAnsi="Arial" w:cs="Arial"/>
                <w:color w:val="000000" w:themeColor="text1"/>
              </w:rPr>
              <w:t xml:space="preserve">    </w:t>
            </w:r>
            <w:r w:rsidRPr="004C6B31">
              <w:rPr>
                <w:rFonts w:ascii="Arial" w:hAnsi="Arial" w:cs="Arial"/>
                <w:color w:val="000000" w:themeColor="text1"/>
              </w:rPr>
              <w:t>alguna autoridad.</w:t>
            </w:r>
          </w:p>
        </w:tc>
      </w:tr>
    </w:tbl>
    <w:p w:rsidR="00196B6F" w:rsidRPr="004C6B31" w:rsidRDefault="00196B6F" w:rsidP="00322F83">
      <w:pPr>
        <w:spacing w:after="0"/>
        <w:jc w:val="both"/>
        <w:rPr>
          <w:rFonts w:ascii="Arial" w:hAnsi="Arial" w:cs="Arial"/>
          <w:color w:val="000000" w:themeColor="text1"/>
        </w:rPr>
      </w:pPr>
    </w:p>
    <w:p w:rsidR="00196B6F" w:rsidRDefault="00196B6F" w:rsidP="00322F83">
      <w:pPr>
        <w:spacing w:after="0"/>
        <w:jc w:val="both"/>
        <w:rPr>
          <w:rFonts w:ascii="Arial" w:hAnsi="Arial" w:cs="Arial"/>
          <w:color w:val="000000" w:themeColor="text1"/>
        </w:rPr>
      </w:pPr>
      <w:r w:rsidRPr="004C6B31">
        <w:rPr>
          <w:rFonts w:ascii="Arial" w:hAnsi="Arial" w:cs="Arial"/>
          <w:color w:val="000000" w:themeColor="text1"/>
        </w:rPr>
        <w:t>Si faltaren las razones de género, se estará a la punibilidad prevista para el homicidio</w:t>
      </w:r>
    </w:p>
    <w:p w:rsidR="00463395" w:rsidRDefault="00463395" w:rsidP="00322F83">
      <w:pPr>
        <w:spacing w:after="0"/>
        <w:jc w:val="both"/>
        <w:rPr>
          <w:rFonts w:ascii="Arial" w:hAnsi="Arial" w:cs="Arial"/>
          <w:color w:val="000000" w:themeColor="text1"/>
        </w:rPr>
      </w:pPr>
    </w:p>
    <w:p w:rsidR="00463395" w:rsidRPr="004C6B31" w:rsidRDefault="00463395" w:rsidP="00322F83">
      <w:pPr>
        <w:spacing w:after="0"/>
        <w:jc w:val="both"/>
        <w:rPr>
          <w:rFonts w:ascii="Arial" w:hAnsi="Arial" w:cs="Arial"/>
          <w:color w:val="000000" w:themeColor="text1"/>
        </w:rPr>
      </w:pPr>
      <w:r>
        <w:rPr>
          <w:rFonts w:ascii="Arial" w:hAnsi="Arial" w:cs="Arial"/>
          <w:color w:val="000000" w:themeColor="text1"/>
        </w:rPr>
        <w:t xml:space="preserve">Así mismo se agregan los artículos </w:t>
      </w:r>
      <w:r w:rsidRPr="004C6B31">
        <w:rPr>
          <w:rFonts w:ascii="Arial" w:hAnsi="Arial" w:cs="Arial"/>
          <w:color w:val="000000" w:themeColor="text1"/>
        </w:rPr>
        <w:t xml:space="preserve">126 ter, quáter, quinquies y sexies todos del Código </w:t>
      </w:r>
      <w:r w:rsidR="00B84419">
        <w:rPr>
          <w:rFonts w:ascii="Arial" w:hAnsi="Arial" w:cs="Arial"/>
          <w:color w:val="000000" w:themeColor="text1"/>
        </w:rPr>
        <w:t xml:space="preserve">      </w:t>
      </w:r>
      <w:r w:rsidRPr="004C6B31">
        <w:rPr>
          <w:rFonts w:ascii="Arial" w:hAnsi="Arial" w:cs="Arial"/>
          <w:color w:val="000000" w:themeColor="text1"/>
        </w:rPr>
        <w:t>Penal del Estado de Chihuahua</w:t>
      </w:r>
      <w:r>
        <w:rPr>
          <w:rFonts w:ascii="Arial" w:hAnsi="Arial" w:cs="Arial"/>
          <w:color w:val="000000" w:themeColor="text1"/>
        </w:rPr>
        <w:t>, que nos permiten brindar al juzgador mayor certeza jurídica para la tipificación del feminicidio.</w:t>
      </w:r>
      <w:bookmarkStart w:id="0" w:name="_GoBack"/>
      <w:bookmarkEnd w:id="0"/>
    </w:p>
    <w:p w:rsidR="004E4D8E" w:rsidRPr="004C6B31" w:rsidRDefault="004E4D8E" w:rsidP="00322F83">
      <w:pPr>
        <w:spacing w:after="0"/>
        <w:jc w:val="both"/>
        <w:rPr>
          <w:rFonts w:ascii="Arial" w:hAnsi="Arial" w:cs="Arial"/>
          <w:bCs/>
          <w:color w:val="000000" w:themeColor="text1"/>
        </w:rPr>
      </w:pPr>
    </w:p>
    <w:p w:rsidR="004E4D8E" w:rsidRPr="004C6B31" w:rsidRDefault="004E4D8E" w:rsidP="00322F83">
      <w:pPr>
        <w:spacing w:after="0"/>
        <w:jc w:val="both"/>
        <w:rPr>
          <w:rFonts w:ascii="Arial" w:hAnsi="Arial" w:cs="Arial"/>
          <w:bCs/>
          <w:color w:val="000000" w:themeColor="text1"/>
        </w:rPr>
      </w:pPr>
      <w:r w:rsidRPr="004C6B31">
        <w:rPr>
          <w:rFonts w:ascii="Arial" w:hAnsi="Arial" w:cs="Arial"/>
          <w:bCs/>
          <w:color w:val="000000" w:themeColor="text1"/>
        </w:rPr>
        <w:t>Por lo anteriormente expuesto, y con fundamento en lo dispuesto por los artículos 57 y 58</w:t>
      </w:r>
      <w:r w:rsidR="00B84419">
        <w:rPr>
          <w:rFonts w:ascii="Arial" w:hAnsi="Arial" w:cs="Arial"/>
          <w:bCs/>
          <w:color w:val="000000" w:themeColor="text1"/>
        </w:rPr>
        <w:t xml:space="preserve">           </w:t>
      </w:r>
      <w:r w:rsidRPr="004C6B31">
        <w:rPr>
          <w:rFonts w:ascii="Arial" w:hAnsi="Arial" w:cs="Arial"/>
          <w:bCs/>
          <w:color w:val="000000" w:themeColor="text1"/>
        </w:rPr>
        <w:t xml:space="preserve"> de la Constitución Política del Estado, someto a consideración de esta Honorable</w:t>
      </w:r>
      <w:r w:rsidR="00B84419">
        <w:rPr>
          <w:rFonts w:ascii="Arial" w:hAnsi="Arial" w:cs="Arial"/>
          <w:bCs/>
          <w:color w:val="000000" w:themeColor="text1"/>
        </w:rPr>
        <w:t xml:space="preserve">              </w:t>
      </w:r>
      <w:r w:rsidRPr="004C6B31">
        <w:rPr>
          <w:rFonts w:ascii="Arial" w:hAnsi="Arial" w:cs="Arial"/>
          <w:bCs/>
          <w:color w:val="000000" w:themeColor="text1"/>
        </w:rPr>
        <w:t xml:space="preserve"> Diputación Permanente, el siguiente:</w:t>
      </w:r>
    </w:p>
    <w:p w:rsidR="00196B6F" w:rsidRPr="004C6B31" w:rsidRDefault="00196B6F" w:rsidP="00322F83">
      <w:pPr>
        <w:spacing w:after="0"/>
        <w:jc w:val="both"/>
        <w:rPr>
          <w:rFonts w:ascii="Arial" w:hAnsi="Arial" w:cs="Arial"/>
          <w:color w:val="000000" w:themeColor="text1"/>
        </w:rPr>
      </w:pPr>
    </w:p>
    <w:p w:rsidR="00D436D9" w:rsidRPr="004C6B31" w:rsidRDefault="00D436D9" w:rsidP="00322F83">
      <w:pPr>
        <w:spacing w:after="0"/>
        <w:jc w:val="center"/>
        <w:rPr>
          <w:rFonts w:ascii="Arial" w:hAnsi="Arial" w:cs="Arial"/>
          <w:b/>
          <w:color w:val="000000" w:themeColor="text1"/>
        </w:rPr>
      </w:pPr>
      <w:r w:rsidRPr="004C6B31">
        <w:rPr>
          <w:rFonts w:ascii="Arial" w:hAnsi="Arial" w:cs="Arial"/>
          <w:b/>
          <w:color w:val="000000" w:themeColor="text1"/>
        </w:rPr>
        <w:t>DECRETO</w:t>
      </w:r>
    </w:p>
    <w:p w:rsidR="00D436D9" w:rsidRPr="004C6B31" w:rsidRDefault="00D436D9" w:rsidP="00322F83">
      <w:pPr>
        <w:spacing w:after="0"/>
        <w:jc w:val="both"/>
        <w:rPr>
          <w:rFonts w:ascii="Arial" w:hAnsi="Arial" w:cs="Arial"/>
          <w:b/>
          <w:color w:val="000000" w:themeColor="text1"/>
        </w:rPr>
      </w:pPr>
    </w:p>
    <w:p w:rsidR="003B6125" w:rsidRPr="004C6B31" w:rsidRDefault="00473A7D" w:rsidP="00322F83">
      <w:pPr>
        <w:jc w:val="both"/>
        <w:rPr>
          <w:rFonts w:ascii="Arial" w:hAnsi="Arial" w:cs="Arial"/>
        </w:rPr>
      </w:pPr>
      <w:r w:rsidRPr="004C6B31">
        <w:rPr>
          <w:rFonts w:ascii="Arial" w:hAnsi="Arial" w:cs="Arial"/>
          <w:b/>
          <w:color w:val="000000" w:themeColor="text1"/>
        </w:rPr>
        <w:t>ARTÍCULO ÚNICO.</w:t>
      </w:r>
      <w:r w:rsidR="003B6125" w:rsidRPr="004C6B31">
        <w:rPr>
          <w:rFonts w:ascii="Arial" w:hAnsi="Arial" w:cs="Arial"/>
          <w:b/>
          <w:color w:val="000000" w:themeColor="text1"/>
        </w:rPr>
        <w:t xml:space="preserve"> </w:t>
      </w:r>
      <w:r w:rsidR="003B6125" w:rsidRPr="004C6B31">
        <w:rPr>
          <w:rFonts w:ascii="Arial" w:hAnsi="Arial" w:cs="Arial"/>
          <w:bCs/>
          <w:color w:val="000000" w:themeColor="text1"/>
        </w:rPr>
        <w:t xml:space="preserve">Se </w:t>
      </w:r>
      <w:r w:rsidR="003B6125" w:rsidRPr="004C6B31">
        <w:rPr>
          <w:rFonts w:ascii="Arial" w:hAnsi="Arial" w:cs="Arial"/>
          <w:color w:val="000000" w:themeColor="text1"/>
        </w:rPr>
        <w:t xml:space="preserve">reforma el artículo 126 bis se adicionan los artículos 126 ter, quáter, quinquies y sexies todos del Código Penal del Estado de Chihuahua </w:t>
      </w:r>
      <w:r w:rsidR="003B6125" w:rsidRPr="004C6B31">
        <w:rPr>
          <w:rFonts w:ascii="Arial" w:hAnsi="Arial" w:cs="Arial"/>
        </w:rPr>
        <w:t xml:space="preserve">para quedar </w:t>
      </w:r>
      <w:r w:rsidR="00B84419">
        <w:rPr>
          <w:rFonts w:ascii="Arial" w:hAnsi="Arial" w:cs="Arial"/>
        </w:rPr>
        <w:t xml:space="preserve">              </w:t>
      </w:r>
      <w:r w:rsidR="003B6125" w:rsidRPr="004C6B31">
        <w:rPr>
          <w:rFonts w:ascii="Arial" w:hAnsi="Arial" w:cs="Arial"/>
        </w:rPr>
        <w:t>redactados de la siguiente manera:</w:t>
      </w: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b/>
          <w:bCs/>
          <w:color w:val="000000" w:themeColor="text1"/>
        </w:rPr>
        <w:t>Artículo 126 bis.</w:t>
      </w:r>
      <w:r w:rsidRPr="004C6B31">
        <w:rPr>
          <w:rFonts w:ascii="Arial" w:hAnsi="Arial" w:cs="Arial"/>
          <w:color w:val="000000" w:themeColor="text1"/>
        </w:rPr>
        <w:t xml:space="preserve"> Comete el delito de feminicidio quien prive de la vida por </w:t>
      </w:r>
      <w:r w:rsidR="00B84419">
        <w:rPr>
          <w:rFonts w:ascii="Arial" w:hAnsi="Arial" w:cs="Arial"/>
          <w:color w:val="000000" w:themeColor="text1"/>
        </w:rPr>
        <w:t xml:space="preserve">          </w:t>
      </w:r>
      <w:r w:rsidRPr="004C6B31">
        <w:rPr>
          <w:rFonts w:ascii="Arial" w:hAnsi="Arial" w:cs="Arial"/>
          <w:color w:val="000000" w:themeColor="text1"/>
        </w:rPr>
        <w:t>razones de género a una mujer o a una persona por motivos de su identidad de género como mujer. Se considera que existen razones de género o razones</w:t>
      </w:r>
      <w:r w:rsidR="00B84419">
        <w:rPr>
          <w:rFonts w:ascii="Arial" w:hAnsi="Arial" w:cs="Arial"/>
          <w:color w:val="000000" w:themeColor="text1"/>
        </w:rPr>
        <w:t xml:space="preserve">             </w:t>
      </w:r>
      <w:r w:rsidRPr="004C6B31">
        <w:rPr>
          <w:rFonts w:ascii="Arial" w:hAnsi="Arial" w:cs="Arial"/>
          <w:color w:val="000000" w:themeColor="text1"/>
        </w:rPr>
        <w:t xml:space="preserve"> por motivo de la identidad de género, cuando concurra alguna de las siguientes circunstancias:</w:t>
      </w:r>
    </w:p>
    <w:p w:rsidR="006207A5" w:rsidRPr="004C6B31" w:rsidRDefault="006207A5" w:rsidP="00322F83">
      <w:pPr>
        <w:spacing w:after="0"/>
        <w:ind w:left="567" w:right="616"/>
        <w:jc w:val="both"/>
        <w:rPr>
          <w:rFonts w:ascii="Arial" w:hAnsi="Arial" w:cs="Arial"/>
          <w:color w:val="000000" w:themeColor="text1"/>
        </w:rPr>
      </w:pP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color w:val="000000" w:themeColor="text1"/>
        </w:rPr>
        <w:t>I y II …</w:t>
      </w:r>
    </w:p>
    <w:p w:rsidR="006207A5" w:rsidRPr="004C6B31" w:rsidRDefault="006207A5" w:rsidP="00322F83">
      <w:pPr>
        <w:spacing w:after="0"/>
        <w:ind w:left="567" w:right="616"/>
        <w:jc w:val="both"/>
        <w:rPr>
          <w:rFonts w:ascii="Arial" w:hAnsi="Arial" w:cs="Arial"/>
          <w:color w:val="000000" w:themeColor="text1"/>
        </w:rPr>
      </w:pPr>
    </w:p>
    <w:p w:rsidR="006207A5" w:rsidRPr="004C6B31" w:rsidRDefault="006207A5" w:rsidP="00322F83">
      <w:pPr>
        <w:ind w:left="567" w:right="616"/>
        <w:jc w:val="both"/>
        <w:rPr>
          <w:rFonts w:ascii="Arial" w:hAnsi="Arial" w:cs="Arial"/>
          <w:color w:val="000000" w:themeColor="text1"/>
        </w:rPr>
      </w:pPr>
      <w:r w:rsidRPr="004C6B31">
        <w:rPr>
          <w:rFonts w:ascii="Arial" w:hAnsi="Arial" w:cs="Arial"/>
          <w:color w:val="000000" w:themeColor="text1"/>
        </w:rPr>
        <w:t xml:space="preserve">III. Existan antecedentes o datos que establezcan que el activo ejerció sobre la víctima de forma anterior a la privación de la vida, violencia física, psicológica, económica, patrimonial, o de cualquier tipo </w:t>
      </w:r>
      <w:r w:rsidRPr="004C6B31">
        <w:rPr>
          <w:rFonts w:ascii="Arial" w:hAnsi="Arial" w:cs="Arial"/>
          <w:b/>
          <w:bCs/>
          <w:color w:val="000000" w:themeColor="text1"/>
        </w:rPr>
        <w:t>en el ámbito familiar, laboral, profesional, escolar o social entre otros;</w:t>
      </w:r>
      <w:r w:rsidRPr="004C6B31">
        <w:rPr>
          <w:rFonts w:ascii="Arial" w:hAnsi="Arial" w:cs="Arial"/>
          <w:color w:val="000000" w:themeColor="text1"/>
        </w:rPr>
        <w:t xml:space="preserve"> independientemente de que exista denuncia o haya sido del conocimiento de alguna autoridad.</w:t>
      </w:r>
    </w:p>
    <w:p w:rsidR="006207A5" w:rsidRPr="004C6B31" w:rsidRDefault="006207A5" w:rsidP="00322F83">
      <w:pPr>
        <w:ind w:left="567" w:right="616"/>
        <w:jc w:val="both"/>
        <w:rPr>
          <w:rFonts w:ascii="Arial" w:hAnsi="Arial" w:cs="Arial"/>
          <w:color w:val="000000" w:themeColor="text1"/>
        </w:rPr>
      </w:pPr>
      <w:r w:rsidRPr="004C6B31">
        <w:rPr>
          <w:rFonts w:ascii="Arial" w:hAnsi="Arial" w:cs="Arial"/>
          <w:color w:val="000000" w:themeColor="text1"/>
        </w:rPr>
        <w:lastRenderedPageBreak/>
        <w:t>A quien cometa el delito de feminicidio se le impondrán de cuarenta a sesenta</w:t>
      </w:r>
      <w:r w:rsidR="00B84419">
        <w:rPr>
          <w:rFonts w:ascii="Arial" w:hAnsi="Arial" w:cs="Arial"/>
          <w:color w:val="000000" w:themeColor="text1"/>
        </w:rPr>
        <w:t xml:space="preserve">        </w:t>
      </w:r>
      <w:r w:rsidRPr="004C6B31">
        <w:rPr>
          <w:rFonts w:ascii="Arial" w:hAnsi="Arial" w:cs="Arial"/>
          <w:color w:val="000000" w:themeColor="text1"/>
        </w:rPr>
        <w:t xml:space="preserve"> años de prisión y de setecientos cincuenta a mil quinientas veces el valor diario </w:t>
      </w:r>
      <w:r w:rsidR="00B84419">
        <w:rPr>
          <w:rFonts w:ascii="Arial" w:hAnsi="Arial" w:cs="Arial"/>
          <w:color w:val="000000" w:themeColor="text1"/>
        </w:rPr>
        <w:t xml:space="preserve">        </w:t>
      </w:r>
      <w:r w:rsidRPr="004C6B31">
        <w:rPr>
          <w:rFonts w:ascii="Arial" w:hAnsi="Arial" w:cs="Arial"/>
          <w:color w:val="000000" w:themeColor="text1"/>
        </w:rPr>
        <w:t xml:space="preserve">de la Unidad de Medida y Actualización. </w:t>
      </w:r>
    </w:p>
    <w:p w:rsidR="006207A5" w:rsidRPr="004C6B31" w:rsidRDefault="006207A5" w:rsidP="00322F83">
      <w:pPr>
        <w:ind w:left="567" w:right="616"/>
        <w:jc w:val="both"/>
        <w:rPr>
          <w:rFonts w:ascii="Arial" w:hAnsi="Arial" w:cs="Arial"/>
          <w:color w:val="000000" w:themeColor="text1"/>
        </w:rPr>
      </w:pPr>
      <w:r w:rsidRPr="004C6B31">
        <w:rPr>
          <w:rFonts w:ascii="Arial" w:hAnsi="Arial" w:cs="Arial"/>
          <w:color w:val="000000" w:themeColor="text1"/>
        </w:rPr>
        <w:t xml:space="preserve">Además de las sanciones descritas en el presente artículo, el sujeto activo </w:t>
      </w:r>
      <w:r w:rsidR="00B84419">
        <w:rPr>
          <w:rFonts w:ascii="Arial" w:hAnsi="Arial" w:cs="Arial"/>
          <w:color w:val="000000" w:themeColor="text1"/>
        </w:rPr>
        <w:t xml:space="preserve">         </w:t>
      </w:r>
      <w:r w:rsidRPr="004C6B31">
        <w:rPr>
          <w:rFonts w:ascii="Arial" w:hAnsi="Arial" w:cs="Arial"/>
          <w:color w:val="000000" w:themeColor="text1"/>
        </w:rPr>
        <w:t xml:space="preserve">perderá todos los derechos con relación a la víctima y ofendidos, incluidos los </w:t>
      </w:r>
      <w:r w:rsidR="00B84419">
        <w:rPr>
          <w:rFonts w:ascii="Arial" w:hAnsi="Arial" w:cs="Arial"/>
          <w:color w:val="000000" w:themeColor="text1"/>
        </w:rPr>
        <w:t xml:space="preserve">         </w:t>
      </w:r>
      <w:r w:rsidRPr="004C6B31">
        <w:rPr>
          <w:rFonts w:ascii="Arial" w:hAnsi="Arial" w:cs="Arial"/>
          <w:color w:val="000000" w:themeColor="text1"/>
        </w:rPr>
        <w:t xml:space="preserve">de carácter familiar y sucesorio y aquellos relacionados con los hijos en común. </w:t>
      </w:r>
    </w:p>
    <w:p w:rsidR="006207A5" w:rsidRPr="004C6B31" w:rsidRDefault="006207A5" w:rsidP="00322F83">
      <w:pPr>
        <w:ind w:left="567" w:right="616"/>
        <w:jc w:val="both"/>
        <w:rPr>
          <w:rFonts w:ascii="Arial" w:hAnsi="Arial" w:cs="Arial"/>
          <w:color w:val="000000" w:themeColor="text1"/>
        </w:rPr>
      </w:pPr>
      <w:r w:rsidRPr="004C6B31">
        <w:rPr>
          <w:rFonts w:ascii="Arial" w:hAnsi="Arial" w:cs="Arial"/>
          <w:color w:val="000000" w:themeColor="text1"/>
        </w:rPr>
        <w:t>En caso de que no se acrediten ninguna de las hipótesis antes descritas, se aplicarán las reglas del homicidio. El delito de feminicidio será imprescriptible.</w:t>
      </w: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b/>
          <w:bCs/>
          <w:color w:val="000000" w:themeColor="text1"/>
        </w:rPr>
        <w:t>Articulo 126 ter.</w:t>
      </w:r>
      <w:r w:rsidRPr="004C6B31">
        <w:rPr>
          <w:rFonts w:ascii="Arial" w:hAnsi="Arial" w:cs="Arial"/>
          <w:color w:val="000000" w:themeColor="text1"/>
        </w:rPr>
        <w:t xml:space="preserve"> Se incrementará hasta en un tercio de la pena cuando en el feminicidio concurra alguna de las siguientes circunstancias: </w:t>
      </w:r>
    </w:p>
    <w:p w:rsidR="006207A5" w:rsidRPr="004C6B31" w:rsidRDefault="006207A5" w:rsidP="00322F83">
      <w:pPr>
        <w:spacing w:after="0"/>
        <w:ind w:left="567" w:right="616"/>
        <w:jc w:val="both"/>
        <w:rPr>
          <w:rFonts w:ascii="Arial" w:hAnsi="Arial" w:cs="Arial"/>
          <w:color w:val="000000" w:themeColor="text1"/>
        </w:rPr>
      </w:pPr>
    </w:p>
    <w:p w:rsidR="006207A5" w:rsidRPr="004C6B31" w:rsidRDefault="006207A5" w:rsidP="00322F83">
      <w:pPr>
        <w:pStyle w:val="Prrafodelista"/>
        <w:numPr>
          <w:ilvl w:val="0"/>
          <w:numId w:val="26"/>
        </w:numPr>
        <w:spacing w:after="0"/>
        <w:ind w:left="567" w:right="616"/>
        <w:jc w:val="both"/>
        <w:rPr>
          <w:rFonts w:ascii="Arial" w:hAnsi="Arial" w:cs="Arial"/>
          <w:color w:val="000000" w:themeColor="text1"/>
        </w:rPr>
      </w:pPr>
      <w:r w:rsidRPr="004C6B31">
        <w:rPr>
          <w:rFonts w:ascii="Arial" w:hAnsi="Arial" w:cs="Arial"/>
          <w:color w:val="000000" w:themeColor="text1"/>
        </w:rPr>
        <w:t xml:space="preserve">Si un servidor público, aprovechándose de su encargo, interviene en la </w:t>
      </w:r>
      <w:r w:rsidR="00B84419">
        <w:rPr>
          <w:rFonts w:ascii="Arial" w:hAnsi="Arial" w:cs="Arial"/>
          <w:color w:val="000000" w:themeColor="text1"/>
        </w:rPr>
        <w:t xml:space="preserve">           </w:t>
      </w:r>
      <w:r w:rsidRPr="004C6B31">
        <w:rPr>
          <w:rFonts w:ascii="Arial" w:hAnsi="Arial" w:cs="Arial"/>
          <w:color w:val="000000" w:themeColor="text1"/>
        </w:rPr>
        <w:t xml:space="preserve">realización de la conducta delictiva, y </w:t>
      </w:r>
    </w:p>
    <w:p w:rsidR="006207A5" w:rsidRPr="004C6B31" w:rsidRDefault="006207A5" w:rsidP="00322F83">
      <w:pPr>
        <w:pStyle w:val="Prrafodelista"/>
        <w:numPr>
          <w:ilvl w:val="0"/>
          <w:numId w:val="26"/>
        </w:numPr>
        <w:spacing w:after="0"/>
        <w:ind w:left="567" w:right="616"/>
        <w:jc w:val="both"/>
        <w:rPr>
          <w:rFonts w:ascii="Arial" w:hAnsi="Arial" w:cs="Arial"/>
          <w:color w:val="000000" w:themeColor="text1"/>
        </w:rPr>
      </w:pPr>
      <w:r w:rsidRPr="004C6B31">
        <w:rPr>
          <w:rFonts w:ascii="Arial" w:hAnsi="Arial" w:cs="Arial"/>
          <w:color w:val="000000" w:themeColor="text1"/>
        </w:rPr>
        <w:t>Cuando la víctima fuere una persona menor de edad, estuviere embarazada, presentare algún tipo de discapacidad o perteneciere a un pueblo o comunidad indígena.</w:t>
      </w:r>
    </w:p>
    <w:p w:rsidR="006207A5" w:rsidRPr="004C6B31" w:rsidRDefault="006207A5" w:rsidP="00322F83">
      <w:pPr>
        <w:spacing w:after="0"/>
        <w:ind w:left="567" w:right="616"/>
        <w:jc w:val="both"/>
        <w:rPr>
          <w:rFonts w:ascii="Arial" w:hAnsi="Arial" w:cs="Arial"/>
          <w:color w:val="000000" w:themeColor="text1"/>
        </w:rPr>
      </w:pP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b/>
          <w:bCs/>
          <w:color w:val="000000" w:themeColor="text1"/>
        </w:rPr>
        <w:t xml:space="preserve">Articulo 126 quáter. </w:t>
      </w:r>
      <w:r w:rsidRPr="004C6B31">
        <w:rPr>
          <w:rFonts w:ascii="Arial" w:hAnsi="Arial" w:cs="Arial"/>
          <w:color w:val="000000" w:themeColor="text1"/>
        </w:rPr>
        <w:t xml:space="preserve">Al servidor público que retarde o entorpezca </w:t>
      </w:r>
      <w:r w:rsidR="00B84419">
        <w:rPr>
          <w:rFonts w:ascii="Arial" w:hAnsi="Arial" w:cs="Arial"/>
          <w:color w:val="000000" w:themeColor="text1"/>
        </w:rPr>
        <w:t xml:space="preserve">           </w:t>
      </w:r>
      <w:r w:rsidRPr="004C6B31">
        <w:rPr>
          <w:rFonts w:ascii="Arial" w:hAnsi="Arial" w:cs="Arial"/>
          <w:color w:val="000000" w:themeColor="text1"/>
        </w:rPr>
        <w:t xml:space="preserve">maliciosamente o por negligencia la procuración o administración de justicia respecto del delito de feminicidio se le impondrá pena de prisión de tres a ocho años y de setecientos cincuenta a dos mil doscientos cincuenta veces el valor </w:t>
      </w:r>
      <w:r w:rsidR="00B84419">
        <w:rPr>
          <w:rFonts w:ascii="Arial" w:hAnsi="Arial" w:cs="Arial"/>
          <w:color w:val="000000" w:themeColor="text1"/>
        </w:rPr>
        <w:t xml:space="preserve">   </w:t>
      </w:r>
      <w:r w:rsidRPr="004C6B31">
        <w:rPr>
          <w:rFonts w:ascii="Arial" w:hAnsi="Arial" w:cs="Arial"/>
          <w:color w:val="000000" w:themeColor="text1"/>
        </w:rPr>
        <w:t>diario de la Unidad de Medida y Actualización, además será destituido e</w:t>
      </w:r>
      <w:r w:rsidR="00B84419">
        <w:rPr>
          <w:rFonts w:ascii="Arial" w:hAnsi="Arial" w:cs="Arial"/>
          <w:color w:val="000000" w:themeColor="text1"/>
        </w:rPr>
        <w:t xml:space="preserve"> </w:t>
      </w:r>
      <w:r w:rsidRPr="004C6B31">
        <w:rPr>
          <w:rFonts w:ascii="Arial" w:hAnsi="Arial" w:cs="Arial"/>
          <w:color w:val="000000" w:themeColor="text1"/>
        </w:rPr>
        <w:t xml:space="preserve"> inhabilitado de tres a diez años para desempeñar otro empleo, cargo o comisión públicos.</w:t>
      </w:r>
    </w:p>
    <w:p w:rsidR="006207A5" w:rsidRPr="004C6B31" w:rsidRDefault="006207A5" w:rsidP="00322F83">
      <w:pPr>
        <w:spacing w:after="0"/>
        <w:ind w:left="567" w:right="616"/>
        <w:jc w:val="both"/>
        <w:rPr>
          <w:rFonts w:ascii="Arial" w:hAnsi="Arial" w:cs="Arial"/>
          <w:bCs/>
          <w:color w:val="000000" w:themeColor="text1"/>
        </w:rPr>
      </w:pP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b/>
          <w:bCs/>
          <w:color w:val="000000" w:themeColor="text1"/>
        </w:rPr>
        <w:t xml:space="preserve">Articulo 126 quinquies. </w:t>
      </w:r>
      <w:r w:rsidRPr="004C6B31">
        <w:rPr>
          <w:rFonts w:ascii="Arial" w:hAnsi="Arial" w:cs="Arial"/>
          <w:color w:val="000000" w:themeColor="text1"/>
        </w:rPr>
        <w:t>Las autoridades investigadoras y de impartición de justicia, cuando se encuentren ante un probable delito de feminicidio deberán ejercer sus atribuciones conforme al respectivo protocolo de actuación correspondiente al delito.</w:t>
      </w:r>
    </w:p>
    <w:p w:rsidR="006207A5" w:rsidRPr="004C6B31" w:rsidRDefault="006207A5" w:rsidP="00322F83">
      <w:pPr>
        <w:spacing w:after="0"/>
        <w:ind w:left="567" w:right="616"/>
        <w:jc w:val="both"/>
        <w:rPr>
          <w:rFonts w:ascii="Arial" w:hAnsi="Arial" w:cs="Arial"/>
          <w:color w:val="000000" w:themeColor="text1"/>
        </w:rPr>
      </w:pPr>
    </w:p>
    <w:p w:rsidR="006207A5" w:rsidRPr="004C6B31" w:rsidRDefault="006207A5" w:rsidP="00322F83">
      <w:pPr>
        <w:spacing w:after="0"/>
        <w:ind w:left="567" w:right="616"/>
        <w:jc w:val="both"/>
        <w:rPr>
          <w:rFonts w:ascii="Arial" w:hAnsi="Arial" w:cs="Arial"/>
          <w:color w:val="000000" w:themeColor="text1"/>
        </w:rPr>
      </w:pPr>
      <w:r w:rsidRPr="004C6B31">
        <w:rPr>
          <w:rFonts w:ascii="Arial" w:hAnsi="Arial" w:cs="Arial"/>
          <w:b/>
          <w:bCs/>
          <w:color w:val="000000" w:themeColor="text1"/>
        </w:rPr>
        <w:t xml:space="preserve">Articulo 126 </w:t>
      </w:r>
      <w:r w:rsidRPr="004C6B31">
        <w:rPr>
          <w:rFonts w:ascii="Arial" w:hAnsi="Arial" w:cs="Arial"/>
          <w:b/>
          <w:bCs/>
          <w:color w:val="000000" w:themeColor="text1"/>
          <w:shd w:val="clear" w:color="auto" w:fill="FFFFFF"/>
        </w:rPr>
        <w:t xml:space="preserve">sexies. </w:t>
      </w:r>
      <w:r w:rsidRPr="004C6B31">
        <w:rPr>
          <w:rFonts w:ascii="Arial" w:hAnsi="Arial" w:cs="Arial"/>
          <w:color w:val="000000" w:themeColor="text1"/>
        </w:rPr>
        <w:t xml:space="preserve">Con el fin de preservar la evidencia que pudiera revelar nuevas líneas de investigación para el esclarecimiento de los hechos, el agente </w:t>
      </w:r>
      <w:r w:rsidR="00B84419">
        <w:rPr>
          <w:rFonts w:ascii="Arial" w:hAnsi="Arial" w:cs="Arial"/>
          <w:color w:val="000000" w:themeColor="text1"/>
        </w:rPr>
        <w:t xml:space="preserve">           </w:t>
      </w:r>
      <w:r w:rsidRPr="004C6B31">
        <w:rPr>
          <w:rFonts w:ascii="Arial" w:hAnsi="Arial" w:cs="Arial"/>
          <w:color w:val="000000" w:themeColor="text1"/>
        </w:rPr>
        <w:t xml:space="preserve">del Ministerio Público prohibirá, estrictamente, bajo su criterio y </w:t>
      </w:r>
      <w:r w:rsidR="00B84419">
        <w:rPr>
          <w:rFonts w:ascii="Arial" w:hAnsi="Arial" w:cs="Arial"/>
          <w:color w:val="000000" w:themeColor="text1"/>
        </w:rPr>
        <w:t xml:space="preserve">            </w:t>
      </w:r>
      <w:r w:rsidRPr="004C6B31">
        <w:rPr>
          <w:rFonts w:ascii="Arial" w:hAnsi="Arial" w:cs="Arial"/>
          <w:color w:val="000000" w:themeColor="text1"/>
        </w:rPr>
        <w:t xml:space="preserve">responsabilidad, la cremación de todo cadáver respecto del que se presuma la </w:t>
      </w:r>
      <w:r w:rsidRPr="004C6B31">
        <w:rPr>
          <w:rFonts w:ascii="Arial" w:hAnsi="Arial" w:cs="Arial"/>
          <w:color w:val="000000" w:themeColor="text1"/>
        </w:rPr>
        <w:lastRenderedPageBreak/>
        <w:t>comisión de un feminicidio. A quien incurra en esta conducta se le impondrá la</w:t>
      </w:r>
      <w:r w:rsidR="00B84419">
        <w:rPr>
          <w:rFonts w:ascii="Arial" w:hAnsi="Arial" w:cs="Arial"/>
          <w:color w:val="000000" w:themeColor="text1"/>
        </w:rPr>
        <w:t xml:space="preserve">   </w:t>
      </w:r>
      <w:r w:rsidRPr="004C6B31">
        <w:rPr>
          <w:rFonts w:ascii="Arial" w:hAnsi="Arial" w:cs="Arial"/>
          <w:color w:val="000000" w:themeColor="text1"/>
        </w:rPr>
        <w:t xml:space="preserve"> pena prevista en el artículo </w:t>
      </w:r>
      <w:r w:rsidR="003B6125" w:rsidRPr="004C6B31">
        <w:rPr>
          <w:rFonts w:ascii="Arial" w:hAnsi="Arial" w:cs="Arial"/>
          <w:color w:val="000000" w:themeColor="text1"/>
        </w:rPr>
        <w:t>126 quáter</w:t>
      </w:r>
      <w:r w:rsidRPr="004C6B31">
        <w:rPr>
          <w:rFonts w:ascii="Arial" w:hAnsi="Arial" w:cs="Arial"/>
          <w:color w:val="000000" w:themeColor="text1"/>
        </w:rPr>
        <w:t xml:space="preserve"> de este ordenamiento.</w:t>
      </w:r>
    </w:p>
    <w:p w:rsidR="006207A5" w:rsidRPr="004C6B31" w:rsidRDefault="006207A5" w:rsidP="00322F83">
      <w:pPr>
        <w:spacing w:after="0"/>
        <w:jc w:val="both"/>
        <w:rPr>
          <w:rFonts w:ascii="Arial" w:hAnsi="Arial" w:cs="Arial"/>
          <w:bCs/>
          <w:color w:val="000000" w:themeColor="text1"/>
        </w:rPr>
      </w:pPr>
    </w:p>
    <w:p w:rsidR="008A10DB" w:rsidRPr="004C6B31" w:rsidRDefault="005F0BF4" w:rsidP="00322F83">
      <w:pPr>
        <w:spacing w:after="0"/>
        <w:jc w:val="center"/>
        <w:rPr>
          <w:rFonts w:ascii="Arial" w:hAnsi="Arial" w:cs="Arial"/>
          <w:b/>
          <w:color w:val="000000" w:themeColor="text1"/>
        </w:rPr>
      </w:pPr>
      <w:r w:rsidRPr="004C6B31">
        <w:rPr>
          <w:rFonts w:ascii="Arial" w:hAnsi="Arial" w:cs="Arial"/>
          <w:b/>
          <w:color w:val="000000" w:themeColor="text1"/>
        </w:rPr>
        <w:t>TRANSITORIOS</w:t>
      </w:r>
    </w:p>
    <w:p w:rsidR="00733BE3" w:rsidRPr="004C6B31" w:rsidRDefault="00733BE3" w:rsidP="00322F83">
      <w:pPr>
        <w:spacing w:after="0"/>
        <w:jc w:val="center"/>
        <w:rPr>
          <w:rFonts w:ascii="Arial" w:hAnsi="Arial" w:cs="Arial"/>
          <w:b/>
          <w:color w:val="000000" w:themeColor="text1"/>
        </w:rPr>
      </w:pPr>
    </w:p>
    <w:p w:rsidR="00914402" w:rsidRPr="004C6B31" w:rsidRDefault="005C196C" w:rsidP="00322F83">
      <w:pPr>
        <w:spacing w:after="0"/>
        <w:jc w:val="both"/>
        <w:rPr>
          <w:rFonts w:ascii="Arial" w:hAnsi="Arial" w:cs="Arial"/>
          <w:color w:val="000000" w:themeColor="text1"/>
        </w:rPr>
      </w:pPr>
      <w:r w:rsidRPr="004C6B31">
        <w:rPr>
          <w:rFonts w:ascii="Arial" w:hAnsi="Arial" w:cs="Arial"/>
          <w:b/>
          <w:color w:val="000000" w:themeColor="text1"/>
        </w:rPr>
        <w:t xml:space="preserve">TRANSITORIO </w:t>
      </w:r>
      <w:r w:rsidR="000A53EA" w:rsidRPr="004C6B31">
        <w:rPr>
          <w:rFonts w:ascii="Arial" w:hAnsi="Arial" w:cs="Arial"/>
          <w:b/>
          <w:color w:val="000000" w:themeColor="text1"/>
        </w:rPr>
        <w:t>PRIMERO. -</w:t>
      </w:r>
      <w:r w:rsidR="005F0BF4" w:rsidRPr="004C6B31">
        <w:rPr>
          <w:rFonts w:ascii="Arial" w:hAnsi="Arial" w:cs="Arial"/>
          <w:color w:val="000000" w:themeColor="text1"/>
        </w:rPr>
        <w:t xml:space="preserve"> El presente Decreto entrará en vigor al día si</w:t>
      </w:r>
      <w:r w:rsidR="008A10DB" w:rsidRPr="004C6B31">
        <w:rPr>
          <w:rFonts w:ascii="Arial" w:hAnsi="Arial" w:cs="Arial"/>
          <w:color w:val="000000" w:themeColor="text1"/>
        </w:rPr>
        <w:t xml:space="preserve">guiente de su publicación en el Periódico Oficial del Estado. </w:t>
      </w:r>
    </w:p>
    <w:p w:rsidR="00A832E4" w:rsidRPr="004C6B31" w:rsidRDefault="00A832E4" w:rsidP="00322F83">
      <w:pPr>
        <w:spacing w:after="0"/>
        <w:jc w:val="both"/>
        <w:rPr>
          <w:rFonts w:ascii="Arial" w:hAnsi="Arial" w:cs="Arial"/>
          <w:color w:val="000000" w:themeColor="text1"/>
        </w:rPr>
      </w:pPr>
    </w:p>
    <w:p w:rsidR="005F0BF4" w:rsidRPr="004C6B31" w:rsidRDefault="005C196C" w:rsidP="00322F83">
      <w:pPr>
        <w:spacing w:after="0"/>
        <w:jc w:val="both"/>
        <w:rPr>
          <w:rFonts w:ascii="Arial" w:hAnsi="Arial" w:cs="Arial"/>
          <w:color w:val="000000" w:themeColor="text1"/>
        </w:rPr>
      </w:pPr>
      <w:r w:rsidRPr="004C6B31">
        <w:rPr>
          <w:rFonts w:ascii="Arial" w:hAnsi="Arial" w:cs="Arial"/>
          <w:b/>
          <w:color w:val="000000" w:themeColor="text1"/>
        </w:rPr>
        <w:t xml:space="preserve">TRANSITORIO </w:t>
      </w:r>
      <w:r w:rsidR="000A53EA" w:rsidRPr="004C6B31">
        <w:rPr>
          <w:rFonts w:ascii="Arial" w:hAnsi="Arial" w:cs="Arial"/>
          <w:b/>
          <w:color w:val="000000" w:themeColor="text1"/>
        </w:rPr>
        <w:t>SEGUNDO. -</w:t>
      </w:r>
      <w:r w:rsidR="00360FB6" w:rsidRPr="004C6B31">
        <w:rPr>
          <w:rFonts w:ascii="Arial" w:hAnsi="Arial" w:cs="Arial"/>
          <w:color w:val="000000" w:themeColor="text1"/>
        </w:rPr>
        <w:t xml:space="preserve"> </w:t>
      </w:r>
      <w:r w:rsidR="005F0BF4" w:rsidRPr="004C6B31">
        <w:rPr>
          <w:rFonts w:ascii="Arial" w:hAnsi="Arial" w:cs="Arial"/>
          <w:color w:val="000000" w:themeColor="text1"/>
        </w:rPr>
        <w:t>Quedan derogadas todas disposiciones que se opongan al contenido del presente Decreto.</w:t>
      </w:r>
    </w:p>
    <w:p w:rsidR="00A832E4" w:rsidRPr="004C6B31" w:rsidRDefault="00A832E4" w:rsidP="00322F83">
      <w:pPr>
        <w:spacing w:after="0"/>
        <w:jc w:val="both"/>
        <w:rPr>
          <w:rFonts w:ascii="Arial" w:hAnsi="Arial" w:cs="Arial"/>
          <w:color w:val="000000" w:themeColor="text1"/>
        </w:rPr>
      </w:pPr>
    </w:p>
    <w:p w:rsidR="00360FB6" w:rsidRPr="004C6B31" w:rsidRDefault="00360FB6" w:rsidP="00322F83">
      <w:pPr>
        <w:spacing w:after="0"/>
        <w:jc w:val="both"/>
        <w:rPr>
          <w:rFonts w:ascii="Arial" w:hAnsi="Arial" w:cs="Arial"/>
          <w:color w:val="000000" w:themeColor="text1"/>
        </w:rPr>
      </w:pPr>
      <w:r w:rsidRPr="004C6B31">
        <w:rPr>
          <w:rFonts w:ascii="Arial" w:hAnsi="Arial" w:cs="Arial"/>
          <w:b/>
          <w:color w:val="000000" w:themeColor="text1"/>
        </w:rPr>
        <w:t>ECONÓMICO:</w:t>
      </w:r>
      <w:r w:rsidRPr="004C6B31">
        <w:rPr>
          <w:rFonts w:ascii="Arial" w:hAnsi="Arial" w:cs="Arial"/>
          <w:color w:val="000000" w:themeColor="text1"/>
        </w:rPr>
        <w:t xml:space="preserve"> Aprobado que sea, túrnese a la Secretaría para que elabore la Minuta de Decreto en los términos en que deba publicarse.</w:t>
      </w:r>
    </w:p>
    <w:p w:rsidR="00A832E4" w:rsidRPr="004C6B31" w:rsidRDefault="00A832E4" w:rsidP="00322F83">
      <w:pPr>
        <w:spacing w:after="0"/>
        <w:jc w:val="both"/>
        <w:rPr>
          <w:rFonts w:ascii="Arial" w:hAnsi="Arial" w:cs="Arial"/>
          <w:color w:val="000000" w:themeColor="text1"/>
        </w:rPr>
      </w:pPr>
    </w:p>
    <w:p w:rsidR="005C196C" w:rsidRPr="004C6B31" w:rsidRDefault="005C196C" w:rsidP="00322F83">
      <w:pPr>
        <w:pStyle w:val="Textoindependiente"/>
        <w:spacing w:line="276" w:lineRule="auto"/>
        <w:rPr>
          <w:rFonts w:ascii="Arial" w:hAnsi="Arial" w:cs="Arial"/>
          <w:color w:val="000000" w:themeColor="text1"/>
          <w:sz w:val="22"/>
          <w:szCs w:val="22"/>
        </w:rPr>
      </w:pPr>
      <w:r w:rsidRPr="004C6B31">
        <w:rPr>
          <w:rFonts w:ascii="Arial" w:hAnsi="Arial" w:cs="Arial"/>
          <w:color w:val="000000" w:themeColor="text1"/>
          <w:sz w:val="22"/>
          <w:szCs w:val="22"/>
        </w:rPr>
        <w:t xml:space="preserve">Dado en </w:t>
      </w:r>
      <w:r w:rsidR="00A832E4" w:rsidRPr="004C6B31">
        <w:rPr>
          <w:rFonts w:ascii="Arial" w:hAnsi="Arial" w:cs="Arial"/>
          <w:color w:val="000000" w:themeColor="text1"/>
          <w:sz w:val="22"/>
          <w:szCs w:val="22"/>
          <w:lang w:val="es-ES_tradnl" w:eastAsia="es-ES_tradnl"/>
        </w:rPr>
        <w:t>la Sala Morelos</w:t>
      </w:r>
      <w:r w:rsidRPr="004C6B31">
        <w:rPr>
          <w:rFonts w:ascii="Arial" w:hAnsi="Arial" w:cs="Arial"/>
          <w:color w:val="000000" w:themeColor="text1"/>
          <w:sz w:val="22"/>
          <w:szCs w:val="22"/>
          <w:lang w:val="es-ES_tradnl" w:eastAsia="es-ES_tradnl"/>
        </w:rPr>
        <w:t xml:space="preserve"> </w:t>
      </w:r>
      <w:r w:rsidR="00360FB6" w:rsidRPr="004C6B31">
        <w:rPr>
          <w:rFonts w:ascii="Arial" w:hAnsi="Arial" w:cs="Arial"/>
          <w:color w:val="000000" w:themeColor="text1"/>
          <w:sz w:val="22"/>
          <w:szCs w:val="22"/>
          <w:lang w:val="es-ES_tradnl" w:eastAsia="es-ES_tradnl"/>
        </w:rPr>
        <w:t>del Honorable Congreso del Estado</w:t>
      </w:r>
      <w:r w:rsidR="000A53EA" w:rsidRPr="004C6B31">
        <w:rPr>
          <w:rFonts w:ascii="Arial" w:hAnsi="Arial" w:cs="Arial"/>
          <w:color w:val="000000" w:themeColor="text1"/>
          <w:sz w:val="22"/>
          <w:szCs w:val="22"/>
        </w:rPr>
        <w:t xml:space="preserve">, a </w:t>
      </w:r>
      <w:r w:rsidR="00A832E4" w:rsidRPr="004C6B31">
        <w:rPr>
          <w:rFonts w:ascii="Arial" w:hAnsi="Arial" w:cs="Arial"/>
          <w:color w:val="000000" w:themeColor="text1"/>
          <w:sz w:val="22"/>
          <w:szCs w:val="22"/>
        </w:rPr>
        <w:t xml:space="preserve">xx </w:t>
      </w:r>
      <w:r w:rsidR="00050A2D" w:rsidRPr="004C6B31">
        <w:rPr>
          <w:rFonts w:ascii="Arial" w:hAnsi="Arial" w:cs="Arial"/>
          <w:color w:val="000000" w:themeColor="text1"/>
          <w:sz w:val="22"/>
          <w:szCs w:val="22"/>
        </w:rPr>
        <w:t xml:space="preserve">de </w:t>
      </w:r>
      <w:r w:rsidR="00A832E4" w:rsidRPr="004C6B31">
        <w:rPr>
          <w:rFonts w:ascii="Arial" w:hAnsi="Arial" w:cs="Arial"/>
          <w:color w:val="000000" w:themeColor="text1"/>
          <w:sz w:val="22"/>
          <w:szCs w:val="22"/>
        </w:rPr>
        <w:t>xx</w:t>
      </w:r>
      <w:r w:rsidR="000A53EA" w:rsidRPr="004C6B31">
        <w:rPr>
          <w:rFonts w:ascii="Arial" w:hAnsi="Arial" w:cs="Arial"/>
          <w:color w:val="000000" w:themeColor="text1"/>
          <w:sz w:val="22"/>
          <w:szCs w:val="22"/>
        </w:rPr>
        <w:t xml:space="preserve"> del</w:t>
      </w:r>
      <w:r w:rsidR="00050A2D" w:rsidRPr="004C6B31">
        <w:rPr>
          <w:rFonts w:ascii="Arial" w:hAnsi="Arial" w:cs="Arial"/>
          <w:color w:val="000000" w:themeColor="text1"/>
          <w:sz w:val="22"/>
          <w:szCs w:val="22"/>
        </w:rPr>
        <w:t xml:space="preserve"> año dos mil </w:t>
      </w:r>
      <w:r w:rsidR="00B84419">
        <w:rPr>
          <w:rFonts w:ascii="Arial" w:hAnsi="Arial" w:cs="Arial"/>
          <w:color w:val="000000" w:themeColor="text1"/>
          <w:sz w:val="22"/>
          <w:szCs w:val="22"/>
        </w:rPr>
        <w:t xml:space="preserve">       </w:t>
      </w:r>
      <w:r w:rsidR="00A832E4" w:rsidRPr="004C6B31">
        <w:rPr>
          <w:rFonts w:ascii="Arial" w:hAnsi="Arial" w:cs="Arial"/>
          <w:color w:val="000000" w:themeColor="text1"/>
          <w:sz w:val="22"/>
          <w:szCs w:val="22"/>
        </w:rPr>
        <w:t>veinte</w:t>
      </w:r>
      <w:r w:rsidR="00050A2D" w:rsidRPr="004C6B31">
        <w:rPr>
          <w:rFonts w:ascii="Arial" w:hAnsi="Arial" w:cs="Arial"/>
          <w:color w:val="000000" w:themeColor="text1"/>
          <w:sz w:val="22"/>
          <w:szCs w:val="22"/>
        </w:rPr>
        <w:t xml:space="preserve"> </w:t>
      </w:r>
    </w:p>
    <w:p w:rsidR="005C196C" w:rsidRPr="004C6B31" w:rsidRDefault="005C196C" w:rsidP="00322F83">
      <w:pPr>
        <w:pStyle w:val="Textoindependiente"/>
        <w:spacing w:line="276" w:lineRule="auto"/>
        <w:jc w:val="center"/>
        <w:rPr>
          <w:rFonts w:ascii="Arial" w:hAnsi="Arial" w:cs="Arial"/>
          <w:color w:val="000000" w:themeColor="text1"/>
          <w:sz w:val="22"/>
          <w:szCs w:val="22"/>
        </w:rPr>
      </w:pPr>
      <w:r w:rsidRPr="004C6B31">
        <w:rPr>
          <w:rFonts w:ascii="Arial" w:hAnsi="Arial" w:cs="Arial"/>
          <w:color w:val="000000" w:themeColor="text1"/>
          <w:sz w:val="22"/>
          <w:szCs w:val="22"/>
        </w:rPr>
        <w:t>ATENTAMENTE</w:t>
      </w:r>
    </w:p>
    <w:p w:rsidR="00A832E4" w:rsidRPr="004C6B31" w:rsidRDefault="00A832E4" w:rsidP="00322F83">
      <w:pPr>
        <w:pStyle w:val="Textoindependiente"/>
        <w:spacing w:line="276" w:lineRule="auto"/>
        <w:jc w:val="center"/>
        <w:rPr>
          <w:rFonts w:ascii="Arial" w:hAnsi="Arial" w:cs="Arial"/>
          <w:color w:val="000000" w:themeColor="text1"/>
          <w:sz w:val="22"/>
          <w:szCs w:val="22"/>
        </w:rPr>
      </w:pPr>
    </w:p>
    <w:p w:rsidR="00A832E4" w:rsidRPr="004C6B31" w:rsidRDefault="00A832E4" w:rsidP="00322F83">
      <w:pPr>
        <w:pStyle w:val="Textoindependiente"/>
        <w:spacing w:line="276" w:lineRule="auto"/>
        <w:jc w:val="center"/>
        <w:rPr>
          <w:rFonts w:ascii="Arial" w:hAnsi="Arial" w:cs="Arial"/>
          <w:color w:val="000000" w:themeColor="text1"/>
          <w:sz w:val="22"/>
          <w:szCs w:val="22"/>
        </w:rPr>
      </w:pPr>
    </w:p>
    <w:p w:rsidR="00A832E4" w:rsidRPr="004C6B31" w:rsidRDefault="00A832E4" w:rsidP="00322F83">
      <w:pPr>
        <w:pStyle w:val="Textoindependiente"/>
        <w:spacing w:line="276" w:lineRule="auto"/>
        <w:jc w:val="center"/>
        <w:rPr>
          <w:rFonts w:ascii="Arial" w:hAnsi="Arial" w:cs="Arial"/>
          <w:color w:val="000000" w:themeColor="text1"/>
          <w:sz w:val="22"/>
          <w:szCs w:val="22"/>
        </w:rPr>
      </w:pPr>
      <w:r w:rsidRPr="004C6B31">
        <w:rPr>
          <w:rFonts w:ascii="Arial" w:hAnsi="Arial" w:cs="Arial"/>
          <w:b/>
          <w:color w:val="000000" w:themeColor="text1"/>
          <w:sz w:val="22"/>
          <w:szCs w:val="22"/>
          <w:lang w:val="es-ES_tradnl"/>
        </w:rPr>
        <w:t>DIP. BENJAMÍN CARRERA CHÁVEZ</w:t>
      </w:r>
    </w:p>
    <w:p w:rsidR="005D7E90" w:rsidRPr="004C6B31" w:rsidRDefault="005D7E90" w:rsidP="00322F83">
      <w:pPr>
        <w:pStyle w:val="Textoindependiente"/>
        <w:spacing w:line="276" w:lineRule="auto"/>
        <w:jc w:val="center"/>
        <w:rPr>
          <w:rFonts w:ascii="Arial" w:hAnsi="Arial" w:cs="Arial"/>
          <w:color w:val="000000" w:themeColor="text1"/>
          <w:sz w:val="22"/>
          <w:szCs w:val="22"/>
        </w:rPr>
      </w:pPr>
    </w:p>
    <w:p w:rsidR="00BA617B" w:rsidRPr="004C6B31" w:rsidRDefault="00BA617B" w:rsidP="00322F83">
      <w:pPr>
        <w:spacing w:after="0"/>
        <w:jc w:val="both"/>
        <w:rPr>
          <w:rFonts w:ascii="Arial" w:hAnsi="Arial" w:cs="Arial"/>
          <w:color w:val="000000" w:themeColor="text1"/>
          <w:lang w:val="es-ES" w:eastAsia="es-ES_tradnl"/>
        </w:rPr>
      </w:pPr>
    </w:p>
    <w:sectPr w:rsidR="00BA617B" w:rsidRPr="004C6B31" w:rsidSect="00467168">
      <w:headerReference w:type="even" r:id="rId9"/>
      <w:headerReference w:type="default" r:id="rId10"/>
      <w:footerReference w:type="even" r:id="rId11"/>
      <w:footerReference w:type="default" r:id="rId12"/>
      <w:pgSz w:w="12240" w:h="15840"/>
      <w:pgMar w:top="3402"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14E" w:rsidRDefault="006C114E">
      <w:pPr>
        <w:spacing w:after="0" w:line="240" w:lineRule="auto"/>
      </w:pPr>
      <w:r>
        <w:separator/>
      </w:r>
    </w:p>
  </w:endnote>
  <w:endnote w:type="continuationSeparator" w:id="1">
    <w:p w:rsidR="006C114E" w:rsidRDefault="006C1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68" w:rsidRDefault="00B70541" w:rsidP="0049313F">
    <w:pPr>
      <w:pStyle w:val="Piedepgina"/>
      <w:framePr w:wrap="around" w:vAnchor="text" w:hAnchor="margin" w:xAlign="right" w:y="1"/>
      <w:rPr>
        <w:rStyle w:val="Nmerodepgina"/>
      </w:rPr>
    </w:pPr>
    <w:r>
      <w:rPr>
        <w:rStyle w:val="Nmerodepgina"/>
      </w:rPr>
      <w:fldChar w:fldCharType="begin"/>
    </w:r>
    <w:r w:rsidR="001A1868">
      <w:rPr>
        <w:rStyle w:val="Nmerodepgina"/>
      </w:rPr>
      <w:instrText xml:space="preserve">PAGE  </w:instrText>
    </w:r>
    <w:r>
      <w:rPr>
        <w:rStyle w:val="Nmerodepgina"/>
      </w:rPr>
      <w:fldChar w:fldCharType="end"/>
    </w:r>
  </w:p>
  <w:p w:rsidR="001A1868" w:rsidRDefault="001A1868" w:rsidP="0049313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68" w:rsidRDefault="001A1868" w:rsidP="0049313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14E" w:rsidRDefault="006C114E">
      <w:pPr>
        <w:spacing w:after="0" w:line="240" w:lineRule="auto"/>
      </w:pPr>
      <w:r>
        <w:separator/>
      </w:r>
    </w:p>
  </w:footnote>
  <w:footnote w:type="continuationSeparator" w:id="1">
    <w:p w:rsidR="006C114E" w:rsidRDefault="006C11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68" w:rsidRDefault="00B70541" w:rsidP="0049313F">
    <w:pPr>
      <w:pStyle w:val="Encabezado"/>
      <w:framePr w:wrap="none" w:vAnchor="text" w:hAnchor="margin" w:xAlign="right" w:y="1"/>
      <w:rPr>
        <w:rStyle w:val="Nmerodepgina"/>
      </w:rPr>
    </w:pPr>
    <w:r>
      <w:rPr>
        <w:rStyle w:val="Nmerodepgina"/>
      </w:rPr>
      <w:fldChar w:fldCharType="begin"/>
    </w:r>
    <w:r w:rsidR="001A1868">
      <w:rPr>
        <w:rStyle w:val="Nmerodepgina"/>
      </w:rPr>
      <w:instrText xml:space="preserve">PAGE  </w:instrText>
    </w:r>
    <w:r>
      <w:rPr>
        <w:rStyle w:val="Nmerodepgina"/>
      </w:rPr>
      <w:fldChar w:fldCharType="end"/>
    </w:r>
  </w:p>
  <w:p w:rsidR="001A1868" w:rsidRDefault="001A1868" w:rsidP="0049313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68" w:rsidRDefault="00467168" w:rsidP="0049313F">
    <w:pPr>
      <w:pStyle w:val="Encabezado"/>
      <w:ind w:right="360"/>
    </w:pPr>
    <w:r w:rsidRPr="00467168">
      <w:drawing>
        <wp:anchor distT="0" distB="0" distL="114300" distR="114300" simplePos="0" relativeHeight="251659264" behindDoc="1" locked="0" layoutInCell="1" allowOverlap="1">
          <wp:simplePos x="0" y="0"/>
          <wp:positionH relativeFrom="column">
            <wp:posOffset>-152781</wp:posOffset>
          </wp:positionH>
          <wp:positionV relativeFrom="paragraph">
            <wp:posOffset>19177</wp:posOffset>
          </wp:positionV>
          <wp:extent cx="1056513" cy="1085088"/>
          <wp:effectExtent l="19050" t="0" r="0"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6513" cy="1085088"/>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597F"/>
    <w:multiLevelType w:val="hybridMultilevel"/>
    <w:tmpl w:val="3814E43A"/>
    <w:lvl w:ilvl="0" w:tplc="3ECA210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BC6068"/>
    <w:multiLevelType w:val="hybridMultilevel"/>
    <w:tmpl w:val="205251F4"/>
    <w:lvl w:ilvl="0" w:tplc="6880792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4D73E0"/>
    <w:multiLevelType w:val="hybridMultilevel"/>
    <w:tmpl w:val="F64665B6"/>
    <w:lvl w:ilvl="0" w:tplc="68749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81332B"/>
    <w:multiLevelType w:val="hybridMultilevel"/>
    <w:tmpl w:val="1862B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346CD0"/>
    <w:multiLevelType w:val="hybridMultilevel"/>
    <w:tmpl w:val="79FAEB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717B74"/>
    <w:multiLevelType w:val="multilevel"/>
    <w:tmpl w:val="97F4F5F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27441032"/>
    <w:multiLevelType w:val="hybridMultilevel"/>
    <w:tmpl w:val="46466ABE"/>
    <w:lvl w:ilvl="0" w:tplc="7FB6F8CE">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863772"/>
    <w:multiLevelType w:val="hybridMultilevel"/>
    <w:tmpl w:val="8FDE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893667"/>
    <w:multiLevelType w:val="hybridMultilevel"/>
    <w:tmpl w:val="93886CA2"/>
    <w:lvl w:ilvl="0" w:tplc="DFD8EC90">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3A075E36"/>
    <w:multiLevelType w:val="hybridMultilevel"/>
    <w:tmpl w:val="0B343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076BF5"/>
    <w:multiLevelType w:val="multilevel"/>
    <w:tmpl w:val="A91AF530"/>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D157E8A"/>
    <w:multiLevelType w:val="hybridMultilevel"/>
    <w:tmpl w:val="4C083028"/>
    <w:lvl w:ilvl="0" w:tplc="B78E4AA4">
      <w:start w:val="1"/>
      <w:numFmt w:val="lowerLetter"/>
      <w:lvlText w:val="%1)"/>
      <w:lvlJc w:val="left"/>
      <w:pPr>
        <w:ind w:left="1713" w:hanging="360"/>
      </w:pPr>
      <w:rPr>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2">
    <w:nsid w:val="490D4A61"/>
    <w:multiLevelType w:val="hybridMultilevel"/>
    <w:tmpl w:val="0D2CCF52"/>
    <w:lvl w:ilvl="0" w:tplc="6C72EE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0C448F"/>
    <w:multiLevelType w:val="hybridMultilevel"/>
    <w:tmpl w:val="DEDEA5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316C2D"/>
    <w:multiLevelType w:val="hybridMultilevel"/>
    <w:tmpl w:val="43BE1C44"/>
    <w:lvl w:ilvl="0" w:tplc="E4EA70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E12492"/>
    <w:multiLevelType w:val="hybridMultilevel"/>
    <w:tmpl w:val="5F56E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080AD1"/>
    <w:multiLevelType w:val="hybridMultilevel"/>
    <w:tmpl w:val="9F7E2B36"/>
    <w:lvl w:ilvl="0" w:tplc="4AE2210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7616C9"/>
    <w:multiLevelType w:val="hybridMultilevel"/>
    <w:tmpl w:val="C8BC8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5A08B4"/>
    <w:multiLevelType w:val="hybridMultilevel"/>
    <w:tmpl w:val="CDEC905C"/>
    <w:lvl w:ilvl="0" w:tplc="385435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D3D3C04"/>
    <w:multiLevelType w:val="hybridMultilevel"/>
    <w:tmpl w:val="04C44E08"/>
    <w:lvl w:ilvl="0" w:tplc="ED72E034">
      <w:start w:val="1"/>
      <w:numFmt w:val="decimal"/>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4D05FA"/>
    <w:multiLevelType w:val="hybridMultilevel"/>
    <w:tmpl w:val="8110A962"/>
    <w:lvl w:ilvl="0" w:tplc="77FA3E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403685"/>
    <w:multiLevelType w:val="hybridMultilevel"/>
    <w:tmpl w:val="A09E3D90"/>
    <w:lvl w:ilvl="0" w:tplc="34FE768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nsid w:val="6EA87BC7"/>
    <w:multiLevelType w:val="hybridMultilevel"/>
    <w:tmpl w:val="EE64F5A4"/>
    <w:lvl w:ilvl="0" w:tplc="8004B8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2047AB"/>
    <w:multiLevelType w:val="hybridMultilevel"/>
    <w:tmpl w:val="AB3CC8D0"/>
    <w:lvl w:ilvl="0" w:tplc="720CDB1A">
      <w:start w:val="1"/>
      <w:numFmt w:val="lowerLetter"/>
      <w:lvlText w:val="%1)"/>
      <w:lvlJc w:val="left"/>
      <w:pPr>
        <w:ind w:left="720" w:hanging="360"/>
      </w:pPr>
      <w:rPr>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8F15A2"/>
    <w:multiLevelType w:val="hybridMultilevel"/>
    <w:tmpl w:val="6D8872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A451A3"/>
    <w:multiLevelType w:val="hybridMultilevel"/>
    <w:tmpl w:val="A09E3D90"/>
    <w:lvl w:ilvl="0" w:tplc="34FE768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25"/>
  </w:num>
  <w:num w:numId="2">
    <w:abstractNumId w:val="15"/>
  </w:num>
  <w:num w:numId="3">
    <w:abstractNumId w:val="21"/>
  </w:num>
  <w:num w:numId="4">
    <w:abstractNumId w:val="4"/>
  </w:num>
  <w:num w:numId="5">
    <w:abstractNumId w:val="18"/>
  </w:num>
  <w:num w:numId="6">
    <w:abstractNumId w:val="22"/>
  </w:num>
  <w:num w:numId="7">
    <w:abstractNumId w:val="6"/>
  </w:num>
  <w:num w:numId="8">
    <w:abstractNumId w:val="20"/>
  </w:num>
  <w:num w:numId="9">
    <w:abstractNumId w:val="5"/>
  </w:num>
  <w:num w:numId="10">
    <w:abstractNumId w:val="2"/>
  </w:num>
  <w:num w:numId="11">
    <w:abstractNumId w:val="10"/>
  </w:num>
  <w:num w:numId="12">
    <w:abstractNumId w:val="13"/>
  </w:num>
  <w:num w:numId="13">
    <w:abstractNumId w:val="0"/>
  </w:num>
  <w:num w:numId="14">
    <w:abstractNumId w:val="11"/>
  </w:num>
  <w:num w:numId="15">
    <w:abstractNumId w:val="12"/>
  </w:num>
  <w:num w:numId="16">
    <w:abstractNumId w:val="17"/>
  </w:num>
  <w:num w:numId="17">
    <w:abstractNumId w:val="16"/>
  </w:num>
  <w:num w:numId="18">
    <w:abstractNumId w:val="3"/>
  </w:num>
  <w:num w:numId="19">
    <w:abstractNumId w:val="7"/>
  </w:num>
  <w:num w:numId="20">
    <w:abstractNumId w:val="9"/>
  </w:num>
  <w:num w:numId="21">
    <w:abstractNumId w:val="1"/>
  </w:num>
  <w:num w:numId="22">
    <w:abstractNumId w:val="24"/>
  </w:num>
  <w:num w:numId="23">
    <w:abstractNumId w:val="23"/>
  </w:num>
  <w:num w:numId="24">
    <w:abstractNumId w:val="19"/>
  </w:num>
  <w:num w:numId="25">
    <w:abstractNumId w:val="8"/>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A617B"/>
    <w:rsid w:val="00005C8F"/>
    <w:rsid w:val="000267D6"/>
    <w:rsid w:val="000303EB"/>
    <w:rsid w:val="00044B08"/>
    <w:rsid w:val="00050A2D"/>
    <w:rsid w:val="00067460"/>
    <w:rsid w:val="00067485"/>
    <w:rsid w:val="000729C8"/>
    <w:rsid w:val="00082309"/>
    <w:rsid w:val="00092AFE"/>
    <w:rsid w:val="000A53EA"/>
    <w:rsid w:val="000D0442"/>
    <w:rsid w:val="000D48C4"/>
    <w:rsid w:val="000D7340"/>
    <w:rsid w:val="00116F8C"/>
    <w:rsid w:val="00126453"/>
    <w:rsid w:val="00126E2B"/>
    <w:rsid w:val="001333FC"/>
    <w:rsid w:val="0015761C"/>
    <w:rsid w:val="00167522"/>
    <w:rsid w:val="00172ED1"/>
    <w:rsid w:val="00176D42"/>
    <w:rsid w:val="00196103"/>
    <w:rsid w:val="00196B6F"/>
    <w:rsid w:val="001A1868"/>
    <w:rsid w:val="001B2DDC"/>
    <w:rsid w:val="001C2FFE"/>
    <w:rsid w:val="001D3ECF"/>
    <w:rsid w:val="001E56FD"/>
    <w:rsid w:val="001F104B"/>
    <w:rsid w:val="00200299"/>
    <w:rsid w:val="00211FFA"/>
    <w:rsid w:val="0021247B"/>
    <w:rsid w:val="00224550"/>
    <w:rsid w:val="00240020"/>
    <w:rsid w:val="0024275B"/>
    <w:rsid w:val="002508DC"/>
    <w:rsid w:val="00262843"/>
    <w:rsid w:val="0028402F"/>
    <w:rsid w:val="0028492A"/>
    <w:rsid w:val="00291E24"/>
    <w:rsid w:val="00293000"/>
    <w:rsid w:val="002C784A"/>
    <w:rsid w:val="002F07AF"/>
    <w:rsid w:val="003061AC"/>
    <w:rsid w:val="00322F83"/>
    <w:rsid w:val="00342A1E"/>
    <w:rsid w:val="00344346"/>
    <w:rsid w:val="00350FD8"/>
    <w:rsid w:val="00360FB6"/>
    <w:rsid w:val="00366262"/>
    <w:rsid w:val="00373DB1"/>
    <w:rsid w:val="00391E23"/>
    <w:rsid w:val="003927BD"/>
    <w:rsid w:val="003A0EDF"/>
    <w:rsid w:val="003A7D39"/>
    <w:rsid w:val="003B3176"/>
    <w:rsid w:val="003B6125"/>
    <w:rsid w:val="003D6610"/>
    <w:rsid w:val="003E2AF9"/>
    <w:rsid w:val="003F33A4"/>
    <w:rsid w:val="004125DE"/>
    <w:rsid w:val="0041389D"/>
    <w:rsid w:val="00463395"/>
    <w:rsid w:val="00464E5C"/>
    <w:rsid w:val="00467168"/>
    <w:rsid w:val="004676ED"/>
    <w:rsid w:val="00470BA9"/>
    <w:rsid w:val="00472409"/>
    <w:rsid w:val="00473A7D"/>
    <w:rsid w:val="00476C2A"/>
    <w:rsid w:val="004841D2"/>
    <w:rsid w:val="0049313F"/>
    <w:rsid w:val="0049705F"/>
    <w:rsid w:val="004A20B6"/>
    <w:rsid w:val="004A2787"/>
    <w:rsid w:val="004C6B31"/>
    <w:rsid w:val="004D2C7E"/>
    <w:rsid w:val="004D3463"/>
    <w:rsid w:val="004E4D8E"/>
    <w:rsid w:val="004E6F92"/>
    <w:rsid w:val="004F3CBC"/>
    <w:rsid w:val="0050242C"/>
    <w:rsid w:val="0050369D"/>
    <w:rsid w:val="00507772"/>
    <w:rsid w:val="005220B2"/>
    <w:rsid w:val="00537B3E"/>
    <w:rsid w:val="00546E92"/>
    <w:rsid w:val="0055444E"/>
    <w:rsid w:val="005567C3"/>
    <w:rsid w:val="00556D79"/>
    <w:rsid w:val="005603E3"/>
    <w:rsid w:val="005B0FE0"/>
    <w:rsid w:val="005B17E0"/>
    <w:rsid w:val="005B2DDE"/>
    <w:rsid w:val="005C196C"/>
    <w:rsid w:val="005D6779"/>
    <w:rsid w:val="005D6DD2"/>
    <w:rsid w:val="005D7E90"/>
    <w:rsid w:val="005F0BF4"/>
    <w:rsid w:val="005F67D2"/>
    <w:rsid w:val="0060668C"/>
    <w:rsid w:val="006207A5"/>
    <w:rsid w:val="0064081D"/>
    <w:rsid w:val="006471DA"/>
    <w:rsid w:val="0065611B"/>
    <w:rsid w:val="006564F5"/>
    <w:rsid w:val="006611C9"/>
    <w:rsid w:val="00662F4F"/>
    <w:rsid w:val="0066589D"/>
    <w:rsid w:val="00670805"/>
    <w:rsid w:val="006A07C8"/>
    <w:rsid w:val="006A2CBB"/>
    <w:rsid w:val="006A3CD3"/>
    <w:rsid w:val="006A6FFF"/>
    <w:rsid w:val="006C0B27"/>
    <w:rsid w:val="006C114E"/>
    <w:rsid w:val="006C2D3D"/>
    <w:rsid w:val="006D18E0"/>
    <w:rsid w:val="006D66F0"/>
    <w:rsid w:val="006D6831"/>
    <w:rsid w:val="006E0DB7"/>
    <w:rsid w:val="006E2FA3"/>
    <w:rsid w:val="00702456"/>
    <w:rsid w:val="00724174"/>
    <w:rsid w:val="0072650C"/>
    <w:rsid w:val="00733BE3"/>
    <w:rsid w:val="00752E50"/>
    <w:rsid w:val="00757906"/>
    <w:rsid w:val="00776E46"/>
    <w:rsid w:val="007A5767"/>
    <w:rsid w:val="007A5906"/>
    <w:rsid w:val="007C4274"/>
    <w:rsid w:val="007D2777"/>
    <w:rsid w:val="007E1C3A"/>
    <w:rsid w:val="007E4F9D"/>
    <w:rsid w:val="007F3011"/>
    <w:rsid w:val="00800AB3"/>
    <w:rsid w:val="008029F7"/>
    <w:rsid w:val="0080616C"/>
    <w:rsid w:val="00814490"/>
    <w:rsid w:val="00817C82"/>
    <w:rsid w:val="0082462E"/>
    <w:rsid w:val="008250ED"/>
    <w:rsid w:val="00840DF6"/>
    <w:rsid w:val="008577C5"/>
    <w:rsid w:val="00860B5F"/>
    <w:rsid w:val="00883AF3"/>
    <w:rsid w:val="00894564"/>
    <w:rsid w:val="008A10DB"/>
    <w:rsid w:val="008B2FB9"/>
    <w:rsid w:val="008C0997"/>
    <w:rsid w:val="008D00C7"/>
    <w:rsid w:val="008E5C50"/>
    <w:rsid w:val="00914402"/>
    <w:rsid w:val="00927CBE"/>
    <w:rsid w:val="00931F56"/>
    <w:rsid w:val="009320BF"/>
    <w:rsid w:val="009345F0"/>
    <w:rsid w:val="00943259"/>
    <w:rsid w:val="00957AA6"/>
    <w:rsid w:val="00965BC3"/>
    <w:rsid w:val="009774C8"/>
    <w:rsid w:val="009811AD"/>
    <w:rsid w:val="009813D9"/>
    <w:rsid w:val="009A42DC"/>
    <w:rsid w:val="009B1041"/>
    <w:rsid w:val="009C1EAE"/>
    <w:rsid w:val="009D196E"/>
    <w:rsid w:val="00A05188"/>
    <w:rsid w:val="00A103C2"/>
    <w:rsid w:val="00A3195E"/>
    <w:rsid w:val="00A33A9D"/>
    <w:rsid w:val="00A368EB"/>
    <w:rsid w:val="00A57929"/>
    <w:rsid w:val="00A832E4"/>
    <w:rsid w:val="00A961A3"/>
    <w:rsid w:val="00AA086B"/>
    <w:rsid w:val="00AA735E"/>
    <w:rsid w:val="00AB2932"/>
    <w:rsid w:val="00AB72F8"/>
    <w:rsid w:val="00AC207E"/>
    <w:rsid w:val="00AF11FF"/>
    <w:rsid w:val="00AF3FD3"/>
    <w:rsid w:val="00AF4DBF"/>
    <w:rsid w:val="00B25020"/>
    <w:rsid w:val="00B30891"/>
    <w:rsid w:val="00B31915"/>
    <w:rsid w:val="00B331F3"/>
    <w:rsid w:val="00B612A6"/>
    <w:rsid w:val="00B70541"/>
    <w:rsid w:val="00B71644"/>
    <w:rsid w:val="00B718DF"/>
    <w:rsid w:val="00B739FC"/>
    <w:rsid w:val="00B73C4B"/>
    <w:rsid w:val="00B84419"/>
    <w:rsid w:val="00B85325"/>
    <w:rsid w:val="00B85558"/>
    <w:rsid w:val="00B85CE9"/>
    <w:rsid w:val="00B9156E"/>
    <w:rsid w:val="00B9221A"/>
    <w:rsid w:val="00BA3135"/>
    <w:rsid w:val="00BA617B"/>
    <w:rsid w:val="00BB5937"/>
    <w:rsid w:val="00BB7F1A"/>
    <w:rsid w:val="00BE369B"/>
    <w:rsid w:val="00BE639F"/>
    <w:rsid w:val="00C000BA"/>
    <w:rsid w:val="00C01CA5"/>
    <w:rsid w:val="00C055D2"/>
    <w:rsid w:val="00C1444A"/>
    <w:rsid w:val="00C17BA7"/>
    <w:rsid w:val="00C40D87"/>
    <w:rsid w:val="00C438F3"/>
    <w:rsid w:val="00C43F0C"/>
    <w:rsid w:val="00C45D86"/>
    <w:rsid w:val="00C50151"/>
    <w:rsid w:val="00C576B3"/>
    <w:rsid w:val="00C644A6"/>
    <w:rsid w:val="00C83F4D"/>
    <w:rsid w:val="00C867A0"/>
    <w:rsid w:val="00C87283"/>
    <w:rsid w:val="00C90C5B"/>
    <w:rsid w:val="00C95EAB"/>
    <w:rsid w:val="00CA21F3"/>
    <w:rsid w:val="00CA315F"/>
    <w:rsid w:val="00CA434F"/>
    <w:rsid w:val="00CB2495"/>
    <w:rsid w:val="00CB49E8"/>
    <w:rsid w:val="00CB6844"/>
    <w:rsid w:val="00CC42CB"/>
    <w:rsid w:val="00CC4631"/>
    <w:rsid w:val="00D12293"/>
    <w:rsid w:val="00D24453"/>
    <w:rsid w:val="00D25DB1"/>
    <w:rsid w:val="00D37C30"/>
    <w:rsid w:val="00D436D9"/>
    <w:rsid w:val="00D43825"/>
    <w:rsid w:val="00D67602"/>
    <w:rsid w:val="00D8057C"/>
    <w:rsid w:val="00D908DA"/>
    <w:rsid w:val="00D91240"/>
    <w:rsid w:val="00D9239F"/>
    <w:rsid w:val="00DA44F7"/>
    <w:rsid w:val="00DB5EAB"/>
    <w:rsid w:val="00DD01CB"/>
    <w:rsid w:val="00DD3869"/>
    <w:rsid w:val="00DD41F3"/>
    <w:rsid w:val="00DF4D83"/>
    <w:rsid w:val="00DF5D67"/>
    <w:rsid w:val="00DF6CD7"/>
    <w:rsid w:val="00DF7740"/>
    <w:rsid w:val="00E04998"/>
    <w:rsid w:val="00E1762A"/>
    <w:rsid w:val="00E355AB"/>
    <w:rsid w:val="00E44288"/>
    <w:rsid w:val="00E45627"/>
    <w:rsid w:val="00E50301"/>
    <w:rsid w:val="00E57089"/>
    <w:rsid w:val="00E667E3"/>
    <w:rsid w:val="00E95AA4"/>
    <w:rsid w:val="00ED3977"/>
    <w:rsid w:val="00F14320"/>
    <w:rsid w:val="00F15A6F"/>
    <w:rsid w:val="00F3201E"/>
    <w:rsid w:val="00F3398D"/>
    <w:rsid w:val="00F45AD4"/>
    <w:rsid w:val="00F721A4"/>
    <w:rsid w:val="00F73D6D"/>
    <w:rsid w:val="00FB1317"/>
    <w:rsid w:val="00FB7BB2"/>
    <w:rsid w:val="00FD2B8F"/>
    <w:rsid w:val="00FE750D"/>
    <w:rsid w:val="00FF5F9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B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17B"/>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BA617B"/>
    <w:rPr>
      <w:sz w:val="24"/>
      <w:szCs w:val="24"/>
      <w:lang w:val="es-ES_tradnl"/>
    </w:rPr>
  </w:style>
  <w:style w:type="character" w:styleId="Nmerodepgina">
    <w:name w:val="page number"/>
    <w:basedOn w:val="Fuentedeprrafopredeter"/>
    <w:uiPriority w:val="99"/>
    <w:semiHidden/>
    <w:unhideWhenUsed/>
    <w:rsid w:val="00BA617B"/>
  </w:style>
  <w:style w:type="paragraph" w:styleId="Piedepgina">
    <w:name w:val="footer"/>
    <w:basedOn w:val="Normal"/>
    <w:link w:val="PiedepginaCar"/>
    <w:uiPriority w:val="99"/>
    <w:unhideWhenUsed/>
    <w:rsid w:val="004931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13F"/>
  </w:style>
  <w:style w:type="paragraph" w:styleId="Prrafodelista">
    <w:name w:val="List Paragraph"/>
    <w:basedOn w:val="Normal"/>
    <w:uiPriority w:val="34"/>
    <w:qFormat/>
    <w:rsid w:val="00670805"/>
    <w:pPr>
      <w:ind w:left="720"/>
      <w:contextualSpacing/>
    </w:pPr>
  </w:style>
  <w:style w:type="paragraph" w:styleId="Textoindependiente">
    <w:name w:val="Body Text"/>
    <w:basedOn w:val="Normal"/>
    <w:link w:val="TextoindependienteCar"/>
    <w:rsid w:val="005C196C"/>
    <w:pPr>
      <w:spacing w:after="0" w:line="240" w:lineRule="auto"/>
      <w:jc w:val="both"/>
    </w:pPr>
    <w:rPr>
      <w:rFonts w:ascii="Times New Roman" w:eastAsia="Calibri"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C196C"/>
    <w:rPr>
      <w:rFonts w:ascii="Times New Roman" w:eastAsia="Calibri" w:hAnsi="Times New Roman" w:cs="Times New Roman"/>
      <w:sz w:val="24"/>
      <w:szCs w:val="20"/>
      <w:lang w:val="es-ES" w:eastAsia="es-ES"/>
    </w:rPr>
  </w:style>
  <w:style w:type="table" w:styleId="Tablaconcuadrcula">
    <w:name w:val="Table Grid"/>
    <w:basedOn w:val="Tablanormal"/>
    <w:uiPriority w:val="59"/>
    <w:rsid w:val="00E35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A315F"/>
    <w:rPr>
      <w:i/>
      <w:iCs/>
    </w:rPr>
  </w:style>
  <w:style w:type="character" w:styleId="Hipervnculo">
    <w:name w:val="Hyperlink"/>
    <w:basedOn w:val="Fuentedeprrafopredeter"/>
    <w:uiPriority w:val="99"/>
    <w:unhideWhenUsed/>
    <w:rsid w:val="00F3201E"/>
    <w:rPr>
      <w:color w:val="0000FF"/>
      <w:u w:val="single"/>
    </w:rPr>
  </w:style>
  <w:style w:type="character" w:customStyle="1" w:styleId="UnresolvedMention">
    <w:name w:val="Unresolved Mention"/>
    <w:basedOn w:val="Fuentedeprrafopredeter"/>
    <w:uiPriority w:val="99"/>
    <w:semiHidden/>
    <w:unhideWhenUsed/>
    <w:rsid w:val="004A20B6"/>
    <w:rPr>
      <w:color w:val="605E5C"/>
      <w:shd w:val="clear" w:color="auto" w:fill="E1DFDD"/>
    </w:rPr>
  </w:style>
  <w:style w:type="paragraph" w:customStyle="1" w:styleId="text-right">
    <w:name w:val="text-right"/>
    <w:basedOn w:val="Normal"/>
    <w:rsid w:val="00D8057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8057C"/>
    <w:rPr>
      <w:b/>
      <w:bCs/>
    </w:rPr>
  </w:style>
  <w:style w:type="paragraph" w:customStyle="1" w:styleId="text-center">
    <w:name w:val="text-center"/>
    <w:basedOn w:val="Normal"/>
    <w:rsid w:val="00D8057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548347551">
      <w:bodyDiv w:val="1"/>
      <w:marLeft w:val="0"/>
      <w:marRight w:val="0"/>
      <w:marTop w:val="0"/>
      <w:marBottom w:val="0"/>
      <w:divBdr>
        <w:top w:val="none" w:sz="0" w:space="0" w:color="auto"/>
        <w:left w:val="none" w:sz="0" w:space="0" w:color="auto"/>
        <w:bottom w:val="none" w:sz="0" w:space="0" w:color="auto"/>
        <w:right w:val="none" w:sz="0" w:space="0" w:color="auto"/>
      </w:divBdr>
      <w:divsChild>
        <w:div w:id="1596934917">
          <w:marLeft w:val="0"/>
          <w:marRight w:val="0"/>
          <w:marTop w:val="0"/>
          <w:marBottom w:val="0"/>
          <w:divBdr>
            <w:top w:val="none" w:sz="0" w:space="0" w:color="auto"/>
            <w:left w:val="none" w:sz="0" w:space="0" w:color="auto"/>
            <w:bottom w:val="none" w:sz="0" w:space="0" w:color="auto"/>
            <w:right w:val="none" w:sz="0" w:space="0" w:color="auto"/>
          </w:divBdr>
          <w:divsChild>
            <w:div w:id="939407830">
              <w:marLeft w:val="0"/>
              <w:marRight w:val="0"/>
              <w:marTop w:val="0"/>
              <w:marBottom w:val="0"/>
              <w:divBdr>
                <w:top w:val="none" w:sz="0" w:space="0" w:color="auto"/>
                <w:left w:val="none" w:sz="0" w:space="0" w:color="auto"/>
                <w:bottom w:val="none" w:sz="0" w:space="0" w:color="auto"/>
                <w:right w:val="none" w:sz="0" w:space="0" w:color="auto"/>
              </w:divBdr>
              <w:divsChild>
                <w:div w:id="311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7430">
      <w:bodyDiv w:val="1"/>
      <w:marLeft w:val="0"/>
      <w:marRight w:val="0"/>
      <w:marTop w:val="0"/>
      <w:marBottom w:val="0"/>
      <w:divBdr>
        <w:top w:val="none" w:sz="0" w:space="0" w:color="auto"/>
        <w:left w:val="none" w:sz="0" w:space="0" w:color="auto"/>
        <w:bottom w:val="none" w:sz="0" w:space="0" w:color="auto"/>
        <w:right w:val="none" w:sz="0" w:space="0" w:color="auto"/>
      </w:divBdr>
      <w:divsChild>
        <w:div w:id="1687365220">
          <w:marLeft w:val="0"/>
          <w:marRight w:val="0"/>
          <w:marTop w:val="0"/>
          <w:marBottom w:val="0"/>
          <w:divBdr>
            <w:top w:val="none" w:sz="0" w:space="0" w:color="auto"/>
            <w:left w:val="none" w:sz="0" w:space="0" w:color="auto"/>
            <w:bottom w:val="none" w:sz="0" w:space="0" w:color="auto"/>
            <w:right w:val="none" w:sz="0" w:space="0" w:color="auto"/>
          </w:divBdr>
          <w:divsChild>
            <w:div w:id="686054566">
              <w:marLeft w:val="0"/>
              <w:marRight w:val="0"/>
              <w:marTop w:val="0"/>
              <w:marBottom w:val="0"/>
              <w:divBdr>
                <w:top w:val="none" w:sz="0" w:space="0" w:color="auto"/>
                <w:left w:val="none" w:sz="0" w:space="0" w:color="auto"/>
                <w:bottom w:val="none" w:sz="0" w:space="0" w:color="auto"/>
                <w:right w:val="none" w:sz="0" w:space="0" w:color="auto"/>
              </w:divBdr>
            </w:div>
          </w:divsChild>
        </w:div>
        <w:div w:id="1415202321">
          <w:marLeft w:val="0"/>
          <w:marRight w:val="0"/>
          <w:marTop w:val="0"/>
          <w:marBottom w:val="0"/>
          <w:divBdr>
            <w:top w:val="none" w:sz="0" w:space="0" w:color="auto"/>
            <w:left w:val="none" w:sz="0" w:space="0" w:color="auto"/>
            <w:bottom w:val="none" w:sz="0" w:space="0" w:color="auto"/>
            <w:right w:val="none" w:sz="0" w:space="0" w:color="auto"/>
          </w:divBdr>
          <w:divsChild>
            <w:div w:id="13724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6523">
      <w:bodyDiv w:val="1"/>
      <w:marLeft w:val="0"/>
      <w:marRight w:val="0"/>
      <w:marTop w:val="0"/>
      <w:marBottom w:val="0"/>
      <w:divBdr>
        <w:top w:val="none" w:sz="0" w:space="0" w:color="auto"/>
        <w:left w:val="none" w:sz="0" w:space="0" w:color="auto"/>
        <w:bottom w:val="none" w:sz="0" w:space="0" w:color="auto"/>
        <w:right w:val="none" w:sz="0" w:space="0" w:color="auto"/>
      </w:divBdr>
      <w:divsChild>
        <w:div w:id="1352798584">
          <w:marLeft w:val="0"/>
          <w:marRight w:val="0"/>
          <w:marTop w:val="0"/>
          <w:marBottom w:val="0"/>
          <w:divBdr>
            <w:top w:val="none" w:sz="0" w:space="0" w:color="auto"/>
            <w:left w:val="none" w:sz="0" w:space="0" w:color="auto"/>
            <w:bottom w:val="none" w:sz="0" w:space="0" w:color="auto"/>
            <w:right w:val="none" w:sz="0" w:space="0" w:color="auto"/>
          </w:divBdr>
          <w:divsChild>
            <w:div w:id="1622952961">
              <w:marLeft w:val="0"/>
              <w:marRight w:val="0"/>
              <w:marTop w:val="0"/>
              <w:marBottom w:val="0"/>
              <w:divBdr>
                <w:top w:val="none" w:sz="0" w:space="0" w:color="auto"/>
                <w:left w:val="none" w:sz="0" w:space="0" w:color="auto"/>
                <w:bottom w:val="none" w:sz="0" w:space="0" w:color="auto"/>
                <w:right w:val="none" w:sz="0" w:space="0" w:color="auto"/>
              </w:divBdr>
              <w:divsChild>
                <w:div w:id="693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58559">
      <w:bodyDiv w:val="1"/>
      <w:marLeft w:val="0"/>
      <w:marRight w:val="0"/>
      <w:marTop w:val="0"/>
      <w:marBottom w:val="0"/>
      <w:divBdr>
        <w:top w:val="none" w:sz="0" w:space="0" w:color="auto"/>
        <w:left w:val="none" w:sz="0" w:space="0" w:color="auto"/>
        <w:bottom w:val="none" w:sz="0" w:space="0" w:color="auto"/>
        <w:right w:val="none" w:sz="0" w:space="0" w:color="auto"/>
      </w:divBdr>
      <w:divsChild>
        <w:div w:id="679887900">
          <w:marLeft w:val="5171"/>
          <w:marRight w:val="0"/>
          <w:marTop w:val="0"/>
          <w:marBottom w:val="0"/>
          <w:divBdr>
            <w:top w:val="none" w:sz="0" w:space="0" w:color="auto"/>
            <w:left w:val="none" w:sz="0" w:space="0" w:color="auto"/>
            <w:bottom w:val="none" w:sz="0" w:space="0" w:color="auto"/>
            <w:right w:val="none" w:sz="0" w:space="0" w:color="auto"/>
          </w:divBdr>
        </w:div>
        <w:div w:id="1941715726">
          <w:marLeft w:val="5171"/>
          <w:marRight w:val="0"/>
          <w:marTop w:val="0"/>
          <w:marBottom w:val="0"/>
          <w:divBdr>
            <w:top w:val="none" w:sz="0" w:space="0" w:color="auto"/>
            <w:left w:val="none" w:sz="0" w:space="0" w:color="auto"/>
            <w:bottom w:val="none" w:sz="0" w:space="0" w:color="auto"/>
            <w:right w:val="none" w:sz="0" w:space="0" w:color="auto"/>
          </w:divBdr>
        </w:div>
      </w:divsChild>
    </w:div>
    <w:div w:id="765616843">
      <w:bodyDiv w:val="1"/>
      <w:marLeft w:val="0"/>
      <w:marRight w:val="0"/>
      <w:marTop w:val="0"/>
      <w:marBottom w:val="0"/>
      <w:divBdr>
        <w:top w:val="none" w:sz="0" w:space="0" w:color="auto"/>
        <w:left w:val="none" w:sz="0" w:space="0" w:color="auto"/>
        <w:bottom w:val="none" w:sz="0" w:space="0" w:color="auto"/>
        <w:right w:val="none" w:sz="0" w:space="0" w:color="auto"/>
      </w:divBdr>
      <w:divsChild>
        <w:div w:id="1359507778">
          <w:marLeft w:val="0"/>
          <w:marRight w:val="0"/>
          <w:marTop w:val="0"/>
          <w:marBottom w:val="0"/>
          <w:divBdr>
            <w:top w:val="none" w:sz="0" w:space="0" w:color="auto"/>
            <w:left w:val="none" w:sz="0" w:space="0" w:color="auto"/>
            <w:bottom w:val="none" w:sz="0" w:space="0" w:color="auto"/>
            <w:right w:val="none" w:sz="0" w:space="0" w:color="auto"/>
          </w:divBdr>
          <w:divsChild>
            <w:div w:id="1772890407">
              <w:marLeft w:val="0"/>
              <w:marRight w:val="0"/>
              <w:marTop w:val="0"/>
              <w:marBottom w:val="0"/>
              <w:divBdr>
                <w:top w:val="none" w:sz="0" w:space="0" w:color="auto"/>
                <w:left w:val="none" w:sz="0" w:space="0" w:color="auto"/>
                <w:bottom w:val="none" w:sz="0" w:space="0" w:color="auto"/>
                <w:right w:val="none" w:sz="0" w:space="0" w:color="auto"/>
              </w:divBdr>
              <w:divsChild>
                <w:div w:id="17816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2497">
      <w:bodyDiv w:val="1"/>
      <w:marLeft w:val="0"/>
      <w:marRight w:val="0"/>
      <w:marTop w:val="0"/>
      <w:marBottom w:val="0"/>
      <w:divBdr>
        <w:top w:val="none" w:sz="0" w:space="0" w:color="auto"/>
        <w:left w:val="none" w:sz="0" w:space="0" w:color="auto"/>
        <w:bottom w:val="none" w:sz="0" w:space="0" w:color="auto"/>
        <w:right w:val="none" w:sz="0" w:space="0" w:color="auto"/>
      </w:divBdr>
      <w:divsChild>
        <w:div w:id="2009557534">
          <w:marLeft w:val="0"/>
          <w:marRight w:val="0"/>
          <w:marTop w:val="0"/>
          <w:marBottom w:val="0"/>
          <w:divBdr>
            <w:top w:val="none" w:sz="0" w:space="0" w:color="auto"/>
            <w:left w:val="none" w:sz="0" w:space="0" w:color="auto"/>
            <w:bottom w:val="none" w:sz="0" w:space="0" w:color="auto"/>
            <w:right w:val="none" w:sz="0" w:space="0" w:color="auto"/>
          </w:divBdr>
          <w:divsChild>
            <w:div w:id="490095907">
              <w:marLeft w:val="0"/>
              <w:marRight w:val="0"/>
              <w:marTop w:val="0"/>
              <w:marBottom w:val="0"/>
              <w:divBdr>
                <w:top w:val="none" w:sz="0" w:space="0" w:color="auto"/>
                <w:left w:val="none" w:sz="0" w:space="0" w:color="auto"/>
                <w:bottom w:val="none" w:sz="0" w:space="0" w:color="auto"/>
                <w:right w:val="none" w:sz="0" w:space="0" w:color="auto"/>
              </w:divBdr>
              <w:divsChild>
                <w:div w:id="15574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33731">
      <w:bodyDiv w:val="1"/>
      <w:marLeft w:val="0"/>
      <w:marRight w:val="0"/>
      <w:marTop w:val="0"/>
      <w:marBottom w:val="0"/>
      <w:divBdr>
        <w:top w:val="none" w:sz="0" w:space="0" w:color="auto"/>
        <w:left w:val="none" w:sz="0" w:space="0" w:color="auto"/>
        <w:bottom w:val="none" w:sz="0" w:space="0" w:color="auto"/>
        <w:right w:val="none" w:sz="0" w:space="0" w:color="auto"/>
      </w:divBdr>
    </w:div>
    <w:div w:id="1446264463">
      <w:bodyDiv w:val="1"/>
      <w:marLeft w:val="0"/>
      <w:marRight w:val="0"/>
      <w:marTop w:val="0"/>
      <w:marBottom w:val="0"/>
      <w:divBdr>
        <w:top w:val="none" w:sz="0" w:space="0" w:color="auto"/>
        <w:left w:val="none" w:sz="0" w:space="0" w:color="auto"/>
        <w:bottom w:val="none" w:sz="0" w:space="0" w:color="auto"/>
        <w:right w:val="none" w:sz="0" w:space="0" w:color="auto"/>
      </w:divBdr>
      <w:divsChild>
        <w:div w:id="723871433">
          <w:marLeft w:val="0"/>
          <w:marRight w:val="0"/>
          <w:marTop w:val="0"/>
          <w:marBottom w:val="0"/>
          <w:divBdr>
            <w:top w:val="none" w:sz="0" w:space="0" w:color="auto"/>
            <w:left w:val="none" w:sz="0" w:space="0" w:color="auto"/>
            <w:bottom w:val="none" w:sz="0" w:space="0" w:color="auto"/>
            <w:right w:val="none" w:sz="0" w:space="0" w:color="auto"/>
          </w:divBdr>
          <w:divsChild>
            <w:div w:id="172955754">
              <w:marLeft w:val="0"/>
              <w:marRight w:val="0"/>
              <w:marTop w:val="0"/>
              <w:marBottom w:val="0"/>
              <w:divBdr>
                <w:top w:val="none" w:sz="0" w:space="0" w:color="auto"/>
                <w:left w:val="none" w:sz="0" w:space="0" w:color="auto"/>
                <w:bottom w:val="none" w:sz="0" w:space="0" w:color="auto"/>
                <w:right w:val="none" w:sz="0" w:space="0" w:color="auto"/>
              </w:divBdr>
              <w:divsChild>
                <w:div w:id="21276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4310">
      <w:bodyDiv w:val="1"/>
      <w:marLeft w:val="0"/>
      <w:marRight w:val="0"/>
      <w:marTop w:val="0"/>
      <w:marBottom w:val="0"/>
      <w:divBdr>
        <w:top w:val="none" w:sz="0" w:space="0" w:color="auto"/>
        <w:left w:val="none" w:sz="0" w:space="0" w:color="auto"/>
        <w:bottom w:val="none" w:sz="0" w:space="0" w:color="auto"/>
        <w:right w:val="none" w:sz="0" w:space="0" w:color="auto"/>
      </w:divBdr>
    </w:div>
    <w:div w:id="1796481812">
      <w:bodyDiv w:val="1"/>
      <w:marLeft w:val="0"/>
      <w:marRight w:val="0"/>
      <w:marTop w:val="0"/>
      <w:marBottom w:val="0"/>
      <w:divBdr>
        <w:top w:val="none" w:sz="0" w:space="0" w:color="auto"/>
        <w:left w:val="none" w:sz="0" w:space="0" w:color="auto"/>
        <w:bottom w:val="none" w:sz="0" w:space="0" w:color="auto"/>
        <w:right w:val="none" w:sz="0" w:space="0" w:color="auto"/>
      </w:divBdr>
      <w:divsChild>
        <w:div w:id="76564459">
          <w:marLeft w:val="0"/>
          <w:marRight w:val="0"/>
          <w:marTop w:val="0"/>
          <w:marBottom w:val="0"/>
          <w:divBdr>
            <w:top w:val="none" w:sz="0" w:space="0" w:color="auto"/>
            <w:left w:val="none" w:sz="0" w:space="0" w:color="auto"/>
            <w:bottom w:val="none" w:sz="0" w:space="0" w:color="auto"/>
            <w:right w:val="none" w:sz="0" w:space="0" w:color="auto"/>
          </w:divBdr>
          <w:divsChild>
            <w:div w:id="654333758">
              <w:marLeft w:val="0"/>
              <w:marRight w:val="0"/>
              <w:marTop w:val="0"/>
              <w:marBottom w:val="0"/>
              <w:divBdr>
                <w:top w:val="none" w:sz="0" w:space="0" w:color="auto"/>
                <w:left w:val="none" w:sz="0" w:space="0" w:color="auto"/>
                <w:bottom w:val="none" w:sz="0" w:space="0" w:color="auto"/>
                <w:right w:val="none" w:sz="0" w:space="0" w:color="auto"/>
              </w:divBdr>
            </w:div>
          </w:divsChild>
        </w:div>
        <w:div w:id="1736736442">
          <w:marLeft w:val="0"/>
          <w:marRight w:val="0"/>
          <w:marTop w:val="0"/>
          <w:marBottom w:val="0"/>
          <w:divBdr>
            <w:top w:val="none" w:sz="0" w:space="0" w:color="auto"/>
            <w:left w:val="none" w:sz="0" w:space="0" w:color="auto"/>
            <w:bottom w:val="none" w:sz="0" w:space="0" w:color="auto"/>
            <w:right w:val="none" w:sz="0" w:space="0" w:color="auto"/>
          </w:divBdr>
          <w:divsChild>
            <w:div w:id="800541804">
              <w:marLeft w:val="0"/>
              <w:marRight w:val="0"/>
              <w:marTop w:val="0"/>
              <w:marBottom w:val="0"/>
              <w:divBdr>
                <w:top w:val="none" w:sz="0" w:space="0" w:color="auto"/>
                <w:left w:val="none" w:sz="0" w:space="0" w:color="auto"/>
                <w:bottom w:val="none" w:sz="0" w:space="0" w:color="auto"/>
                <w:right w:val="none" w:sz="0" w:space="0" w:color="auto"/>
              </w:divBdr>
            </w:div>
          </w:divsChild>
        </w:div>
        <w:div w:id="1045182947">
          <w:marLeft w:val="0"/>
          <w:marRight w:val="0"/>
          <w:marTop w:val="0"/>
          <w:marBottom w:val="0"/>
          <w:divBdr>
            <w:top w:val="none" w:sz="0" w:space="0" w:color="auto"/>
            <w:left w:val="none" w:sz="0" w:space="0" w:color="auto"/>
            <w:bottom w:val="none" w:sz="0" w:space="0" w:color="auto"/>
            <w:right w:val="none" w:sz="0" w:space="0" w:color="auto"/>
          </w:divBdr>
          <w:divsChild>
            <w:div w:id="17161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9646">
      <w:bodyDiv w:val="1"/>
      <w:marLeft w:val="0"/>
      <w:marRight w:val="0"/>
      <w:marTop w:val="0"/>
      <w:marBottom w:val="0"/>
      <w:divBdr>
        <w:top w:val="none" w:sz="0" w:space="0" w:color="auto"/>
        <w:left w:val="none" w:sz="0" w:space="0" w:color="auto"/>
        <w:bottom w:val="none" w:sz="0" w:space="0" w:color="auto"/>
        <w:right w:val="none" w:sz="0" w:space="0" w:color="auto"/>
      </w:divBdr>
      <w:divsChild>
        <w:div w:id="2092268305">
          <w:marLeft w:val="0"/>
          <w:marRight w:val="0"/>
          <w:marTop w:val="0"/>
          <w:marBottom w:val="0"/>
          <w:divBdr>
            <w:top w:val="none" w:sz="0" w:space="0" w:color="auto"/>
            <w:left w:val="none" w:sz="0" w:space="0" w:color="auto"/>
            <w:bottom w:val="none" w:sz="0" w:space="0" w:color="auto"/>
            <w:right w:val="none" w:sz="0" w:space="0" w:color="auto"/>
          </w:divBdr>
          <w:divsChild>
            <w:div w:id="2013874801">
              <w:marLeft w:val="0"/>
              <w:marRight w:val="0"/>
              <w:marTop w:val="0"/>
              <w:marBottom w:val="0"/>
              <w:divBdr>
                <w:top w:val="none" w:sz="0" w:space="0" w:color="auto"/>
                <w:left w:val="none" w:sz="0" w:space="0" w:color="auto"/>
                <w:bottom w:val="none" w:sz="0" w:space="0" w:color="auto"/>
                <w:right w:val="none" w:sz="0" w:space="0" w:color="auto"/>
              </w:divBdr>
              <w:divsChild>
                <w:div w:id="373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unwomen.org/media/field%20office%20mexico/documentos/publicaciones/2019/infografa%20violencia%20onu%20mujeres%20espaol_web.pdf?la=es&amp;vs=582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62C3-2D5C-45D3-907C-0B497584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3047</Words>
  <Characters>16760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MONTES Y ASOC</dc:creator>
  <cp:lastModifiedBy>achavez</cp:lastModifiedBy>
  <cp:revision>2</cp:revision>
  <cp:lastPrinted>2020-02-25T19:15:00Z</cp:lastPrinted>
  <dcterms:created xsi:type="dcterms:W3CDTF">2020-02-25T19:58:00Z</dcterms:created>
  <dcterms:modified xsi:type="dcterms:W3CDTF">2020-02-25T19:58:00Z</dcterms:modified>
</cp:coreProperties>
</file>