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885" w:rsidRDefault="00447885" w:rsidP="00AA0221">
      <w:pPr>
        <w:spacing w:after="0" w:line="360" w:lineRule="auto"/>
        <w:jc w:val="both"/>
        <w:rPr>
          <w:rFonts w:ascii="Arial" w:eastAsia="Times New Roman" w:hAnsi="Arial" w:cs="Arial"/>
          <w:b/>
          <w:bCs/>
          <w:color w:val="000000"/>
          <w:sz w:val="24"/>
          <w:szCs w:val="24"/>
          <w:lang w:eastAsia="es-MX"/>
        </w:rPr>
      </w:pPr>
      <w:bookmarkStart w:id="0" w:name="_GoBack"/>
      <w:bookmarkEnd w:id="0"/>
    </w:p>
    <w:p w:rsidR="00447885" w:rsidRDefault="00447885" w:rsidP="00AA0221">
      <w:pPr>
        <w:spacing w:after="0" w:line="360" w:lineRule="auto"/>
        <w:jc w:val="both"/>
        <w:rPr>
          <w:rFonts w:ascii="Arial" w:eastAsia="Times New Roman" w:hAnsi="Arial" w:cs="Arial"/>
          <w:b/>
          <w:bCs/>
          <w:color w:val="000000"/>
          <w:sz w:val="24"/>
          <w:szCs w:val="24"/>
          <w:lang w:eastAsia="es-MX"/>
        </w:rPr>
      </w:pPr>
    </w:p>
    <w:p w:rsidR="00AA0221" w:rsidRPr="00AA0221" w:rsidRDefault="00AA0221" w:rsidP="00AA0221">
      <w:pPr>
        <w:spacing w:after="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b/>
          <w:bCs/>
          <w:color w:val="000000"/>
          <w:sz w:val="24"/>
          <w:szCs w:val="24"/>
          <w:lang w:eastAsia="es-MX"/>
        </w:rPr>
        <w:t>H. CONGRESO DEL ESTADO.-</w:t>
      </w:r>
    </w:p>
    <w:p w:rsidR="00AA0221" w:rsidRPr="00AA0221" w:rsidRDefault="00AA0221" w:rsidP="00AA0221">
      <w:pPr>
        <w:spacing w:after="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b/>
          <w:bCs/>
          <w:color w:val="000000"/>
          <w:sz w:val="24"/>
          <w:szCs w:val="24"/>
          <w:lang w:eastAsia="es-MX"/>
        </w:rPr>
        <w:t>P R E S E N T E:</w:t>
      </w:r>
    </w:p>
    <w:p w:rsidR="00AA0221" w:rsidRPr="00AA0221" w:rsidRDefault="00AA0221" w:rsidP="00AA0221">
      <w:pPr>
        <w:spacing w:after="0" w:line="360" w:lineRule="auto"/>
        <w:rPr>
          <w:rFonts w:ascii="Times New Roman" w:eastAsia="Times New Roman" w:hAnsi="Times New Roman" w:cs="Times New Roman"/>
          <w:sz w:val="24"/>
          <w:szCs w:val="24"/>
          <w:lang w:eastAsia="es-MX"/>
        </w:rPr>
      </w:pPr>
    </w:p>
    <w:p w:rsidR="00AA0221" w:rsidRDefault="00AA0221" w:rsidP="00F56CE4">
      <w:pPr>
        <w:spacing w:after="0" w:line="360" w:lineRule="auto"/>
        <w:jc w:val="both"/>
        <w:rPr>
          <w:rFonts w:ascii="Arial" w:eastAsia="Times New Roman" w:hAnsi="Arial" w:cs="Arial"/>
          <w:color w:val="000000"/>
          <w:sz w:val="24"/>
          <w:szCs w:val="24"/>
          <w:lang w:eastAsia="es-MX"/>
        </w:rPr>
      </w:pPr>
      <w:r w:rsidRPr="00AA0221">
        <w:rPr>
          <w:rFonts w:ascii="Arial" w:eastAsia="Times New Roman" w:hAnsi="Arial" w:cs="Arial"/>
          <w:color w:val="201F1E"/>
          <w:sz w:val="24"/>
          <w:szCs w:val="24"/>
          <w:lang w:eastAsia="es-MX"/>
        </w:rPr>
        <w:t xml:space="preserve">El suscrito, </w:t>
      </w:r>
      <w:r w:rsidRPr="00AA0221">
        <w:rPr>
          <w:rFonts w:ascii="Arial" w:eastAsia="Times New Roman" w:hAnsi="Arial" w:cs="Arial"/>
          <w:bCs/>
          <w:color w:val="201F1E"/>
          <w:sz w:val="24"/>
          <w:szCs w:val="24"/>
          <w:lang w:eastAsia="es-MX"/>
        </w:rPr>
        <w:t>Obed Lara Chávez,</w:t>
      </w:r>
      <w:r w:rsidRPr="00AA0221">
        <w:rPr>
          <w:rFonts w:ascii="Arial" w:eastAsia="Times New Roman" w:hAnsi="Arial" w:cs="Arial"/>
          <w:color w:val="201F1E"/>
          <w:sz w:val="24"/>
          <w:szCs w:val="24"/>
          <w:lang w:eastAsia="es-MX"/>
        </w:rPr>
        <w:t xml:space="preserve"> en mi carácter de Diputado a la Sexagésima Sexta Legislatura del H. Congreso del Estado de Chihuahua, e integrante del Grupo Parlamentario de Partido Encuentro Social, con fundamento en los artículos 68</w:t>
      </w:r>
      <w:r>
        <w:rPr>
          <w:rFonts w:ascii="Arial" w:eastAsia="Times New Roman" w:hAnsi="Arial" w:cs="Arial"/>
          <w:color w:val="201F1E"/>
          <w:sz w:val="24"/>
          <w:szCs w:val="24"/>
          <w:lang w:eastAsia="es-MX"/>
        </w:rPr>
        <w:t>, fracción I</w:t>
      </w:r>
      <w:r w:rsidRPr="00AA0221">
        <w:rPr>
          <w:rFonts w:ascii="Arial" w:eastAsia="Times New Roman" w:hAnsi="Arial" w:cs="Arial"/>
          <w:color w:val="201F1E"/>
          <w:sz w:val="24"/>
          <w:szCs w:val="24"/>
          <w:lang w:eastAsia="es-MX"/>
        </w:rPr>
        <w:t xml:space="preserve"> de la Constitución P</w:t>
      </w:r>
      <w:r>
        <w:rPr>
          <w:rFonts w:ascii="Arial" w:eastAsia="Times New Roman" w:hAnsi="Arial" w:cs="Arial"/>
          <w:color w:val="201F1E"/>
          <w:sz w:val="24"/>
          <w:szCs w:val="24"/>
          <w:lang w:eastAsia="es-MX"/>
        </w:rPr>
        <w:t>olítica del Estado de Chihuahua, así como 168</w:t>
      </w:r>
      <w:r w:rsidR="00447885">
        <w:rPr>
          <w:rFonts w:ascii="Arial" w:eastAsia="Times New Roman" w:hAnsi="Arial" w:cs="Arial"/>
          <w:color w:val="201F1E"/>
          <w:sz w:val="24"/>
          <w:szCs w:val="24"/>
          <w:lang w:eastAsia="es-MX"/>
        </w:rPr>
        <w:t xml:space="preserve"> y</w:t>
      </w:r>
      <w:r w:rsidR="001061B9">
        <w:rPr>
          <w:rFonts w:ascii="Arial" w:eastAsia="Times New Roman" w:hAnsi="Arial" w:cs="Arial"/>
          <w:color w:val="201F1E"/>
          <w:sz w:val="24"/>
          <w:szCs w:val="24"/>
          <w:lang w:eastAsia="es-MX"/>
        </w:rPr>
        <w:t>169</w:t>
      </w:r>
      <w:r w:rsidRPr="00AA0221">
        <w:rPr>
          <w:rFonts w:ascii="Arial" w:eastAsia="Times New Roman" w:hAnsi="Arial" w:cs="Arial"/>
          <w:color w:val="201F1E"/>
          <w:sz w:val="24"/>
          <w:szCs w:val="24"/>
          <w:lang w:eastAsia="es-MX"/>
        </w:rPr>
        <w:t xml:space="preserve"> de la Ley Orgánica del Poder Legislativo</w:t>
      </w:r>
      <w:r>
        <w:rPr>
          <w:rFonts w:ascii="Arial" w:eastAsia="Times New Roman" w:hAnsi="Arial" w:cs="Arial"/>
          <w:color w:val="201F1E"/>
          <w:sz w:val="24"/>
          <w:szCs w:val="24"/>
          <w:lang w:eastAsia="es-MX"/>
        </w:rPr>
        <w:t xml:space="preserve"> del Estado de Chihuahua</w:t>
      </w:r>
      <w:r w:rsidRPr="00AA0221">
        <w:rPr>
          <w:rFonts w:ascii="Arial" w:eastAsia="Times New Roman" w:hAnsi="Arial" w:cs="Arial"/>
          <w:color w:val="201F1E"/>
          <w:sz w:val="24"/>
          <w:szCs w:val="24"/>
          <w:lang w:eastAsia="es-MX"/>
        </w:rPr>
        <w:t xml:space="preserve">, </w:t>
      </w:r>
      <w:r>
        <w:rPr>
          <w:rFonts w:ascii="Arial" w:eastAsia="Times New Roman" w:hAnsi="Arial" w:cs="Arial"/>
          <w:color w:val="201F1E"/>
          <w:sz w:val="24"/>
          <w:szCs w:val="24"/>
          <w:lang w:eastAsia="es-MX"/>
        </w:rPr>
        <w:t>y 74 del Reglamento Interior y de Prácticas Parlamentarias d</w:t>
      </w:r>
      <w:r w:rsidRPr="00AA0221">
        <w:rPr>
          <w:rFonts w:ascii="Arial" w:eastAsia="Times New Roman" w:hAnsi="Arial" w:cs="Arial"/>
          <w:color w:val="201F1E"/>
          <w:sz w:val="24"/>
          <w:szCs w:val="24"/>
          <w:lang w:eastAsia="es-MX"/>
        </w:rPr>
        <w:t>el Poder Legislativo</w:t>
      </w:r>
      <w:r>
        <w:rPr>
          <w:rFonts w:ascii="Arial" w:eastAsia="Times New Roman" w:hAnsi="Arial" w:cs="Arial"/>
          <w:b/>
          <w:color w:val="201F1E"/>
          <w:sz w:val="24"/>
          <w:szCs w:val="24"/>
          <w:lang w:eastAsia="es-MX"/>
        </w:rPr>
        <w:t xml:space="preserve">, </w:t>
      </w:r>
      <w:r w:rsidRPr="00AA0221">
        <w:rPr>
          <w:rFonts w:ascii="Arial" w:eastAsia="Times New Roman" w:hAnsi="Arial" w:cs="Arial"/>
          <w:color w:val="201F1E"/>
          <w:sz w:val="24"/>
          <w:szCs w:val="24"/>
          <w:lang w:eastAsia="es-MX"/>
        </w:rPr>
        <w:t>me permito someter a consideración de esta</w:t>
      </w:r>
      <w:r>
        <w:rPr>
          <w:rFonts w:ascii="Arial" w:eastAsia="Times New Roman" w:hAnsi="Arial" w:cs="Arial"/>
          <w:color w:val="201F1E"/>
          <w:sz w:val="24"/>
          <w:szCs w:val="24"/>
          <w:lang w:eastAsia="es-MX"/>
        </w:rPr>
        <w:t xml:space="preserve"> Alta Representación, </w:t>
      </w:r>
      <w:r w:rsidRPr="00FE4919">
        <w:rPr>
          <w:rFonts w:ascii="Arial" w:eastAsia="Times New Roman" w:hAnsi="Arial" w:cs="Arial"/>
          <w:b/>
          <w:color w:val="201F1E"/>
          <w:sz w:val="24"/>
          <w:szCs w:val="24"/>
          <w:lang w:eastAsia="es-MX"/>
        </w:rPr>
        <w:t xml:space="preserve">iniciativa </w:t>
      </w:r>
      <w:r w:rsidR="00447885">
        <w:rPr>
          <w:rFonts w:ascii="Arial" w:eastAsia="Times New Roman" w:hAnsi="Arial" w:cs="Arial"/>
          <w:b/>
          <w:color w:val="201F1E"/>
          <w:sz w:val="24"/>
          <w:szCs w:val="24"/>
          <w:lang w:eastAsia="es-MX"/>
        </w:rPr>
        <w:t>de</w:t>
      </w:r>
      <w:r w:rsidRPr="00FE4919">
        <w:rPr>
          <w:rFonts w:ascii="Arial" w:eastAsia="Times New Roman" w:hAnsi="Arial" w:cs="Arial"/>
          <w:b/>
          <w:color w:val="201F1E"/>
          <w:sz w:val="24"/>
          <w:szCs w:val="24"/>
          <w:lang w:eastAsia="es-MX"/>
        </w:rPr>
        <w:t xml:space="preserve"> Punto de Acuerdo </w:t>
      </w:r>
      <w:r w:rsidRPr="00FE4919">
        <w:rPr>
          <w:rFonts w:ascii="Arial" w:eastAsia="Times New Roman" w:hAnsi="Arial" w:cs="Arial"/>
          <w:b/>
          <w:color w:val="000000"/>
          <w:sz w:val="24"/>
          <w:szCs w:val="24"/>
          <w:lang w:eastAsia="es-MX"/>
        </w:rPr>
        <w:t xml:space="preserve">a fin de </w:t>
      </w:r>
      <w:r w:rsidR="003C2796" w:rsidRPr="00FE4919">
        <w:rPr>
          <w:rFonts w:ascii="Arial" w:eastAsia="Times New Roman" w:hAnsi="Arial" w:cs="Arial"/>
          <w:b/>
          <w:color w:val="000000"/>
          <w:sz w:val="24"/>
          <w:szCs w:val="24"/>
          <w:lang w:eastAsia="es-MX"/>
        </w:rPr>
        <w:t>que se lleve a cabo el establecimiento de</w:t>
      </w:r>
      <w:r w:rsidRPr="00FE4919">
        <w:rPr>
          <w:rFonts w:ascii="Arial" w:eastAsia="Times New Roman" w:hAnsi="Arial" w:cs="Arial"/>
          <w:b/>
          <w:color w:val="000000"/>
          <w:sz w:val="24"/>
          <w:szCs w:val="24"/>
          <w:lang w:eastAsia="es-MX"/>
        </w:rPr>
        <w:t xml:space="preserve"> una mesa técnica especializada en el análisis y armonización de la legislación local con la reciente Ley Nacional de </w:t>
      </w:r>
      <w:r w:rsidR="00FE4919" w:rsidRPr="00FE4919">
        <w:rPr>
          <w:rFonts w:ascii="Arial" w:eastAsia="Times New Roman" w:hAnsi="Arial" w:cs="Arial"/>
          <w:b/>
          <w:color w:val="000000"/>
          <w:sz w:val="24"/>
          <w:szCs w:val="24"/>
          <w:lang w:eastAsia="es-MX"/>
        </w:rPr>
        <w:t>Extinción de Dominio</w:t>
      </w:r>
      <w:r w:rsidRPr="00AA0221">
        <w:rPr>
          <w:rFonts w:ascii="Arial" w:eastAsia="Times New Roman" w:hAnsi="Arial" w:cs="Arial"/>
          <w:color w:val="000000"/>
          <w:sz w:val="24"/>
          <w:szCs w:val="24"/>
          <w:lang w:eastAsia="es-MX"/>
        </w:rPr>
        <w:t>. Lo anterior al tenor de la siguiente:</w:t>
      </w:r>
    </w:p>
    <w:p w:rsidR="00F56CE4" w:rsidRPr="00AA0221" w:rsidRDefault="00F56CE4" w:rsidP="00F56CE4">
      <w:pPr>
        <w:spacing w:after="0" w:line="360" w:lineRule="auto"/>
        <w:jc w:val="both"/>
        <w:rPr>
          <w:rFonts w:ascii="Arial" w:eastAsia="Times New Roman" w:hAnsi="Arial" w:cs="Arial"/>
          <w:b/>
          <w:color w:val="201F1E"/>
          <w:sz w:val="24"/>
          <w:szCs w:val="24"/>
          <w:lang w:eastAsia="es-MX"/>
        </w:rPr>
      </w:pPr>
    </w:p>
    <w:p w:rsidR="00AA0221" w:rsidRDefault="00AA0221" w:rsidP="00F56CE4">
      <w:pPr>
        <w:spacing w:after="0" w:line="360" w:lineRule="auto"/>
        <w:jc w:val="center"/>
        <w:rPr>
          <w:rFonts w:ascii="Arial" w:eastAsia="Times New Roman" w:hAnsi="Arial" w:cs="Arial"/>
          <w:b/>
          <w:bCs/>
          <w:color w:val="000000"/>
          <w:sz w:val="24"/>
          <w:szCs w:val="24"/>
          <w:lang w:eastAsia="es-MX"/>
        </w:rPr>
      </w:pPr>
      <w:r w:rsidRPr="00AA0221">
        <w:rPr>
          <w:rFonts w:ascii="Arial" w:eastAsia="Times New Roman" w:hAnsi="Arial" w:cs="Arial"/>
          <w:b/>
          <w:bCs/>
          <w:color w:val="000000"/>
          <w:sz w:val="24"/>
          <w:szCs w:val="24"/>
          <w:lang w:eastAsia="es-MX"/>
        </w:rPr>
        <w:t>EXPOSICIÓN DE MOTIVOS:</w:t>
      </w:r>
    </w:p>
    <w:p w:rsidR="00F56CE4" w:rsidRPr="00AA0221" w:rsidRDefault="00F56CE4" w:rsidP="00F56CE4">
      <w:pPr>
        <w:spacing w:after="0" w:line="360" w:lineRule="auto"/>
        <w:jc w:val="center"/>
        <w:rPr>
          <w:rFonts w:ascii="Times New Roman" w:eastAsia="Times New Roman" w:hAnsi="Times New Roman" w:cs="Times New Roman"/>
          <w:sz w:val="24"/>
          <w:szCs w:val="24"/>
          <w:lang w:eastAsia="es-MX"/>
        </w:rPr>
      </w:pPr>
    </w:p>
    <w:p w:rsidR="00AA0221" w:rsidRDefault="00AA0221" w:rsidP="00F56CE4">
      <w:pPr>
        <w:spacing w:after="0" w:line="360" w:lineRule="auto"/>
        <w:jc w:val="both"/>
        <w:rPr>
          <w:rFonts w:ascii="Arial" w:eastAsia="Times New Roman" w:hAnsi="Arial" w:cs="Arial"/>
          <w:color w:val="000000"/>
          <w:sz w:val="24"/>
          <w:szCs w:val="24"/>
          <w:lang w:eastAsia="es-MX"/>
        </w:rPr>
      </w:pPr>
      <w:r w:rsidRPr="00AA0221">
        <w:rPr>
          <w:rFonts w:ascii="Arial" w:eastAsia="Times New Roman" w:hAnsi="Arial" w:cs="Arial"/>
          <w:color w:val="000000"/>
          <w:sz w:val="24"/>
          <w:szCs w:val="24"/>
          <w:lang w:eastAsia="es-MX"/>
        </w:rPr>
        <w:t>La crisis de violencia, inseguridad e impunidad  que se vive en nuestro país genera como resultado, en muchos de los casos, el aumento de las conductas ilícitas por parte de la delincuencia organizada y origina uno de los mayores problemas, como lo es la corrupción en todos sus ámbitos. A su vez el principal motor de estas actividades es la ambición de contar con fuentes ilícitas de recursos económicos.</w:t>
      </w:r>
    </w:p>
    <w:p w:rsidR="00447885" w:rsidRDefault="00447885" w:rsidP="00F56CE4">
      <w:pPr>
        <w:spacing w:after="0" w:line="360" w:lineRule="auto"/>
        <w:jc w:val="both"/>
        <w:rPr>
          <w:rFonts w:ascii="Arial" w:eastAsia="Times New Roman" w:hAnsi="Arial" w:cs="Arial"/>
          <w:color w:val="000000"/>
          <w:sz w:val="24"/>
          <w:szCs w:val="24"/>
          <w:lang w:eastAsia="es-MX"/>
        </w:rPr>
      </w:pP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lastRenderedPageBreak/>
        <w:t>Uno de los tramos de actuación en materia de seguridad y justicia es precisamente el relacionado con la recuperación de activos de manos del crimen y sobre todo de la corrupción. La recuperación de activos se lleva a cabo fundamentalmente a través de tres procesos reconocidos en nuestros ordenamientos jurídicos, que son el decomiso, el abandono y la extinción de dominio, sin embargo aun y cuando en nuestro país se cuenta con un marco jurídico amplio, los resultados de las políticas anti lavado y de recuperación de activos son muy deficientes.</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t>Es de llamar la atención que en ámbito internacional la figura de la extinción de dominio ha dado buenos resultados, pero en México no ha logrado ser el engranaje que permita generar una estrategia de inteligencia institucional, atendiendo las causas, desmantelando las estructuras, quitándoles viabilidad financiera y finalmente, erradicando la impunidad.</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t>El estado mexicano ante la comunidad internacional sobresale como lugar de origen y destino de los diferentes fenómenos relacionados con el crimen organizado y el lavado de dinero, así como la corrupción y sus efectos que perjudican en gran medida la gobernabilidad y el desarrollo  de las naciones. En este sentido las autoridades han adoptado diversos instrumentos y tratados internacionales que contienen obligaciones para los Estados en materia de prevención y persecución de dichos actos ilícitos. </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t xml:space="preserve">Por tales motivos se han suscrito diversos tratados internacionales emitidos por la Organización de las Naciones Unidas, destacando los siguientes: Convención de las Naciones Unidas contra el Tráfico Ilícito de Estupefacientes y Sustancias Psicotrópicas; la Convención de la Naciones Unidas contra la Delincuencia Organizada Transnacional y sus tres protocolos complementarios en materia de </w:t>
      </w:r>
      <w:r w:rsidRPr="00AA0221">
        <w:rPr>
          <w:rFonts w:ascii="Arial" w:eastAsia="Times New Roman" w:hAnsi="Arial" w:cs="Arial"/>
          <w:color w:val="000000"/>
          <w:sz w:val="24"/>
          <w:szCs w:val="24"/>
          <w:lang w:eastAsia="es-MX"/>
        </w:rPr>
        <w:lastRenderedPageBreak/>
        <w:t>Trata de Personas, Tráfico de Migrantes y Tráfico Ilícito de Armas, así como la Convención de Naciones Unidas Contra la Corrupción.</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t>Dentro de ese contexto convencional, la Oficina de Naciones Unidas para la Droga y el Delito (ONUDD) elaboró la denominada Ley Modelo de Extinción de Dominio, que tiene como objetivo el servir como una directriz legislativa y de estandarización a efecto de que los miembros de la comunidad internacional den cuenta con el desarrollo de procedimientos que, en un estricto régimen de respeto a los derechos humanos, sean idóneos y proporcionales en materia de Extinción de Dominio.</w:t>
      </w:r>
    </w:p>
    <w:p w:rsidR="00A077C7" w:rsidRDefault="00FE4919" w:rsidP="00AA0221">
      <w:pPr>
        <w:spacing w:before="240" w:after="24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E</w:t>
      </w:r>
      <w:r w:rsidR="00AA0221" w:rsidRPr="00AA0221">
        <w:rPr>
          <w:rFonts w:ascii="Arial" w:eastAsia="Times New Roman" w:hAnsi="Arial" w:cs="Arial"/>
          <w:color w:val="000000"/>
          <w:sz w:val="24"/>
          <w:szCs w:val="24"/>
          <w:lang w:eastAsia="es-MX"/>
        </w:rPr>
        <w:t xml:space="preserve">s importante destacar y aplaudir el ejercicio de consenso que se dio en fechas recientes en el Congreso de la Unión para lograr la expedición de la nueva </w:t>
      </w:r>
      <w:r w:rsidR="00AA0221" w:rsidRPr="00AA0221">
        <w:rPr>
          <w:rFonts w:ascii="Arial" w:eastAsia="Times New Roman" w:hAnsi="Arial" w:cs="Arial"/>
          <w:i/>
          <w:iCs/>
          <w:color w:val="000000"/>
          <w:sz w:val="24"/>
          <w:szCs w:val="24"/>
          <w:lang w:eastAsia="es-MX"/>
        </w:rPr>
        <w:t>Ley Nacional de Extinción de Dominio,</w:t>
      </w:r>
      <w:r w:rsidR="00AA0221" w:rsidRPr="00AA0221">
        <w:rPr>
          <w:rFonts w:ascii="Arial" w:eastAsia="Times New Roman" w:hAnsi="Arial" w:cs="Arial"/>
          <w:color w:val="000000"/>
          <w:sz w:val="24"/>
          <w:szCs w:val="24"/>
          <w:lang w:eastAsia="es-MX"/>
        </w:rPr>
        <w:t xml:space="preserve"> la cual fue publicada en el Diario Oficial de la Federación el d</w:t>
      </w:r>
      <w:r w:rsidR="00A077C7">
        <w:rPr>
          <w:rFonts w:ascii="Arial" w:eastAsia="Times New Roman" w:hAnsi="Arial" w:cs="Arial"/>
          <w:color w:val="000000"/>
          <w:sz w:val="24"/>
          <w:szCs w:val="24"/>
          <w:lang w:eastAsia="es-MX"/>
        </w:rPr>
        <w:t>ía 9 de agosto del presente año.</w:t>
      </w:r>
      <w:r w:rsidR="00AA0221" w:rsidRPr="00AA0221">
        <w:rPr>
          <w:rFonts w:ascii="Arial" w:eastAsia="Times New Roman" w:hAnsi="Arial" w:cs="Arial"/>
          <w:color w:val="000000"/>
          <w:sz w:val="24"/>
          <w:szCs w:val="24"/>
          <w:lang w:eastAsia="es-MX"/>
        </w:rPr>
        <w:t xml:space="preserve"> </w:t>
      </w:r>
    </w:p>
    <w:p w:rsidR="00AA0221" w:rsidRPr="00AA0221" w:rsidRDefault="00FE4919" w:rsidP="00AA0221">
      <w:pPr>
        <w:spacing w:before="240" w:after="240" w:line="360" w:lineRule="auto"/>
        <w:jc w:val="both"/>
        <w:rPr>
          <w:rFonts w:ascii="Times New Roman" w:eastAsia="Times New Roman" w:hAnsi="Times New Roman" w:cs="Times New Roman"/>
          <w:sz w:val="24"/>
          <w:szCs w:val="24"/>
          <w:lang w:eastAsia="es-MX"/>
        </w:rPr>
      </w:pPr>
      <w:r>
        <w:rPr>
          <w:rFonts w:ascii="Arial" w:eastAsia="Times New Roman" w:hAnsi="Arial" w:cs="Arial"/>
          <w:color w:val="000000"/>
          <w:sz w:val="24"/>
          <w:szCs w:val="24"/>
          <w:lang w:eastAsia="es-MX"/>
        </w:rPr>
        <w:t>É</w:t>
      </w:r>
      <w:r w:rsidR="00AA0221" w:rsidRPr="00AA0221">
        <w:rPr>
          <w:rFonts w:ascii="Arial" w:eastAsia="Times New Roman" w:hAnsi="Arial" w:cs="Arial"/>
          <w:color w:val="000000"/>
          <w:sz w:val="24"/>
          <w:szCs w:val="24"/>
          <w:lang w:eastAsia="es-MX"/>
        </w:rPr>
        <w:t xml:space="preserve">ste Decreto, en su artículo transitorio </w:t>
      </w:r>
      <w:r w:rsidR="00A077C7">
        <w:rPr>
          <w:rFonts w:ascii="Arial" w:eastAsia="Times New Roman" w:hAnsi="Arial" w:cs="Arial"/>
          <w:color w:val="000000"/>
          <w:sz w:val="24"/>
          <w:szCs w:val="24"/>
          <w:lang w:eastAsia="es-MX"/>
        </w:rPr>
        <w:t xml:space="preserve">primero abroga las leyes de extinción de dominio de las Entidades Federativas, mientras que en el artículo transitorio </w:t>
      </w:r>
      <w:r w:rsidR="00AA0221" w:rsidRPr="00AA0221">
        <w:rPr>
          <w:rFonts w:ascii="Arial" w:eastAsia="Times New Roman" w:hAnsi="Arial" w:cs="Arial"/>
          <w:color w:val="000000"/>
          <w:sz w:val="24"/>
          <w:szCs w:val="24"/>
          <w:lang w:eastAsia="es-MX"/>
        </w:rPr>
        <w:t xml:space="preserve">tercero, concede un plazo que no excederá de ciento ochenta días contados a partir de su entrada en vigor para que las Legislaturas de </w:t>
      </w:r>
      <w:r w:rsidR="00A077C7">
        <w:rPr>
          <w:rFonts w:ascii="Arial" w:eastAsia="Times New Roman" w:hAnsi="Arial" w:cs="Arial"/>
          <w:color w:val="000000"/>
          <w:sz w:val="24"/>
          <w:szCs w:val="24"/>
          <w:lang w:eastAsia="es-MX"/>
        </w:rPr>
        <w:t xml:space="preserve">los Estados </w:t>
      </w:r>
      <w:r w:rsidR="00AA0221" w:rsidRPr="00AA0221">
        <w:rPr>
          <w:rFonts w:ascii="Arial" w:eastAsia="Times New Roman" w:hAnsi="Arial" w:cs="Arial"/>
          <w:color w:val="000000"/>
          <w:sz w:val="24"/>
          <w:szCs w:val="24"/>
          <w:lang w:eastAsia="es-MX"/>
        </w:rPr>
        <w:t>armonicen la legislación respectiva con citada Ley.</w:t>
      </w:r>
    </w:p>
    <w:p w:rsidR="00AA0221" w:rsidRDefault="00FE4919" w:rsidP="00AA0221">
      <w:pPr>
        <w:spacing w:before="240" w:after="24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C</w:t>
      </w:r>
      <w:r w:rsidR="00AA0221" w:rsidRPr="00AA0221">
        <w:rPr>
          <w:rFonts w:ascii="Arial" w:eastAsia="Times New Roman" w:hAnsi="Arial" w:cs="Arial"/>
          <w:color w:val="000000"/>
          <w:sz w:val="24"/>
          <w:szCs w:val="24"/>
          <w:lang w:eastAsia="es-MX"/>
        </w:rPr>
        <w:t>on l</w:t>
      </w:r>
      <w:r>
        <w:rPr>
          <w:rFonts w:ascii="Arial" w:eastAsia="Times New Roman" w:hAnsi="Arial" w:cs="Arial"/>
          <w:color w:val="000000"/>
          <w:sz w:val="24"/>
          <w:szCs w:val="24"/>
          <w:lang w:eastAsia="es-MX"/>
        </w:rPr>
        <w:t>a finalidad de que la presente L</w:t>
      </w:r>
      <w:r w:rsidR="00AA0221" w:rsidRPr="00AA0221">
        <w:rPr>
          <w:rFonts w:ascii="Arial" w:eastAsia="Times New Roman" w:hAnsi="Arial" w:cs="Arial"/>
          <w:color w:val="000000"/>
          <w:sz w:val="24"/>
          <w:szCs w:val="24"/>
          <w:lang w:eastAsia="es-MX"/>
        </w:rPr>
        <w:t xml:space="preserve">egislatura avance en dar cumplimiento a ésta disposición, pero sobre todo a fin de armonizar el ordenamiento legal estatal en la materia para fortalecer la figura jurídica de extinción de dominio, su procedimiento, así como los mecanismos para la administración de los bienes sujetos a dicho proceso, es que solicito ante esta Tribuna la creación de una mesa técnica especializada en el análisis y armonización local acorde a la reciente Ley Nacional </w:t>
      </w:r>
      <w:r w:rsidR="00AA0221" w:rsidRPr="00AA0221">
        <w:rPr>
          <w:rFonts w:ascii="Arial" w:eastAsia="Times New Roman" w:hAnsi="Arial" w:cs="Arial"/>
          <w:color w:val="000000"/>
          <w:sz w:val="24"/>
          <w:szCs w:val="24"/>
          <w:lang w:eastAsia="es-MX"/>
        </w:rPr>
        <w:lastRenderedPageBreak/>
        <w:t>de Extinción de Dominio, además porque del plazo concedido ya ha transcurrido más de la mitad y a la fecha no se han observado avances.</w:t>
      </w:r>
    </w:p>
    <w:p w:rsidR="00FE4919" w:rsidRDefault="00FD7BBC" w:rsidP="00AA0221">
      <w:pPr>
        <w:spacing w:before="240" w:after="240" w:line="360" w:lineRule="auto"/>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La Comisión Nacional de los Derechos Humanos</w:t>
      </w:r>
      <w:r w:rsidR="00A7138B">
        <w:rPr>
          <w:rFonts w:ascii="Arial" w:eastAsia="Times New Roman" w:hAnsi="Arial" w:cs="Arial"/>
          <w:color w:val="000000"/>
          <w:sz w:val="24"/>
          <w:szCs w:val="24"/>
          <w:lang w:eastAsia="es-MX"/>
        </w:rPr>
        <w:t>, el 9 de septiembre del año en curso,</w:t>
      </w:r>
      <w:r>
        <w:rPr>
          <w:rFonts w:ascii="Arial" w:eastAsia="Times New Roman" w:hAnsi="Arial" w:cs="Arial"/>
          <w:color w:val="000000"/>
          <w:sz w:val="24"/>
          <w:szCs w:val="24"/>
          <w:lang w:eastAsia="es-MX"/>
        </w:rPr>
        <w:t xml:space="preserve"> promovió demanda de acción de inconstitucionalidad </w:t>
      </w:r>
      <w:r w:rsidR="00A7138B">
        <w:rPr>
          <w:rFonts w:ascii="Arial" w:eastAsia="Times New Roman" w:hAnsi="Arial" w:cs="Arial"/>
          <w:color w:val="000000"/>
          <w:sz w:val="24"/>
          <w:szCs w:val="24"/>
          <w:lang w:eastAsia="es-MX"/>
        </w:rPr>
        <w:t>por considerar la invalidez de 12 artículos de la Ley en comento, en particular los artículos 1,2,5,7,9,11,15,16,173,177,190,228, y el sexto transitorio, considerando violados los derechos de: seguridad jurídica, acceso a la información pública, a la propiedad, a la protección de datos personales, a la tutela judicial efectiva, al debido proceso, así como a los principios de legalidad, máxima publicidad, irretroactividad de la ley, de Supremacía Constitucional y por último la obligación del Estado de respetar y proteger los derechos humanos.</w:t>
      </w:r>
      <w:r w:rsidR="00FE4919">
        <w:rPr>
          <w:rFonts w:ascii="Arial" w:eastAsia="Times New Roman" w:hAnsi="Arial" w:cs="Arial"/>
          <w:color w:val="000000"/>
          <w:sz w:val="24"/>
          <w:szCs w:val="24"/>
          <w:lang w:eastAsia="es-MX"/>
        </w:rPr>
        <w:t xml:space="preserve">  Estos son sólo algunos de los asuntos que prevalecen sujetos a discusión, </w:t>
      </w:r>
      <w:r w:rsidR="00674948">
        <w:rPr>
          <w:rFonts w:ascii="Arial" w:eastAsia="Times New Roman" w:hAnsi="Arial" w:cs="Arial"/>
          <w:color w:val="000000"/>
          <w:sz w:val="24"/>
          <w:szCs w:val="24"/>
          <w:lang w:eastAsia="es-MX"/>
        </w:rPr>
        <w:t xml:space="preserve">sin embargo </w:t>
      </w:r>
      <w:r w:rsidR="00FE4919">
        <w:rPr>
          <w:rFonts w:ascii="Arial" w:eastAsia="Times New Roman" w:hAnsi="Arial" w:cs="Arial"/>
          <w:color w:val="000000"/>
          <w:sz w:val="24"/>
          <w:szCs w:val="24"/>
          <w:lang w:eastAsia="es-MX"/>
        </w:rPr>
        <w:t>la ley se encuentra vigente y resulta necesario comenzar con el análisis a fondo de éste tema en Chihuahua, para determinar lo que se estime más conveniente en la entidad.</w:t>
      </w:r>
    </w:p>
    <w:p w:rsidR="00AA0221" w:rsidRPr="00FE4919" w:rsidRDefault="00AA0221" w:rsidP="00AA0221">
      <w:pPr>
        <w:spacing w:before="240" w:after="240" w:line="360" w:lineRule="auto"/>
        <w:jc w:val="both"/>
        <w:rPr>
          <w:rFonts w:ascii="Arial" w:eastAsia="Times New Roman" w:hAnsi="Arial" w:cs="Arial"/>
          <w:color w:val="000000"/>
          <w:sz w:val="24"/>
          <w:szCs w:val="24"/>
          <w:lang w:eastAsia="es-MX"/>
        </w:rPr>
      </w:pPr>
      <w:r w:rsidRPr="00AA0221">
        <w:rPr>
          <w:rFonts w:ascii="Arial" w:eastAsia="Times New Roman" w:hAnsi="Arial" w:cs="Arial"/>
          <w:color w:val="000000"/>
          <w:sz w:val="24"/>
          <w:szCs w:val="24"/>
          <w:lang w:eastAsia="es-MX"/>
        </w:rPr>
        <w:t xml:space="preserve">Lo anterior atendiendo a la realidad actual de la sociedad, a fin de hacer frente a la delincuencia que afecta a varios sectores de la población, con el objeto de fortalecer el combate al crimen organizado, así como perseguir los delitos de corrupción, para continuar </w:t>
      </w:r>
      <w:r w:rsidR="006E2CEE" w:rsidRPr="00AA0221">
        <w:rPr>
          <w:rFonts w:ascii="Arial" w:eastAsia="Times New Roman" w:hAnsi="Arial" w:cs="Arial"/>
          <w:color w:val="000000"/>
          <w:sz w:val="24"/>
          <w:szCs w:val="24"/>
          <w:lang w:eastAsia="es-MX"/>
        </w:rPr>
        <w:t>mejorando</w:t>
      </w:r>
      <w:r w:rsidRPr="00AA0221">
        <w:rPr>
          <w:rFonts w:ascii="Arial" w:eastAsia="Times New Roman" w:hAnsi="Arial" w:cs="Arial"/>
          <w:color w:val="000000"/>
          <w:sz w:val="24"/>
          <w:szCs w:val="24"/>
          <w:lang w:eastAsia="es-MX"/>
        </w:rPr>
        <w:t xml:space="preserve"> la estrategia de seguridad pública y procuración de justicia que requiere nuestro Estado.</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t>Es tarea de todos el seguir combatiendo al crimen y la corrupción en todos sus ámbitos, por eso la importancia de implementar nuevas disposiciones jurídicas acordes a las necesidades de la propia sociedad, dotando a las autoridades de instrumentos más eficientes para erradicar a fondo este tipo de actividades ilícitas que por tantos años han lastimado y ofendido a la población.</w:t>
      </w:r>
    </w:p>
    <w:p w:rsidR="00520DFE" w:rsidRDefault="00AA0221" w:rsidP="00AA0221">
      <w:pPr>
        <w:spacing w:before="240" w:after="240" w:line="360" w:lineRule="auto"/>
        <w:jc w:val="both"/>
        <w:rPr>
          <w:rFonts w:ascii="Arial" w:eastAsia="Times New Roman" w:hAnsi="Arial" w:cs="Arial"/>
          <w:color w:val="000000"/>
          <w:sz w:val="24"/>
          <w:szCs w:val="24"/>
          <w:lang w:eastAsia="es-MX"/>
        </w:rPr>
      </w:pPr>
      <w:r w:rsidRPr="00AA0221">
        <w:rPr>
          <w:rFonts w:ascii="Arial" w:eastAsia="Times New Roman" w:hAnsi="Arial" w:cs="Arial"/>
          <w:color w:val="000000"/>
          <w:sz w:val="24"/>
          <w:szCs w:val="24"/>
          <w:lang w:eastAsia="es-MX"/>
        </w:rPr>
        <w:lastRenderedPageBreak/>
        <w:t>La</w:t>
      </w:r>
      <w:r w:rsidR="00FD7BBC">
        <w:rPr>
          <w:rFonts w:ascii="Arial" w:eastAsia="Times New Roman" w:hAnsi="Arial" w:cs="Arial"/>
          <w:color w:val="000000"/>
          <w:sz w:val="24"/>
          <w:szCs w:val="24"/>
          <w:lang w:eastAsia="es-MX"/>
        </w:rPr>
        <w:t xml:space="preserve"> sociedad civil organizada y</w:t>
      </w:r>
      <w:r w:rsidRPr="00AA0221">
        <w:rPr>
          <w:rFonts w:ascii="Arial" w:eastAsia="Times New Roman" w:hAnsi="Arial" w:cs="Arial"/>
          <w:color w:val="000000"/>
          <w:sz w:val="24"/>
          <w:szCs w:val="24"/>
          <w:lang w:eastAsia="es-MX"/>
        </w:rPr>
        <w:t xml:space="preserve"> diversas autoridades relacionadas con el tema están muy involucradas e interesadas en el seguimiento y estudio de la nueva Ley Nacional de Extinción de Dominio, ya que como todos sabemos desde el mes de agosto del presente año está vigente dicho ordenamiento jurídico, el cual incluye como figura relevante, entre otros, la extinción de dominio de los bienes producto de la </w:t>
      </w:r>
      <w:r w:rsidR="003C2796" w:rsidRPr="003C2796">
        <w:rPr>
          <w:rFonts w:ascii="Arial" w:eastAsia="Times New Roman" w:hAnsi="Arial" w:cs="Arial"/>
          <w:b/>
          <w:color w:val="000000"/>
          <w:sz w:val="24"/>
          <w:szCs w:val="24"/>
          <w:lang w:eastAsia="es-MX"/>
        </w:rPr>
        <w:t>corrupción</w:t>
      </w:r>
      <w:r w:rsidRPr="00AA0221">
        <w:rPr>
          <w:rFonts w:ascii="Arial" w:eastAsia="Times New Roman" w:hAnsi="Arial" w:cs="Arial"/>
          <w:color w:val="000000"/>
          <w:sz w:val="24"/>
          <w:szCs w:val="24"/>
          <w:lang w:eastAsia="es-MX"/>
        </w:rPr>
        <w:t xml:space="preserve"> y resulta muy importante por su agresividad, el empezar a pegar de manera directa a la economía sostenida por estas prácticas que tanto dañan el patrimonio de los chihuahuenses. </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t>Por eso los invito compañeros, a que nos sumemos a ésta inquietud y no perdamos más tiempo en la conformación de estas mesas de armonización de la mano de la sociedad civil organizada, ya que contamos con esta arma jurídica para lograrlo y el interés de un gran número de profesionistas y expertos en el tema de seguir participando activamente y aportando recursos intelectuales y materiales para complementar este tipo de iniciativas.</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color w:val="000000"/>
          <w:sz w:val="24"/>
          <w:szCs w:val="24"/>
          <w:lang w:eastAsia="es-MX"/>
        </w:rPr>
        <w:t>Por lo anteriormente expuesto y con fundamento en los artículos señalados, me permito someter a consideración de ésta Honorable Asamble</w:t>
      </w:r>
      <w:r w:rsidR="003C2796">
        <w:rPr>
          <w:rFonts w:ascii="Arial" w:eastAsia="Times New Roman" w:hAnsi="Arial" w:cs="Arial"/>
          <w:color w:val="000000"/>
          <w:sz w:val="24"/>
          <w:szCs w:val="24"/>
          <w:lang w:eastAsia="es-MX"/>
        </w:rPr>
        <w:t>a</w:t>
      </w:r>
      <w:r w:rsidRPr="00AA0221">
        <w:rPr>
          <w:rFonts w:ascii="Arial" w:eastAsia="Times New Roman" w:hAnsi="Arial" w:cs="Arial"/>
          <w:color w:val="000000"/>
          <w:sz w:val="24"/>
          <w:szCs w:val="24"/>
          <w:lang w:eastAsia="es-MX"/>
        </w:rPr>
        <w:t xml:space="preserve"> el siguiente </w:t>
      </w:r>
      <w:r w:rsidR="003C2796">
        <w:rPr>
          <w:rFonts w:ascii="Arial" w:eastAsia="Times New Roman" w:hAnsi="Arial" w:cs="Arial"/>
          <w:color w:val="000000"/>
          <w:sz w:val="24"/>
          <w:szCs w:val="24"/>
          <w:lang w:eastAsia="es-MX"/>
        </w:rPr>
        <w:t xml:space="preserve">Punto </w:t>
      </w:r>
      <w:r w:rsidRPr="00AA0221">
        <w:rPr>
          <w:rFonts w:ascii="Arial" w:eastAsia="Times New Roman" w:hAnsi="Arial" w:cs="Arial"/>
          <w:color w:val="000000"/>
          <w:sz w:val="24"/>
          <w:szCs w:val="24"/>
          <w:lang w:eastAsia="es-MX"/>
        </w:rPr>
        <w:t>de:</w:t>
      </w:r>
    </w:p>
    <w:p w:rsidR="00AA0221" w:rsidRPr="00AA0221" w:rsidRDefault="00AA0221" w:rsidP="00AA0221">
      <w:pPr>
        <w:spacing w:before="240" w:after="240" w:line="360" w:lineRule="auto"/>
        <w:jc w:val="center"/>
        <w:rPr>
          <w:rFonts w:ascii="Times New Roman" w:eastAsia="Times New Roman" w:hAnsi="Times New Roman" w:cs="Times New Roman"/>
          <w:sz w:val="24"/>
          <w:szCs w:val="24"/>
          <w:lang w:eastAsia="es-MX"/>
        </w:rPr>
      </w:pPr>
      <w:r w:rsidRPr="00AA0221">
        <w:rPr>
          <w:rFonts w:ascii="Arial" w:eastAsia="Times New Roman" w:hAnsi="Arial" w:cs="Arial"/>
          <w:b/>
          <w:bCs/>
          <w:color w:val="000000"/>
          <w:sz w:val="24"/>
          <w:szCs w:val="24"/>
          <w:lang w:eastAsia="es-MX"/>
        </w:rPr>
        <w:t>ACUERDO:</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b/>
          <w:bCs/>
          <w:color w:val="000000"/>
          <w:sz w:val="24"/>
          <w:szCs w:val="24"/>
          <w:lang w:eastAsia="es-MX"/>
        </w:rPr>
        <w:t>ÚNICO.-</w:t>
      </w:r>
      <w:r w:rsidRPr="00AA0221">
        <w:rPr>
          <w:rFonts w:ascii="Arial" w:eastAsia="Times New Roman" w:hAnsi="Arial" w:cs="Arial"/>
          <w:color w:val="000000"/>
          <w:sz w:val="24"/>
          <w:szCs w:val="24"/>
          <w:lang w:eastAsia="es-MX"/>
        </w:rPr>
        <w:t xml:space="preserve"> La Sexagésima Sexta Legislatura del H. Congreso del Estado insta respetuosamente a la Junta de Coordinación Política, adopte las medidas necesarias a efecto de establecer formalmente </w:t>
      </w:r>
      <w:r w:rsidR="003C2796">
        <w:rPr>
          <w:rFonts w:ascii="Arial" w:eastAsia="Times New Roman" w:hAnsi="Arial" w:cs="Arial"/>
          <w:color w:val="000000"/>
          <w:sz w:val="24"/>
          <w:szCs w:val="24"/>
          <w:lang w:eastAsia="es-MX"/>
        </w:rPr>
        <w:t xml:space="preserve">una </w:t>
      </w:r>
      <w:r w:rsidRPr="00AA0221">
        <w:rPr>
          <w:rFonts w:ascii="Arial" w:eastAsia="Times New Roman" w:hAnsi="Arial" w:cs="Arial"/>
          <w:color w:val="000000"/>
          <w:sz w:val="24"/>
          <w:szCs w:val="24"/>
          <w:lang w:eastAsia="es-MX"/>
        </w:rPr>
        <w:t>mesa técnica especializada en el análisis y armonización de la legislación local con la reciente Ley Nacional de Extinción de Dominio, dado que su entrada en vigor abroga la Ley del Estado en la materia, y el plazo para generar la adecuación del marco legal local está transcurriendo.</w:t>
      </w:r>
    </w:p>
    <w:p w:rsidR="00AA0221" w:rsidRPr="00AA0221" w:rsidRDefault="00AA0221" w:rsidP="00AA0221">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b/>
          <w:color w:val="000000"/>
          <w:sz w:val="24"/>
          <w:szCs w:val="24"/>
          <w:lang w:eastAsia="es-MX"/>
        </w:rPr>
        <w:lastRenderedPageBreak/>
        <w:t>ECONÓMICO.-</w:t>
      </w:r>
      <w:r w:rsidRPr="00AA0221">
        <w:rPr>
          <w:rFonts w:ascii="Arial" w:eastAsia="Times New Roman" w:hAnsi="Arial" w:cs="Arial"/>
          <w:color w:val="000000"/>
          <w:sz w:val="24"/>
          <w:szCs w:val="24"/>
          <w:lang w:eastAsia="es-MX"/>
        </w:rPr>
        <w:t xml:space="preserve"> Aprobado que sea, </w:t>
      </w:r>
      <w:r w:rsidR="003C2796" w:rsidRPr="00AA0221">
        <w:rPr>
          <w:rFonts w:ascii="Arial" w:eastAsia="Times New Roman" w:hAnsi="Arial" w:cs="Arial"/>
          <w:color w:val="000000"/>
          <w:sz w:val="24"/>
          <w:szCs w:val="24"/>
          <w:lang w:eastAsia="es-MX"/>
        </w:rPr>
        <w:t>túrnese</w:t>
      </w:r>
      <w:r w:rsidRPr="00AA0221">
        <w:rPr>
          <w:rFonts w:ascii="Arial" w:eastAsia="Times New Roman" w:hAnsi="Arial" w:cs="Arial"/>
          <w:color w:val="000000"/>
          <w:sz w:val="24"/>
          <w:szCs w:val="24"/>
          <w:lang w:eastAsia="es-MX"/>
        </w:rPr>
        <w:t xml:space="preserve"> a la Secretaría a fin de que elabore la Minuta de Acuerdo correspondiente.</w:t>
      </w:r>
    </w:p>
    <w:p w:rsidR="00AA0221" w:rsidRPr="00AA0221" w:rsidRDefault="00AA0221" w:rsidP="00BE73C3">
      <w:pPr>
        <w:spacing w:before="240" w:after="240" w:line="360" w:lineRule="auto"/>
        <w:jc w:val="both"/>
        <w:rPr>
          <w:rFonts w:ascii="Times New Roman" w:eastAsia="Times New Roman" w:hAnsi="Times New Roman" w:cs="Times New Roman"/>
          <w:sz w:val="24"/>
          <w:szCs w:val="24"/>
          <w:lang w:eastAsia="es-MX"/>
        </w:rPr>
      </w:pPr>
      <w:r w:rsidRPr="00AA0221">
        <w:rPr>
          <w:rFonts w:ascii="Arial" w:eastAsia="Times New Roman" w:hAnsi="Arial" w:cs="Arial"/>
          <w:b/>
          <w:color w:val="000000"/>
          <w:sz w:val="24"/>
          <w:szCs w:val="24"/>
          <w:lang w:eastAsia="es-MX"/>
        </w:rPr>
        <w:t xml:space="preserve">DADO </w:t>
      </w:r>
      <w:r w:rsidRPr="00AA0221">
        <w:rPr>
          <w:rFonts w:ascii="Arial" w:eastAsia="Times New Roman" w:hAnsi="Arial" w:cs="Arial"/>
          <w:color w:val="000000"/>
          <w:sz w:val="24"/>
          <w:szCs w:val="24"/>
          <w:lang w:eastAsia="es-MX"/>
        </w:rPr>
        <w:t>en el Salón de Sesiones del Honorable Congreso del Estado</w:t>
      </w:r>
      <w:r w:rsidR="00520DFE">
        <w:rPr>
          <w:rFonts w:ascii="Arial" w:eastAsia="Times New Roman" w:hAnsi="Arial" w:cs="Arial"/>
          <w:color w:val="000000"/>
          <w:sz w:val="24"/>
          <w:szCs w:val="24"/>
          <w:lang w:eastAsia="es-MX"/>
        </w:rPr>
        <w:t xml:space="preserve"> de Chihuahua</w:t>
      </w:r>
      <w:r w:rsidR="00493184">
        <w:rPr>
          <w:rFonts w:ascii="Arial" w:eastAsia="Times New Roman" w:hAnsi="Arial" w:cs="Arial"/>
          <w:color w:val="000000"/>
          <w:sz w:val="24"/>
          <w:szCs w:val="24"/>
          <w:lang w:eastAsia="es-MX"/>
        </w:rPr>
        <w:t>, a los cinco</w:t>
      </w:r>
      <w:r w:rsidR="00B018A3">
        <w:rPr>
          <w:rFonts w:ascii="Arial" w:eastAsia="Times New Roman" w:hAnsi="Arial" w:cs="Arial"/>
          <w:color w:val="000000"/>
          <w:sz w:val="24"/>
          <w:szCs w:val="24"/>
          <w:lang w:eastAsia="es-MX"/>
        </w:rPr>
        <w:t xml:space="preserve"> días del mes de dic</w:t>
      </w:r>
      <w:r w:rsidRPr="00AA0221">
        <w:rPr>
          <w:rFonts w:ascii="Arial" w:eastAsia="Times New Roman" w:hAnsi="Arial" w:cs="Arial"/>
          <w:color w:val="000000"/>
          <w:sz w:val="24"/>
          <w:szCs w:val="24"/>
          <w:lang w:eastAsia="es-MX"/>
        </w:rPr>
        <w:t>iembre del año dos mil diecinueve.</w:t>
      </w:r>
    </w:p>
    <w:p w:rsidR="006E2CEE" w:rsidRDefault="006E2CEE" w:rsidP="00BE73C3">
      <w:pPr>
        <w:spacing w:before="240" w:after="240" w:line="360" w:lineRule="auto"/>
        <w:jc w:val="center"/>
        <w:rPr>
          <w:rFonts w:ascii="Arial" w:eastAsia="Times New Roman" w:hAnsi="Arial" w:cs="Arial"/>
          <w:b/>
          <w:bCs/>
          <w:color w:val="000000"/>
          <w:sz w:val="24"/>
          <w:szCs w:val="24"/>
          <w:lang w:eastAsia="es-MX"/>
        </w:rPr>
      </w:pPr>
    </w:p>
    <w:p w:rsidR="00AA0221" w:rsidRDefault="00AA0221" w:rsidP="00BE73C3">
      <w:pPr>
        <w:spacing w:before="240" w:after="240" w:line="360" w:lineRule="auto"/>
        <w:jc w:val="center"/>
        <w:rPr>
          <w:rFonts w:ascii="Arial" w:eastAsia="Times New Roman" w:hAnsi="Arial" w:cs="Arial"/>
          <w:b/>
          <w:bCs/>
          <w:color w:val="000000"/>
          <w:sz w:val="24"/>
          <w:szCs w:val="24"/>
          <w:lang w:eastAsia="es-MX"/>
        </w:rPr>
      </w:pPr>
      <w:r w:rsidRPr="00AA0221">
        <w:rPr>
          <w:rFonts w:ascii="Arial" w:eastAsia="Times New Roman" w:hAnsi="Arial" w:cs="Arial"/>
          <w:b/>
          <w:bCs/>
          <w:color w:val="000000"/>
          <w:sz w:val="24"/>
          <w:szCs w:val="24"/>
          <w:lang w:eastAsia="es-MX"/>
        </w:rPr>
        <w:t>ATENTAMENTE:</w:t>
      </w:r>
    </w:p>
    <w:p w:rsidR="006E2CEE" w:rsidRDefault="006E2CEE" w:rsidP="006E2CEE">
      <w:pPr>
        <w:spacing w:before="240" w:after="240" w:line="360" w:lineRule="auto"/>
        <w:rPr>
          <w:rFonts w:ascii="Times New Roman" w:eastAsia="Times New Roman" w:hAnsi="Times New Roman" w:cs="Times New Roman"/>
          <w:sz w:val="24"/>
          <w:szCs w:val="24"/>
          <w:lang w:eastAsia="es-MX"/>
        </w:rPr>
      </w:pPr>
    </w:p>
    <w:p w:rsidR="00FC5878" w:rsidRDefault="00FC5878" w:rsidP="006E2CEE">
      <w:pPr>
        <w:spacing w:before="240" w:after="240" w:line="360" w:lineRule="auto"/>
        <w:rPr>
          <w:rFonts w:ascii="Times New Roman" w:eastAsia="Times New Roman" w:hAnsi="Times New Roman" w:cs="Times New Roman"/>
          <w:sz w:val="24"/>
          <w:szCs w:val="24"/>
          <w:lang w:eastAsia="es-MX"/>
        </w:rPr>
      </w:pPr>
    </w:p>
    <w:p w:rsidR="00FC5878" w:rsidRDefault="00FC5878" w:rsidP="006E2CEE">
      <w:pPr>
        <w:spacing w:before="240" w:after="240" w:line="360" w:lineRule="auto"/>
        <w:rPr>
          <w:rFonts w:ascii="Times New Roman" w:eastAsia="Times New Roman" w:hAnsi="Times New Roman" w:cs="Times New Roman"/>
          <w:sz w:val="24"/>
          <w:szCs w:val="24"/>
          <w:lang w:eastAsia="es-MX"/>
        </w:rPr>
      </w:pPr>
    </w:p>
    <w:p w:rsidR="00F56CE4" w:rsidRPr="00AA0221" w:rsidRDefault="00F56CE4" w:rsidP="006E2CEE">
      <w:pPr>
        <w:spacing w:before="240" w:after="240" w:line="360" w:lineRule="auto"/>
        <w:rPr>
          <w:rFonts w:ascii="Times New Roman" w:eastAsia="Times New Roman" w:hAnsi="Times New Roman" w:cs="Times New Roman"/>
          <w:sz w:val="24"/>
          <w:szCs w:val="24"/>
          <w:lang w:eastAsia="es-MX"/>
        </w:rPr>
      </w:pPr>
    </w:p>
    <w:p w:rsidR="005A52F3" w:rsidRPr="003C2796" w:rsidRDefault="00AA0221" w:rsidP="003C2796">
      <w:pPr>
        <w:spacing w:before="240" w:after="240" w:line="360" w:lineRule="auto"/>
        <w:jc w:val="center"/>
        <w:rPr>
          <w:rFonts w:ascii="Times New Roman" w:eastAsia="Times New Roman" w:hAnsi="Times New Roman" w:cs="Times New Roman"/>
          <w:sz w:val="24"/>
          <w:szCs w:val="24"/>
          <w:lang w:eastAsia="es-MX"/>
        </w:rPr>
      </w:pPr>
      <w:r w:rsidRPr="00AA0221">
        <w:rPr>
          <w:rFonts w:ascii="Arial" w:eastAsia="Times New Roman" w:hAnsi="Arial" w:cs="Arial"/>
          <w:b/>
          <w:bCs/>
          <w:color w:val="000000"/>
          <w:sz w:val="24"/>
          <w:szCs w:val="24"/>
          <w:lang w:eastAsia="es-MX"/>
        </w:rPr>
        <w:t>DIP. OBED LARA CHÁVEZ</w:t>
      </w:r>
    </w:p>
    <w:sectPr w:rsidR="005A52F3" w:rsidRPr="003C2796" w:rsidSect="003C2796">
      <w:headerReference w:type="default" r:id="rId6"/>
      <w:footerReference w:type="default" r:id="rId7"/>
      <w:pgSz w:w="12240" w:h="15840"/>
      <w:pgMar w:top="2836" w:right="1701" w:bottom="1702"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4CF7" w:rsidRDefault="00F44CF7" w:rsidP="00CD3485">
      <w:pPr>
        <w:spacing w:after="0" w:line="240" w:lineRule="auto"/>
      </w:pPr>
      <w:r>
        <w:separator/>
      </w:r>
    </w:p>
  </w:endnote>
  <w:endnote w:type="continuationSeparator" w:id="1">
    <w:p w:rsidR="00F44CF7" w:rsidRDefault="00F44CF7" w:rsidP="00CD3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28860"/>
      <w:docPartObj>
        <w:docPartGallery w:val="Page Numbers (Bottom of Page)"/>
        <w:docPartUnique/>
      </w:docPartObj>
    </w:sdtPr>
    <w:sdtContent>
      <w:p w:rsidR="002C7286" w:rsidRDefault="001320DA">
        <w:pPr>
          <w:pStyle w:val="Piedepgina"/>
          <w:jc w:val="right"/>
        </w:pPr>
        <w:r w:rsidRPr="00F56CE4">
          <w:rPr>
            <w:rFonts w:ascii="Arial" w:hAnsi="Arial" w:cs="Arial"/>
            <w:sz w:val="20"/>
          </w:rPr>
          <w:fldChar w:fldCharType="begin"/>
        </w:r>
        <w:r w:rsidR="002C7286" w:rsidRPr="00F56CE4">
          <w:rPr>
            <w:rFonts w:ascii="Arial" w:hAnsi="Arial" w:cs="Arial"/>
            <w:sz w:val="20"/>
          </w:rPr>
          <w:instrText xml:space="preserve"> PAGE   \* MERGEFORMAT </w:instrText>
        </w:r>
        <w:r w:rsidRPr="00F56CE4">
          <w:rPr>
            <w:rFonts w:ascii="Arial" w:hAnsi="Arial" w:cs="Arial"/>
            <w:sz w:val="20"/>
          </w:rPr>
          <w:fldChar w:fldCharType="separate"/>
        </w:r>
        <w:r w:rsidR="005F4AC7">
          <w:rPr>
            <w:rFonts w:ascii="Arial" w:hAnsi="Arial" w:cs="Arial"/>
            <w:noProof/>
            <w:sz w:val="20"/>
          </w:rPr>
          <w:t>6</w:t>
        </w:r>
        <w:r w:rsidRPr="00F56CE4">
          <w:rPr>
            <w:rFonts w:ascii="Arial" w:hAnsi="Arial" w:cs="Arial"/>
            <w:sz w:val="20"/>
          </w:rPr>
          <w:fldChar w:fldCharType="end"/>
        </w:r>
      </w:p>
    </w:sdtContent>
  </w:sdt>
  <w:p w:rsidR="002C7286" w:rsidRDefault="002C728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4CF7" w:rsidRDefault="00F44CF7" w:rsidP="00CD3485">
      <w:pPr>
        <w:spacing w:after="0" w:line="240" w:lineRule="auto"/>
      </w:pPr>
      <w:r>
        <w:separator/>
      </w:r>
    </w:p>
  </w:footnote>
  <w:footnote w:type="continuationSeparator" w:id="1">
    <w:p w:rsidR="00F44CF7" w:rsidRDefault="00F44CF7" w:rsidP="00CD34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286" w:rsidRDefault="00447885" w:rsidP="00F56CE4">
    <w:pPr>
      <w:pStyle w:val="Encabezado"/>
      <w:spacing w:after="240"/>
      <w:jc w:val="right"/>
      <w:rPr>
        <w:rFonts w:ascii="Edwardian Script ITC" w:hAnsi="Edwardian Script ITC"/>
      </w:rPr>
    </w:pPr>
    <w:r>
      <w:rPr>
        <w:rFonts w:ascii="Edwardian Script ITC" w:hAnsi="Edwardian Script ITC"/>
        <w:noProof/>
        <w:lang w:eastAsia="es-MX"/>
      </w:rPr>
      <w:drawing>
        <wp:anchor distT="0" distB="0" distL="114300" distR="114300" simplePos="0" relativeHeight="251658240" behindDoc="1" locked="0" layoutInCell="1" allowOverlap="1">
          <wp:simplePos x="0" y="0"/>
          <wp:positionH relativeFrom="column">
            <wp:posOffset>-461010</wp:posOffset>
          </wp:positionH>
          <wp:positionV relativeFrom="paragraph">
            <wp:posOffset>-116205</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r w:rsidR="002C7286" w:rsidRPr="00112CF2">
      <w:rPr>
        <w:rFonts w:ascii="Edwardian Script ITC" w:hAnsi="Edwardian Script ITC"/>
      </w:rPr>
      <w:tab/>
    </w:r>
    <w:r w:rsidR="002C7286" w:rsidRPr="007F05F3">
      <w:rPr>
        <w:rFonts w:ascii="Edwardian Script ITC" w:hAnsi="Edwardian Script ITC"/>
        <w:sz w:val="24"/>
      </w:rPr>
      <w:t>“2019, Año Internacional de las Lenguas Indígenas”</w:t>
    </w:r>
  </w:p>
  <w:p w:rsidR="002C7286" w:rsidRPr="007F05F3" w:rsidRDefault="002C7286" w:rsidP="00CD3485">
    <w:pPr>
      <w:pStyle w:val="Encabezado"/>
      <w:jc w:val="right"/>
      <w:rPr>
        <w:rFonts w:ascii="Edwardian Script ITC" w:hAnsi="Edwardian Script ITC"/>
        <w:sz w:val="36"/>
      </w:rPr>
    </w:pPr>
    <w:r w:rsidRPr="007F05F3">
      <w:rPr>
        <w:rFonts w:ascii="Edwardian Script ITC" w:hAnsi="Edwardian Script ITC"/>
        <w:sz w:val="36"/>
      </w:rPr>
      <w:t>Dip. Obed Lara Chávez</w:t>
    </w:r>
  </w:p>
  <w:p w:rsidR="002C7286" w:rsidRDefault="002C7286" w:rsidP="00CD3485">
    <w:pPr>
      <w:pStyle w:val="Encabezado"/>
      <w:tabs>
        <w:tab w:val="clear" w:pos="4419"/>
        <w:tab w:val="clear" w:pos="8838"/>
        <w:tab w:val="left" w:pos="5898"/>
      </w:tabs>
    </w:pPr>
  </w:p>
  <w:p w:rsidR="002C7286" w:rsidRDefault="002C7286" w:rsidP="00CD3485">
    <w:pPr>
      <w:pStyle w:val="Encabezado"/>
    </w:pPr>
  </w:p>
  <w:p w:rsidR="002C7286" w:rsidRDefault="002C7286">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CD3485"/>
    <w:rsid w:val="000B0824"/>
    <w:rsid w:val="001061B9"/>
    <w:rsid w:val="001320DA"/>
    <w:rsid w:val="001F0012"/>
    <w:rsid w:val="002A732C"/>
    <w:rsid w:val="002C7286"/>
    <w:rsid w:val="003C2796"/>
    <w:rsid w:val="00447885"/>
    <w:rsid w:val="00493184"/>
    <w:rsid w:val="00495055"/>
    <w:rsid w:val="00520DFE"/>
    <w:rsid w:val="00524D00"/>
    <w:rsid w:val="005C5A33"/>
    <w:rsid w:val="005F4AC7"/>
    <w:rsid w:val="00610DAE"/>
    <w:rsid w:val="00674948"/>
    <w:rsid w:val="00676C3C"/>
    <w:rsid w:val="006E2CEE"/>
    <w:rsid w:val="00701851"/>
    <w:rsid w:val="007477FB"/>
    <w:rsid w:val="0082109E"/>
    <w:rsid w:val="009B0A52"/>
    <w:rsid w:val="00A077C7"/>
    <w:rsid w:val="00A62CD1"/>
    <w:rsid w:val="00A7138B"/>
    <w:rsid w:val="00AA0221"/>
    <w:rsid w:val="00B018A3"/>
    <w:rsid w:val="00B04E58"/>
    <w:rsid w:val="00B13B61"/>
    <w:rsid w:val="00B837C9"/>
    <w:rsid w:val="00BE73C3"/>
    <w:rsid w:val="00BF30DF"/>
    <w:rsid w:val="00C03B51"/>
    <w:rsid w:val="00C80E4F"/>
    <w:rsid w:val="00CD3485"/>
    <w:rsid w:val="00EC5A60"/>
    <w:rsid w:val="00F3467C"/>
    <w:rsid w:val="00F36EA1"/>
    <w:rsid w:val="00F44CF7"/>
    <w:rsid w:val="00F56CE4"/>
    <w:rsid w:val="00FC5878"/>
    <w:rsid w:val="00FC7794"/>
    <w:rsid w:val="00FD7BBC"/>
    <w:rsid w:val="00FE491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01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34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3485"/>
  </w:style>
  <w:style w:type="paragraph" w:styleId="Piedepgina">
    <w:name w:val="footer"/>
    <w:basedOn w:val="Normal"/>
    <w:link w:val="PiedepginaCar"/>
    <w:uiPriority w:val="99"/>
    <w:unhideWhenUsed/>
    <w:rsid w:val="00CD34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3485"/>
  </w:style>
  <w:style w:type="paragraph" w:styleId="NormalWeb">
    <w:name w:val="Normal (Web)"/>
    <w:basedOn w:val="Normal"/>
    <w:uiPriority w:val="99"/>
    <w:semiHidden/>
    <w:unhideWhenUsed/>
    <w:rsid w:val="00AA022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88664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1326</Words>
  <Characters>7293</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pristerrazas</dc:creator>
  <cp:lastModifiedBy>achavez</cp:lastModifiedBy>
  <cp:revision>2</cp:revision>
  <cp:lastPrinted>2019-12-05T18:00:00Z</cp:lastPrinted>
  <dcterms:created xsi:type="dcterms:W3CDTF">2019-12-09T20:41:00Z</dcterms:created>
  <dcterms:modified xsi:type="dcterms:W3CDTF">2019-12-09T20:41:00Z</dcterms:modified>
</cp:coreProperties>
</file>