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5A" w:rsidRPr="00982E5A" w:rsidRDefault="00982E5A" w:rsidP="00982E5A">
      <w:pPr>
        <w:spacing w:line="276" w:lineRule="auto"/>
        <w:rPr>
          <w:rFonts w:asciiTheme="majorHAnsi" w:eastAsia="Arial" w:hAnsiTheme="majorHAnsi" w:cstheme="majorHAnsi"/>
          <w:b/>
          <w:sz w:val="22"/>
          <w:szCs w:val="22"/>
        </w:rPr>
      </w:pPr>
      <w:bookmarkStart w:id="0" w:name="_GoBack"/>
      <w:bookmarkEnd w:id="0"/>
      <w:r w:rsidRPr="00982E5A">
        <w:rPr>
          <w:rFonts w:asciiTheme="majorHAnsi" w:eastAsia="Arial" w:hAnsiTheme="majorHAnsi" w:cstheme="majorHAnsi"/>
          <w:b/>
          <w:sz w:val="22"/>
          <w:szCs w:val="22"/>
        </w:rPr>
        <w:t>H. CONGRESO DEL ESTADO DE CHIHUAHUA</w:t>
      </w:r>
    </w:p>
    <w:p w:rsidR="00982E5A" w:rsidRPr="00982E5A" w:rsidRDefault="00982E5A" w:rsidP="00982E5A">
      <w:pPr>
        <w:spacing w:line="276" w:lineRule="auto"/>
        <w:rPr>
          <w:rFonts w:asciiTheme="majorHAnsi" w:eastAsia="Arial" w:hAnsiTheme="majorHAnsi" w:cstheme="majorHAnsi"/>
          <w:b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>P R E S E N T E.-</w:t>
      </w:r>
    </w:p>
    <w:p w:rsidR="00982E5A" w:rsidRPr="00982E5A" w:rsidRDefault="00982E5A" w:rsidP="00982E5A">
      <w:pPr>
        <w:spacing w:line="276" w:lineRule="auto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982E5A">
        <w:rPr>
          <w:rFonts w:asciiTheme="majorHAnsi" w:hAnsiTheme="majorHAnsi" w:cstheme="majorHAnsi"/>
          <w:sz w:val="22"/>
          <w:szCs w:val="22"/>
        </w:rPr>
        <w:t>El suscrito,</w:t>
      </w:r>
      <w:r w:rsidRPr="00982E5A">
        <w:rPr>
          <w:rFonts w:asciiTheme="majorHAnsi" w:hAnsiTheme="majorHAnsi" w:cstheme="majorHAnsi"/>
          <w:b/>
          <w:bCs/>
          <w:sz w:val="22"/>
          <w:szCs w:val="22"/>
        </w:rPr>
        <w:t xml:space="preserve"> GUSTAVO DE LA ROSA HICKERSON  </w:t>
      </w:r>
      <w:r w:rsidRPr="00982E5A">
        <w:rPr>
          <w:rFonts w:asciiTheme="majorHAnsi" w:eastAsia="Arial" w:hAnsiTheme="majorHAnsi" w:cstheme="majorHAnsi"/>
          <w:sz w:val="22"/>
          <w:szCs w:val="22"/>
        </w:rPr>
        <w:t>en mi carácter de Diputado de la Sexagésima Sexta Legislatura e integrante de</w:t>
      </w:r>
      <w:r w:rsidR="00AB5810">
        <w:rPr>
          <w:rFonts w:asciiTheme="majorHAnsi" w:eastAsia="Arial" w:hAnsiTheme="majorHAnsi" w:cstheme="majorHAnsi"/>
          <w:sz w:val="22"/>
          <w:szCs w:val="22"/>
        </w:rPr>
        <w:t>l Grupo Parlamentario de morena y</w:t>
      </w:r>
      <w:r w:rsidRPr="00982E5A">
        <w:rPr>
          <w:rFonts w:asciiTheme="majorHAnsi" w:eastAsia="Arial" w:hAnsiTheme="majorHAnsi" w:cstheme="majorHAnsi"/>
          <w:sz w:val="22"/>
          <w:szCs w:val="22"/>
        </w:rPr>
        <w:t xml:space="preserve"> en</w:t>
      </w:r>
      <w:r w:rsidR="00AB5810">
        <w:rPr>
          <w:rFonts w:asciiTheme="majorHAnsi" w:eastAsia="Arial" w:hAnsiTheme="majorHAnsi" w:cstheme="majorHAnsi"/>
          <w:sz w:val="22"/>
          <w:szCs w:val="22"/>
        </w:rPr>
        <w:t xml:space="preserve"> el</w:t>
      </w:r>
      <w:r w:rsidRPr="00982E5A">
        <w:rPr>
          <w:rFonts w:asciiTheme="majorHAnsi" w:eastAsia="Arial" w:hAnsiTheme="majorHAnsi" w:cstheme="majorHAnsi"/>
          <w:sz w:val="22"/>
          <w:szCs w:val="22"/>
        </w:rPr>
        <w:t xml:space="preserve"> uso de las facultades que me  co</w:t>
      </w:r>
      <w:r w:rsidR="00AB5810">
        <w:rPr>
          <w:rFonts w:asciiTheme="majorHAnsi" w:eastAsia="Arial" w:hAnsiTheme="majorHAnsi" w:cstheme="majorHAnsi"/>
          <w:sz w:val="22"/>
          <w:szCs w:val="22"/>
        </w:rPr>
        <w:t>nfiere el artículo 68 fracción I</w:t>
      </w:r>
      <w:r w:rsidRPr="00982E5A">
        <w:rPr>
          <w:rFonts w:asciiTheme="majorHAnsi" w:eastAsia="Arial" w:hAnsiTheme="majorHAnsi" w:cstheme="majorHAnsi"/>
          <w:sz w:val="22"/>
          <w:szCs w:val="22"/>
        </w:rPr>
        <w:t xml:space="preserve"> de la Constitución Política del Estado, así como los </w:t>
      </w:r>
      <w:r w:rsidR="00AB5810">
        <w:rPr>
          <w:rFonts w:asciiTheme="majorHAnsi" w:eastAsia="Arial" w:hAnsiTheme="majorHAnsi" w:cstheme="majorHAnsi"/>
          <w:sz w:val="22"/>
          <w:szCs w:val="22"/>
        </w:rPr>
        <w:t>artículos</w:t>
      </w:r>
      <w:r w:rsidRPr="00982E5A">
        <w:rPr>
          <w:rFonts w:asciiTheme="majorHAnsi" w:eastAsia="Arial" w:hAnsiTheme="majorHAnsi" w:cstheme="majorHAnsi"/>
          <w:sz w:val="22"/>
          <w:szCs w:val="22"/>
        </w:rPr>
        <w:t xml:space="preserve"> 169, 174 fracción I y 175 de la Ley Orgánica del Poder Legislativo del Estado de Chihuahua, comparezco ante esta Diputación, con el objeto de presentar punto de acuerdo con carácter de </w:t>
      </w:r>
      <w:r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>URGENTE</w:t>
      </w:r>
      <w:r w:rsidRPr="00982E5A">
        <w:rPr>
          <w:rFonts w:asciiTheme="majorHAnsi" w:eastAsia="Arial" w:hAnsiTheme="majorHAnsi" w:cstheme="majorHAnsi"/>
          <w:sz w:val="22"/>
          <w:szCs w:val="22"/>
        </w:rPr>
        <w:t xml:space="preserve"> a fin de exhortar al </w:t>
      </w:r>
      <w:r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Poder Ejecutivo 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>del Estado</w:t>
      </w:r>
      <w:r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11123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y al Poder Ejecutivo Federal, </w:t>
      </w:r>
      <w:r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>a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través de la Secretaria de Educación</w:t>
      </w:r>
      <w:r w:rsidR="00B745DB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>y</w:t>
      </w:r>
      <w:r w:rsidR="00B745DB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>Deporte</w:t>
      </w:r>
      <w:r w:rsidR="00B745DB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, así como de la Secretaría de </w:t>
      </w:r>
      <w:r w:rsidR="0011123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Educación Pública 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 efecto de iniciar formalmente </w:t>
      </w:r>
      <w:r w:rsidR="00B745DB">
        <w:rPr>
          <w:rFonts w:asciiTheme="majorHAnsi" w:eastAsia="Arial" w:hAnsiTheme="majorHAnsi" w:cstheme="majorHAnsi"/>
          <w:b/>
          <w:bCs/>
          <w:sz w:val="22"/>
          <w:szCs w:val="22"/>
        </w:rPr>
        <w:t>l</w:t>
      </w:r>
      <w:r w:rsidR="00BB654D">
        <w:rPr>
          <w:rFonts w:asciiTheme="majorHAnsi" w:eastAsia="Arial" w:hAnsiTheme="majorHAnsi" w:cstheme="majorHAnsi"/>
          <w:b/>
          <w:bCs/>
          <w:sz w:val="22"/>
          <w:szCs w:val="22"/>
        </w:rPr>
        <w:t>os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programas necesarios </w:t>
      </w:r>
      <w:r w:rsidR="00BB654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para atender la </w:t>
      </w:r>
      <w:r w:rsidR="00F1528A">
        <w:rPr>
          <w:rFonts w:asciiTheme="majorHAnsi" w:eastAsia="Arial" w:hAnsiTheme="majorHAnsi" w:cstheme="majorHAnsi"/>
          <w:b/>
          <w:bCs/>
          <w:sz w:val="22"/>
          <w:szCs w:val="22"/>
        </w:rPr>
        <w:t>deserción</w:t>
      </w:r>
      <w:r w:rsidR="00BB654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escolar</w:t>
      </w:r>
      <w:r w:rsidR="00F1528A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en nivel secundaria</w:t>
      </w:r>
      <w:r w:rsidR="00AB5810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F1528A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BB654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Pr="00982E5A">
        <w:rPr>
          <w:rFonts w:asciiTheme="majorHAnsi" w:eastAsia="Arial" w:hAnsiTheme="majorHAnsi" w:cstheme="majorHAnsi"/>
          <w:sz w:val="22"/>
          <w:szCs w:val="22"/>
        </w:rPr>
        <w:t>todo esto al tenor de la siguiente:</w:t>
      </w: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 xml:space="preserve">EXPOSICIÓN DE MOTIVOS </w:t>
      </w:r>
    </w:p>
    <w:p w:rsidR="00982E5A" w:rsidRDefault="00921AB9" w:rsidP="00982E5A">
      <w:pPr>
        <w:spacing w:line="276" w:lineRule="auto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>
        <w:rPr>
          <w:rFonts w:asciiTheme="majorHAnsi" w:eastAsia="Arial" w:hAnsiTheme="majorHAnsi" w:cstheme="majorHAnsi"/>
          <w:bCs/>
          <w:sz w:val="22"/>
          <w:szCs w:val="22"/>
        </w:rPr>
        <w:t>A lo largo de mi carrera como profesionista, una de las labores más nobles que he desempeñado es el ser profesor de diferentes niveles de educación, también</w:t>
      </w:r>
      <w:r w:rsidR="00D36B82">
        <w:rPr>
          <w:rFonts w:asciiTheme="majorHAnsi" w:eastAsia="Arial" w:hAnsiTheme="majorHAnsi" w:cstheme="majorHAnsi"/>
          <w:bCs/>
          <w:sz w:val="22"/>
          <w:szCs w:val="22"/>
        </w:rPr>
        <w:t>,</w:t>
      </w:r>
      <w:r>
        <w:rPr>
          <w:rFonts w:asciiTheme="majorHAnsi" w:eastAsia="Arial" w:hAnsiTheme="majorHAnsi" w:cstheme="majorHAnsi"/>
          <w:bCs/>
          <w:sz w:val="22"/>
          <w:szCs w:val="22"/>
        </w:rPr>
        <w:t xml:space="preserve"> me desempeñe como director de CERESO e Cd. Juárez</w:t>
      </w:r>
      <w:r w:rsidR="00D36B82">
        <w:rPr>
          <w:rFonts w:asciiTheme="majorHAnsi" w:eastAsia="Arial" w:hAnsiTheme="majorHAnsi" w:cstheme="majorHAnsi"/>
          <w:bCs/>
          <w:sz w:val="22"/>
          <w:szCs w:val="22"/>
        </w:rPr>
        <w:t>.</w:t>
      </w:r>
      <w:r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D36B82" w:rsidRPr="00D36B82">
        <w:rPr>
          <w:rFonts w:asciiTheme="majorHAnsi" w:eastAsia="Arial" w:hAnsiTheme="majorHAnsi" w:cstheme="majorHAnsi"/>
          <w:bCs/>
          <w:sz w:val="22"/>
          <w:szCs w:val="22"/>
        </w:rPr>
        <w:t>Durante tres años conviví con una gran cantidad de internos, lo cual me dio acceso a muchos datos acerca de sus prácticas delincuenciales y estilo de vida; mis charlas con ellos pasaron de escuchar sus quejas contra los custodios, que los trataban de manera incorrecta por decir lo menos, a conocer sus historias de vida. Fue así como descubrí que las circunstancias personales y contextuales de muchos de ellos se repetían, una y otra vez.</w:t>
      </w:r>
      <w:r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</w:p>
    <w:p w:rsidR="005761B1" w:rsidRDefault="00921AB9" w:rsidP="00982E5A">
      <w:pPr>
        <w:spacing w:line="276" w:lineRule="auto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>
        <w:rPr>
          <w:rFonts w:asciiTheme="majorHAnsi" w:eastAsia="Arial" w:hAnsiTheme="majorHAnsi" w:cstheme="majorHAnsi"/>
          <w:bCs/>
          <w:sz w:val="22"/>
          <w:szCs w:val="22"/>
        </w:rPr>
        <w:t>Datos obtenidos de los Centros de Detención Juveniles y Penales indican que alrededor del 90% de los reclusos por la comisión de un delito abandonaron</w:t>
      </w:r>
      <w:r w:rsidR="005761B1">
        <w:rPr>
          <w:rFonts w:asciiTheme="majorHAnsi" w:eastAsia="Arial" w:hAnsiTheme="majorHAnsi" w:cstheme="majorHAnsi"/>
          <w:bCs/>
          <w:sz w:val="22"/>
          <w:szCs w:val="22"/>
        </w:rPr>
        <w:t xml:space="preserve"> sus estudios en nivel de secundaria principalmente. </w:t>
      </w:r>
    </w:p>
    <w:p w:rsidR="00D36B82" w:rsidRDefault="005761B1" w:rsidP="00982E5A">
      <w:pPr>
        <w:spacing w:line="276" w:lineRule="auto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>
        <w:rPr>
          <w:rFonts w:asciiTheme="majorHAnsi" w:eastAsia="Arial" w:hAnsiTheme="majorHAnsi" w:cstheme="majorHAnsi"/>
          <w:bCs/>
          <w:sz w:val="22"/>
          <w:szCs w:val="22"/>
        </w:rPr>
        <w:t>En nuestro estado, los indicadores educativos arrojan que el 6.4 % de los alumnos inscritos a nivel secundaria, abandonan sus estudios</w:t>
      </w:r>
      <w:r w:rsidR="00F92C3A">
        <w:rPr>
          <w:rStyle w:val="Refdenotaalpie"/>
          <w:rFonts w:asciiTheme="majorHAnsi" w:eastAsia="Arial" w:hAnsiTheme="majorHAnsi" w:cstheme="majorHAnsi"/>
          <w:bCs/>
          <w:sz w:val="22"/>
          <w:szCs w:val="22"/>
        </w:rPr>
        <w:footnoteReference w:id="2"/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>, es decir alrededor de 12,045.1 jóvenes de entre 12 y 17 años deciden terminar con su educación para dedicarse a empleos informales y en el peor de los casos a</w:t>
      </w:r>
      <w:r w:rsidR="00B745DB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 xml:space="preserve"> la delincuencia. </w:t>
      </w:r>
    </w:p>
    <w:p w:rsidR="00D36B82" w:rsidRDefault="00D36B82" w:rsidP="00982E5A">
      <w:pPr>
        <w:spacing w:line="276" w:lineRule="auto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>
        <w:rPr>
          <w:rFonts w:asciiTheme="majorHAnsi" w:eastAsia="Arial" w:hAnsiTheme="majorHAnsi" w:cstheme="majorHAnsi"/>
          <w:bCs/>
          <w:sz w:val="22"/>
          <w:szCs w:val="22"/>
        </w:rPr>
        <w:t xml:space="preserve">Al ver esta situación en 2011 un grupo de personas desarrollamos un modelo de </w:t>
      </w:r>
      <w:r w:rsidR="00DC7D9E">
        <w:rPr>
          <w:rFonts w:asciiTheme="majorHAnsi" w:eastAsia="Arial" w:hAnsiTheme="majorHAnsi" w:cstheme="majorHAnsi"/>
          <w:bCs/>
          <w:sz w:val="22"/>
          <w:szCs w:val="22"/>
        </w:rPr>
        <w:t>Educación</w:t>
      </w:r>
      <w:r>
        <w:rPr>
          <w:rFonts w:asciiTheme="majorHAnsi" w:eastAsia="Arial" w:hAnsiTheme="majorHAnsi" w:cstheme="majorHAnsi"/>
          <w:bCs/>
          <w:sz w:val="22"/>
          <w:szCs w:val="22"/>
        </w:rPr>
        <w:t xml:space="preserve"> a Menores con Maduración Asistida </w:t>
      </w:r>
      <w:r w:rsidR="00DC7D9E">
        <w:rPr>
          <w:rFonts w:asciiTheme="majorHAnsi" w:eastAsia="Arial" w:hAnsiTheme="majorHAnsi" w:cstheme="majorHAnsi"/>
          <w:bCs/>
          <w:sz w:val="22"/>
          <w:szCs w:val="22"/>
        </w:rPr>
        <w:t xml:space="preserve">EMMA, </w:t>
      </w:r>
      <w:r>
        <w:rPr>
          <w:rFonts w:asciiTheme="majorHAnsi" w:eastAsia="Arial" w:hAnsiTheme="majorHAnsi" w:cstheme="majorHAnsi"/>
          <w:bCs/>
          <w:sz w:val="22"/>
          <w:szCs w:val="22"/>
        </w:rPr>
        <w:t xml:space="preserve"> donde se les brinda a jóvenes desertores las atenciones psicológicas y en materia de Derechos Human</w:t>
      </w:r>
      <w:r w:rsidR="00DC7D9E">
        <w:rPr>
          <w:rFonts w:asciiTheme="majorHAnsi" w:eastAsia="Arial" w:hAnsiTheme="majorHAnsi" w:cstheme="majorHAnsi"/>
          <w:bCs/>
          <w:sz w:val="22"/>
          <w:szCs w:val="22"/>
        </w:rPr>
        <w:t xml:space="preserve">os que los orientan, así mismo con módulos certificados de aprendizaje de conocimientos básicos de educación secundaria, brindado a un pequeño grupo de adolescentes juarenses la oportunidad de tener una carrera profesional y desarrollar su personalidad con la orientación necesaria. </w:t>
      </w:r>
    </w:p>
    <w:p w:rsidR="005761B1" w:rsidRPr="00DC7D9E" w:rsidRDefault="00DC7D9E" w:rsidP="00982E5A">
      <w:pPr>
        <w:spacing w:line="276" w:lineRule="auto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>
        <w:rPr>
          <w:rFonts w:asciiTheme="majorHAnsi" w:eastAsia="Arial" w:hAnsiTheme="majorHAnsi" w:cstheme="majorHAnsi"/>
          <w:bCs/>
          <w:sz w:val="22"/>
          <w:szCs w:val="22"/>
        </w:rPr>
        <w:t xml:space="preserve">Al ver el índice tan grande de abandono escolar que sufre nuestro estado, 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>veo la necesidad de desarrollar</w:t>
      </w:r>
      <w:r>
        <w:rPr>
          <w:rFonts w:asciiTheme="majorHAnsi" w:eastAsia="Arial" w:hAnsiTheme="majorHAnsi" w:cstheme="majorHAnsi"/>
          <w:bCs/>
          <w:sz w:val="22"/>
          <w:szCs w:val="22"/>
        </w:rPr>
        <w:t xml:space="preserve"> este tipo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bCs/>
          <w:sz w:val="22"/>
          <w:szCs w:val="22"/>
        </w:rPr>
        <w:t>modelos educativos a través de programas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 xml:space="preserve"> que permitan a los </w:t>
      </w:r>
      <w:r w:rsidR="00D36B82">
        <w:rPr>
          <w:rFonts w:asciiTheme="majorHAnsi" w:eastAsia="Arial" w:hAnsiTheme="majorHAnsi" w:cstheme="majorHAnsi"/>
          <w:bCs/>
          <w:sz w:val="22"/>
          <w:szCs w:val="22"/>
        </w:rPr>
        <w:t>jóvenes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 xml:space="preserve"> una educación, brinda</w:t>
      </w:r>
      <w:r>
        <w:rPr>
          <w:rFonts w:asciiTheme="majorHAnsi" w:eastAsia="Arial" w:hAnsiTheme="majorHAnsi" w:cstheme="majorHAnsi"/>
          <w:bCs/>
          <w:sz w:val="22"/>
          <w:szCs w:val="22"/>
        </w:rPr>
        <w:t>ndo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 xml:space="preserve"> todos los recursos, materiales y humanos posibles para que vean la posibilidad de </w:t>
      </w:r>
      <w:r>
        <w:rPr>
          <w:rFonts w:asciiTheme="majorHAnsi" w:eastAsia="Arial" w:hAnsiTheme="majorHAnsi" w:cstheme="majorHAnsi"/>
          <w:bCs/>
          <w:sz w:val="22"/>
          <w:szCs w:val="22"/>
        </w:rPr>
        <w:t>tener una carrera profesional</w:t>
      </w:r>
      <w:r w:rsidR="00F92C3A">
        <w:rPr>
          <w:rFonts w:asciiTheme="majorHAnsi" w:eastAsia="Arial" w:hAnsiTheme="majorHAnsi" w:cstheme="majorHAnsi"/>
          <w:bCs/>
          <w:sz w:val="22"/>
          <w:szCs w:val="22"/>
        </w:rPr>
        <w:t xml:space="preserve">, así mismo la atención psicológica necesaria a fin de que </w:t>
      </w:r>
      <w:r w:rsidR="00D36B82">
        <w:rPr>
          <w:rFonts w:asciiTheme="majorHAnsi" w:eastAsia="Arial" w:hAnsiTheme="majorHAnsi" w:cstheme="majorHAnsi"/>
          <w:bCs/>
          <w:sz w:val="22"/>
          <w:szCs w:val="22"/>
        </w:rPr>
        <w:t xml:space="preserve">los jóvenes chihuahuenses cuenten con la orientación que les facilite la toma de decisiones que enfrentan en su </w:t>
      </w:r>
      <w:r w:rsidR="00D36B82">
        <w:rPr>
          <w:rFonts w:asciiTheme="majorHAnsi" w:eastAsia="Arial" w:hAnsiTheme="majorHAnsi" w:cstheme="majorHAnsi"/>
          <w:bCs/>
          <w:sz w:val="22"/>
          <w:szCs w:val="22"/>
        </w:rPr>
        <w:lastRenderedPageBreak/>
        <w:t xml:space="preserve">entornó social </w:t>
      </w:r>
      <w:r>
        <w:rPr>
          <w:rFonts w:asciiTheme="majorHAnsi" w:eastAsia="Arial" w:hAnsiTheme="majorHAnsi" w:cstheme="majorHAnsi"/>
          <w:bCs/>
          <w:sz w:val="22"/>
          <w:szCs w:val="22"/>
        </w:rPr>
        <w:t>y se enfoquen en la educación, muy lejos del pandillerismo. Esta política solo se puede desarrollar a través de la secretaria de Educación y Depo</w:t>
      </w:r>
      <w:r w:rsidR="00231B9C">
        <w:rPr>
          <w:rFonts w:asciiTheme="majorHAnsi" w:eastAsia="Arial" w:hAnsiTheme="majorHAnsi" w:cstheme="majorHAnsi"/>
          <w:bCs/>
          <w:sz w:val="22"/>
          <w:szCs w:val="22"/>
        </w:rPr>
        <w:t xml:space="preserve">rte del Estado pues debe ser una herramienta a la que los todos los jóvenes  tengan acceso, administrada, financiada y supervisada por la Gobierno del Estado. </w:t>
      </w:r>
    </w:p>
    <w:p w:rsidR="00AB5810" w:rsidRPr="00982E5A" w:rsidRDefault="00AB5810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82E5A" w:rsidRPr="00982E5A" w:rsidRDefault="00982E5A" w:rsidP="00982E5A">
      <w:pPr>
        <w:shd w:val="clear" w:color="auto" w:fill="FFFFFF"/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2E5A">
        <w:rPr>
          <w:rFonts w:asciiTheme="majorHAnsi" w:eastAsia="Arial" w:hAnsiTheme="majorHAnsi" w:cstheme="majorHAnsi"/>
          <w:sz w:val="22"/>
          <w:szCs w:val="22"/>
        </w:rPr>
        <w:t>Por lo anteriormente expuesto y con fundamento en los artículos 68 fracción I de la Constitución Política del Estado, así como los numerales 169, 174 fracción I y 175 de la Ley Orgánica del Poder Legislativo y el artículo 106 del Reglamento Interior de Prácticas Parlamentarias, someto a consideración el siguiente:</w:t>
      </w: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>ACUERDO</w:t>
      </w: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>PRIMERO. –</w:t>
      </w:r>
      <w:r w:rsidRPr="00982E5A">
        <w:rPr>
          <w:rFonts w:asciiTheme="majorHAnsi" w:eastAsia="Arial" w:hAnsiTheme="majorHAnsi" w:cstheme="majorHAnsi"/>
          <w:sz w:val="22"/>
          <w:szCs w:val="22"/>
        </w:rPr>
        <w:t xml:space="preserve"> La Sexagésima Sexta Legislatura exhorta al </w:t>
      </w:r>
      <w:r w:rsidR="00111236"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Poder Ejecutivo </w:t>
      </w:r>
      <w:r w:rsidR="00111236">
        <w:rPr>
          <w:rFonts w:asciiTheme="majorHAnsi" w:eastAsia="Arial" w:hAnsiTheme="majorHAnsi" w:cstheme="majorHAnsi"/>
          <w:b/>
          <w:bCs/>
          <w:sz w:val="22"/>
          <w:szCs w:val="22"/>
        </w:rPr>
        <w:t>del Estado</w:t>
      </w:r>
      <w:r w:rsidR="00111236"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11123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y al Poder Ejecutivo Federal, </w:t>
      </w:r>
      <w:r w:rsidR="00111236" w:rsidRPr="00982E5A">
        <w:rPr>
          <w:rFonts w:asciiTheme="majorHAnsi" w:eastAsia="Arial" w:hAnsiTheme="majorHAnsi" w:cstheme="majorHAnsi"/>
          <w:b/>
          <w:bCs/>
          <w:sz w:val="22"/>
          <w:szCs w:val="22"/>
        </w:rPr>
        <w:t>a</w:t>
      </w:r>
      <w:r w:rsidR="0011123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través de la Secretaria de Educación y Deporte, así como de la Secretaría de Educación Pública</w:t>
      </w:r>
      <w:r w:rsidR="00111236" w:rsidRPr="00231B9C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231B9C" w:rsidRPr="00231B9C">
        <w:rPr>
          <w:rFonts w:asciiTheme="majorHAnsi" w:eastAsia="Arial" w:hAnsiTheme="majorHAnsi" w:cstheme="majorHAnsi"/>
          <w:bCs/>
          <w:sz w:val="22"/>
          <w:szCs w:val="22"/>
        </w:rPr>
        <w:t>a efecto de iniciar formalmente los programas necesarios para atender la deserción escolar en nivel secundaria</w:t>
      </w:r>
      <w:r w:rsidR="00231B9C">
        <w:rPr>
          <w:rFonts w:asciiTheme="majorHAnsi" w:eastAsia="Arial" w:hAnsiTheme="majorHAnsi" w:cstheme="majorHAnsi"/>
          <w:b/>
          <w:bCs/>
          <w:sz w:val="22"/>
          <w:szCs w:val="22"/>
        </w:rPr>
        <w:t>.</w:t>
      </w:r>
    </w:p>
    <w:p w:rsidR="00982E5A" w:rsidRPr="00982E5A" w:rsidRDefault="00982E5A" w:rsidP="00982E5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 xml:space="preserve">ECONÓMICO. - </w:t>
      </w:r>
      <w:r w:rsidRPr="00982E5A">
        <w:rPr>
          <w:rFonts w:asciiTheme="majorHAnsi" w:eastAsia="Arial" w:hAnsiTheme="majorHAnsi" w:cstheme="majorHAnsi"/>
          <w:sz w:val="22"/>
          <w:szCs w:val="22"/>
        </w:rPr>
        <w:t>Aprobado que sea túrnese a la secretaria para que elabore la Minuta de Acuerdo correspondiente.</w:t>
      </w:r>
    </w:p>
    <w:p w:rsidR="00982E5A" w:rsidRPr="00982E5A" w:rsidRDefault="00982E5A" w:rsidP="00982E5A">
      <w:pPr>
        <w:spacing w:line="276" w:lineRule="auto"/>
        <w:rPr>
          <w:rFonts w:asciiTheme="majorHAnsi" w:eastAsia="Arial" w:hAnsiTheme="majorHAnsi" w:cstheme="majorHAnsi"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 xml:space="preserve">D A D O </w:t>
      </w:r>
      <w:r w:rsidRPr="00982E5A">
        <w:rPr>
          <w:rFonts w:asciiTheme="majorHAnsi" w:hAnsiTheme="majorHAnsi" w:cstheme="majorHAnsi"/>
          <w:bCs/>
          <w:sz w:val="22"/>
          <w:szCs w:val="22"/>
        </w:rPr>
        <w:t xml:space="preserve">en el </w:t>
      </w:r>
      <w:r w:rsidR="00231B9C">
        <w:rPr>
          <w:rFonts w:asciiTheme="majorHAnsi" w:hAnsiTheme="majorHAnsi" w:cstheme="majorHAnsi"/>
          <w:bCs/>
          <w:sz w:val="22"/>
          <w:szCs w:val="22"/>
        </w:rPr>
        <w:t>Salón de Sesiones del Poder Legislativo, en la Ciudad de Chihuahua, Chih</w:t>
      </w:r>
      <w:r w:rsidRPr="00982E5A">
        <w:rPr>
          <w:rFonts w:asciiTheme="majorHAnsi" w:hAnsiTheme="majorHAnsi" w:cstheme="majorHAnsi"/>
          <w:bCs/>
          <w:sz w:val="22"/>
          <w:szCs w:val="22"/>
        </w:rPr>
        <w:t xml:space="preserve">., a los </w:t>
      </w:r>
      <w:r w:rsidR="00231B9C">
        <w:rPr>
          <w:rFonts w:asciiTheme="majorHAnsi" w:hAnsiTheme="majorHAnsi" w:cstheme="majorHAnsi"/>
          <w:bCs/>
          <w:sz w:val="22"/>
          <w:szCs w:val="22"/>
        </w:rPr>
        <w:t xml:space="preserve">02 </w:t>
      </w:r>
      <w:r w:rsidRPr="00982E5A">
        <w:rPr>
          <w:rFonts w:asciiTheme="majorHAnsi" w:hAnsiTheme="majorHAnsi" w:cstheme="majorHAnsi"/>
          <w:bCs/>
          <w:sz w:val="22"/>
          <w:szCs w:val="22"/>
        </w:rPr>
        <w:t xml:space="preserve">días del mes de </w:t>
      </w:r>
      <w:r w:rsidR="00231B9C">
        <w:rPr>
          <w:rFonts w:asciiTheme="majorHAnsi" w:hAnsiTheme="majorHAnsi" w:cstheme="majorHAnsi"/>
          <w:bCs/>
          <w:sz w:val="22"/>
          <w:szCs w:val="22"/>
        </w:rPr>
        <w:t>diciembre</w:t>
      </w:r>
      <w:r w:rsidRPr="00982E5A">
        <w:rPr>
          <w:rFonts w:asciiTheme="majorHAnsi" w:hAnsiTheme="majorHAnsi" w:cstheme="majorHAnsi"/>
          <w:bCs/>
          <w:sz w:val="22"/>
          <w:szCs w:val="22"/>
        </w:rPr>
        <w:t xml:space="preserve"> de 2019.</w:t>
      </w:r>
    </w:p>
    <w:p w:rsidR="00982E5A" w:rsidRPr="00982E5A" w:rsidRDefault="00982E5A" w:rsidP="00982E5A">
      <w:pPr>
        <w:spacing w:line="276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982E5A">
        <w:rPr>
          <w:rFonts w:asciiTheme="majorHAnsi" w:eastAsia="Arial" w:hAnsiTheme="majorHAnsi" w:cstheme="majorHAnsi"/>
          <w:b/>
          <w:sz w:val="22"/>
          <w:szCs w:val="22"/>
        </w:rPr>
        <w:t>ATENTAMENTE</w:t>
      </w: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:rsidR="00982E5A" w:rsidRPr="00982E5A" w:rsidRDefault="00982E5A" w:rsidP="00982E5A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982E5A" w:rsidRPr="00982E5A" w:rsidRDefault="00982E5A" w:rsidP="00982E5A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82E5A">
        <w:rPr>
          <w:rFonts w:asciiTheme="majorHAnsi" w:hAnsiTheme="majorHAnsi" w:cstheme="majorHAnsi"/>
          <w:b/>
          <w:bCs/>
          <w:sz w:val="22"/>
          <w:szCs w:val="22"/>
        </w:rPr>
        <w:t>DIP. GUSTAVO DE LA ROSA HICKERSON</w:t>
      </w:r>
    </w:p>
    <w:p w:rsidR="00684C4E" w:rsidRPr="00982E5A" w:rsidRDefault="00684C4E">
      <w:pPr>
        <w:rPr>
          <w:rFonts w:asciiTheme="majorHAnsi" w:hAnsiTheme="majorHAnsi" w:cstheme="majorHAnsi"/>
        </w:rPr>
      </w:pPr>
    </w:p>
    <w:sectPr w:rsidR="00684C4E" w:rsidRPr="00982E5A" w:rsidSect="00B745DB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10" w:rsidRDefault="004B3A10" w:rsidP="00F92C3A">
      <w:r>
        <w:separator/>
      </w:r>
    </w:p>
  </w:endnote>
  <w:endnote w:type="continuationSeparator" w:id="1">
    <w:p w:rsidR="004B3A10" w:rsidRDefault="004B3A10" w:rsidP="00F9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10" w:rsidRDefault="004B3A10" w:rsidP="00F92C3A">
      <w:r>
        <w:separator/>
      </w:r>
    </w:p>
  </w:footnote>
  <w:footnote w:type="continuationSeparator" w:id="1">
    <w:p w:rsidR="004B3A10" w:rsidRDefault="004B3A10" w:rsidP="00F92C3A">
      <w:r>
        <w:continuationSeparator/>
      </w:r>
    </w:p>
  </w:footnote>
  <w:footnote w:id="2">
    <w:p w:rsidR="00F92C3A" w:rsidRPr="00F92C3A" w:rsidRDefault="00F92C3A">
      <w:pPr>
        <w:pStyle w:val="Textonotapie"/>
      </w:pPr>
      <w:r w:rsidRPr="00F92C3A">
        <w:rPr>
          <w:rStyle w:val="Refdenotaalpie"/>
          <w:sz w:val="18"/>
          <w:vertAlign w:val="baseline"/>
        </w:rPr>
        <w:footnoteRef/>
      </w:r>
      <w:r w:rsidRPr="00F92C3A">
        <w:rPr>
          <w:sz w:val="18"/>
        </w:rPr>
        <w:t xml:space="preserve"> </w:t>
      </w:r>
      <w:r w:rsidRPr="00F92C3A">
        <w:rPr>
          <w:color w:val="000000"/>
          <w:sz w:val="18"/>
        </w:rPr>
        <w:t>Dirección de Planeación, Programación y Estadísticas. (2018). Indicadores Educativos. 05-10-2018, de SEP Sitio web: http://snie.sep.gob.mx/descargas/estadistica_e_indicadores/estadistica_e_indicadores_educativos_08CHIH.pdf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E5A"/>
    <w:rsid w:val="00111236"/>
    <w:rsid w:val="0022229D"/>
    <w:rsid w:val="00231B9C"/>
    <w:rsid w:val="00276EBC"/>
    <w:rsid w:val="004B3A10"/>
    <w:rsid w:val="005761B1"/>
    <w:rsid w:val="00684C4E"/>
    <w:rsid w:val="007C507E"/>
    <w:rsid w:val="007E3E8B"/>
    <w:rsid w:val="00921AB9"/>
    <w:rsid w:val="00982E5A"/>
    <w:rsid w:val="00AB5810"/>
    <w:rsid w:val="00B166B1"/>
    <w:rsid w:val="00B745DB"/>
    <w:rsid w:val="00BB654D"/>
    <w:rsid w:val="00D36B82"/>
    <w:rsid w:val="00DC7D9E"/>
    <w:rsid w:val="00F1528A"/>
    <w:rsid w:val="00F9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5A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92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2C3A"/>
    <w:rPr>
      <w:rFonts w:ascii="Cambria" w:eastAsia="Cambria" w:hAnsi="Cambria" w:cs="Cambria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92C3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2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36"/>
    <w:rPr>
      <w:rFonts w:ascii="Segoe UI" w:eastAsia="Cambria" w:hAnsi="Segoe UI" w:cs="Segoe UI"/>
      <w:sz w:val="18"/>
      <w:szCs w:val="1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6463C-B04B-4EEC-9AB3-6FA3A944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Alcantar Alvidrez</dc:creator>
  <cp:lastModifiedBy>achavez</cp:lastModifiedBy>
  <cp:revision>2</cp:revision>
  <cp:lastPrinted>2019-12-03T17:44:00Z</cp:lastPrinted>
  <dcterms:created xsi:type="dcterms:W3CDTF">2019-12-05T18:37:00Z</dcterms:created>
  <dcterms:modified xsi:type="dcterms:W3CDTF">2019-12-05T18:37:00Z</dcterms:modified>
</cp:coreProperties>
</file>